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DF04D">
      <w:pPr>
        <w:pStyle w:val="2"/>
        <w:ind w:left="0" w:leftChars="0" w:firstLine="0" w:firstLineChars="0"/>
      </w:pPr>
      <w:bookmarkStart w:id="3" w:name="_GoBack"/>
      <w:bookmarkEnd w:id="3"/>
    </w:p>
    <w:p w14:paraId="6D6977E6">
      <w:pPr>
        <w:rPr>
          <w:rFonts w:ascii="仿宋_GB2312" w:hAnsi="仿宋_GB2312" w:eastAsia="仿宋_GB2312" w:cs="仿宋_GB2312"/>
          <w:sz w:val="36"/>
          <w:szCs w:val="36"/>
        </w:rPr>
      </w:pPr>
    </w:p>
    <w:p w14:paraId="151AE193">
      <w:pPr>
        <w:rPr>
          <w:rFonts w:ascii="仿宋_GB2312" w:hAnsi="仿宋_GB2312" w:eastAsia="仿宋_GB2312" w:cs="仿宋_GB2312"/>
          <w:sz w:val="36"/>
          <w:szCs w:val="36"/>
        </w:rPr>
      </w:pPr>
    </w:p>
    <w:p w14:paraId="41B7CD9C">
      <w:pPr>
        <w:pStyle w:val="30"/>
      </w:pPr>
      <w:r>
        <w:rPr>
          <w:rFonts w:hint="eastAsia"/>
        </w:rPr>
        <w:t>建设项目环境影响报告表</w:t>
      </w:r>
    </w:p>
    <w:p w14:paraId="53876CAC">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14:paraId="21A71F6A">
      <w:pPr>
        <w:adjustRightInd w:val="0"/>
        <w:snapToGrid w:val="0"/>
        <w:spacing w:line="288" w:lineRule="auto"/>
        <w:ind w:firstLine="880"/>
        <w:jc w:val="center"/>
        <w:outlineLvl w:val="0"/>
        <w:rPr>
          <w:rFonts w:ascii="华文仿宋" w:hAnsi="华文仿宋" w:eastAsia="华文仿宋" w:cs="华文仿宋"/>
          <w:color w:val="000000"/>
          <w:kern w:val="44"/>
          <w:sz w:val="44"/>
          <w:szCs w:val="44"/>
        </w:rPr>
      </w:pPr>
    </w:p>
    <w:p w14:paraId="2D08A7BA">
      <w:pPr>
        <w:ind w:firstLine="1040"/>
        <w:jc w:val="center"/>
        <w:rPr>
          <w:rFonts w:eastAsia="仿宋"/>
          <w:sz w:val="52"/>
          <w:szCs w:val="52"/>
        </w:rPr>
      </w:pPr>
    </w:p>
    <w:p w14:paraId="3B92828C">
      <w:pPr>
        <w:ind w:firstLine="880"/>
        <w:rPr>
          <w:rFonts w:eastAsia="仿宋"/>
          <w:sz w:val="44"/>
          <w:szCs w:val="44"/>
        </w:rPr>
      </w:pPr>
    </w:p>
    <w:p w14:paraId="3193BEB5">
      <w:pPr>
        <w:ind w:firstLine="880"/>
        <w:rPr>
          <w:rFonts w:eastAsia="仿宋"/>
          <w:sz w:val="44"/>
          <w:szCs w:val="44"/>
        </w:rPr>
      </w:pPr>
    </w:p>
    <w:p w14:paraId="665E100F">
      <w:pPr>
        <w:pStyle w:val="13"/>
        <w:ind w:left="1680" w:right="1680" w:firstLine="880"/>
        <w:rPr>
          <w:rFonts w:eastAsia="仿宋"/>
          <w:sz w:val="44"/>
          <w:szCs w:val="44"/>
        </w:rPr>
      </w:pPr>
    </w:p>
    <w:p w14:paraId="395D3290">
      <w:pPr>
        <w:ind w:firstLine="480"/>
      </w:pPr>
    </w:p>
    <w:p w14:paraId="53665A49">
      <w:pPr>
        <w:ind w:firstLine="880"/>
        <w:rPr>
          <w:rFonts w:eastAsia="仿宋"/>
          <w:sz w:val="44"/>
          <w:szCs w:val="44"/>
        </w:rPr>
      </w:pPr>
    </w:p>
    <w:p w14:paraId="53CBD549">
      <w:pPr>
        <w:wordWrap w:val="0"/>
        <w:topLinePunct/>
        <w:adjustRightInd w:val="0"/>
        <w:snapToGrid w:val="0"/>
        <w:spacing w:line="288" w:lineRule="auto"/>
        <w:ind w:firstLine="0" w:firstLineChars="0"/>
        <w:rPr>
          <w:rFonts w:ascii="仿宋_GB2312" w:eastAsia="仿宋_GB2312"/>
          <w:sz w:val="36"/>
          <w:szCs w:val="36"/>
        </w:rPr>
      </w:pPr>
    </w:p>
    <w:p w14:paraId="0917FBF0">
      <w:pPr>
        <w:wordWrap w:val="0"/>
        <w:topLinePunct/>
        <w:adjustRightInd w:val="0"/>
        <w:snapToGrid w:val="0"/>
        <w:spacing w:line="288" w:lineRule="auto"/>
        <w:rPr>
          <w:rFonts w:ascii="仿宋_GB2312" w:eastAsia="仿宋_GB2312"/>
          <w:sz w:val="36"/>
          <w:szCs w:val="36"/>
        </w:rPr>
      </w:pPr>
      <w:r>
        <w:rPr>
          <w:rFonts w:hint="eastAsia" w:ascii="仿宋_GB2312" w:eastAsia="仿宋_GB2312"/>
          <w:sz w:val="36"/>
          <w:szCs w:val="36"/>
        </w:rPr>
        <w:t xml:space="preserve">    </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49FF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center"/>
          </w:tcPr>
          <w:p w14:paraId="3480FA13">
            <w:pPr>
              <w:tabs>
                <w:tab w:val="left" w:pos="1440"/>
              </w:tabs>
              <w:wordWrap w:val="0"/>
              <w:topLinePunct/>
              <w:adjustRightInd w:val="0"/>
              <w:snapToGrid w:val="0"/>
              <w:spacing w:line="288" w:lineRule="auto"/>
              <w:ind w:left="1318" w:right="-36" w:rightChars="-15" w:hanging="1317" w:hangingChars="366"/>
              <w:jc w:val="left"/>
              <w:rPr>
                <w:rFonts w:ascii="仿宋_GB2312" w:eastAsia="仿宋_GB2312"/>
                <w:sz w:val="36"/>
                <w:szCs w:val="36"/>
              </w:rPr>
            </w:pPr>
            <w:r>
              <w:rPr>
                <w:rFonts w:hint="eastAsia" w:ascii="仿宋_GB2312" w:eastAsia="仿宋_GB2312"/>
                <w:sz w:val="36"/>
                <w:szCs w:val="36"/>
              </w:rPr>
              <w:t>项  目  名  称：</w:t>
            </w:r>
            <w:r>
              <w:rPr>
                <w:rFonts w:hint="eastAsia" w:ascii="仿宋_GB2312" w:eastAsia="仿宋_GB2312"/>
                <w:sz w:val="36"/>
                <w:szCs w:val="36"/>
                <w:u w:val="single"/>
              </w:rPr>
              <w:t>唐山爱特精密机器制造有限公司新建车用锁式差速器及四驱扭矩控制系统工厂建设项目</w:t>
            </w:r>
          </w:p>
        </w:tc>
      </w:tr>
      <w:tr w14:paraId="6767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center"/>
          </w:tcPr>
          <w:p w14:paraId="11B44711">
            <w:pPr>
              <w:wordWrap w:val="0"/>
              <w:topLinePunct/>
              <w:adjustRightInd w:val="0"/>
              <w:snapToGrid w:val="0"/>
              <w:spacing w:line="288" w:lineRule="auto"/>
              <w:ind w:firstLine="0" w:firstLineChars="0"/>
              <w:jc w:val="left"/>
              <w:rPr>
                <w:rFonts w:ascii="仿宋_GB2312" w:eastAsia="仿宋_GB2312"/>
                <w:sz w:val="36"/>
                <w:szCs w:val="36"/>
              </w:rPr>
            </w:pPr>
            <w:r>
              <w:rPr>
                <w:rFonts w:hint="eastAsia" w:ascii="仿宋_GB2312" w:eastAsia="仿宋_GB2312"/>
                <w:sz w:val="36"/>
                <w:szCs w:val="36"/>
              </w:rPr>
              <w:t>建设单位（盖章）：</w:t>
            </w:r>
            <w:r>
              <w:rPr>
                <w:rFonts w:hint="eastAsia" w:ascii="仿宋_GB2312" w:eastAsia="仿宋_GB2312"/>
                <w:sz w:val="36"/>
                <w:szCs w:val="36"/>
                <w:u w:val="single"/>
              </w:rPr>
              <w:t xml:space="preserve">  唐山爱特精密机器制造有限公司 </w:t>
            </w:r>
          </w:p>
        </w:tc>
      </w:tr>
      <w:tr w14:paraId="48EE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center"/>
          </w:tcPr>
          <w:p w14:paraId="35F385BB">
            <w:pPr>
              <w:wordWrap w:val="0"/>
              <w:topLinePunct/>
              <w:adjustRightInd w:val="0"/>
              <w:snapToGrid w:val="0"/>
              <w:spacing w:line="288" w:lineRule="auto"/>
              <w:ind w:firstLine="0" w:firstLineChars="0"/>
              <w:jc w:val="left"/>
              <w:rPr>
                <w:rFonts w:ascii="仿宋_GB2312" w:eastAsia="仿宋_GB2312"/>
                <w:sz w:val="36"/>
                <w:szCs w:val="36"/>
              </w:rPr>
            </w:pPr>
            <w:r>
              <w:rPr>
                <w:rFonts w:hint="eastAsia" w:ascii="仿宋_GB2312" w:eastAsia="仿宋_GB2312"/>
                <w:sz w:val="36"/>
                <w:szCs w:val="36"/>
              </w:rPr>
              <w:t>编  制  日  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2022年5月          </w:t>
            </w:r>
          </w:p>
        </w:tc>
      </w:tr>
    </w:tbl>
    <w:p w14:paraId="555CF030">
      <w:pPr>
        <w:adjustRightInd w:val="0"/>
        <w:snapToGrid w:val="0"/>
        <w:spacing w:line="288" w:lineRule="auto"/>
        <w:ind w:firstLine="0" w:firstLineChars="0"/>
        <w:rPr>
          <w:rFonts w:ascii="仿宋_GB2312" w:eastAsia="仿宋_GB2312"/>
          <w:sz w:val="36"/>
          <w:szCs w:val="36"/>
        </w:rPr>
      </w:pPr>
      <w:bookmarkStart w:id="0" w:name="_Hlk57884087"/>
    </w:p>
    <w:p w14:paraId="45DEAC3F">
      <w:pPr>
        <w:pStyle w:val="13"/>
        <w:ind w:left="1680" w:right="1680" w:firstLine="480"/>
      </w:pPr>
    </w:p>
    <w:bookmarkEnd w:id="0"/>
    <w:p w14:paraId="394177BB">
      <w:pPr>
        <w:adjustRightInd w:val="0"/>
        <w:snapToGrid w:val="0"/>
        <w:spacing w:line="288" w:lineRule="auto"/>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17" w:right="1247" w:bottom="1417"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ascii="楷体_GB2312" w:eastAsia="楷体_GB2312"/>
          <w:sz w:val="36"/>
          <w:szCs w:val="36"/>
        </w:rPr>
        <w:t>中华人民共和国生态环境部制</w:t>
      </w:r>
    </w:p>
    <w:p w14:paraId="381EFDFF">
      <w:pPr>
        <w:ind w:firstLine="0" w:firstLineChars="0"/>
        <w:sectPr>
          <w:pgSz w:w="11906" w:h="16838"/>
          <w:pgMar w:top="1417" w:right="1247" w:bottom="1417"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0B6B90B3">
      <w:pPr>
        <w:pStyle w:val="20"/>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71"/>
        <w:gridCol w:w="2018"/>
        <w:gridCol w:w="2168"/>
        <w:gridCol w:w="3314"/>
      </w:tblGrid>
      <w:tr w14:paraId="6A281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571" w:type="dxa"/>
            <w:tcMar>
              <w:top w:w="16" w:type="dxa"/>
              <w:left w:w="16" w:type="dxa"/>
              <w:right w:w="16" w:type="dxa"/>
            </w:tcMar>
            <w:vAlign w:val="center"/>
          </w:tcPr>
          <w:p w14:paraId="2104D6A3">
            <w:pPr>
              <w:pStyle w:val="31"/>
              <w:rPr>
                <w:szCs w:val="24"/>
              </w:rPr>
            </w:pPr>
            <w:r>
              <w:rPr>
                <w:rFonts w:hint="eastAsia"/>
                <w:szCs w:val="24"/>
              </w:rPr>
              <w:t>建设项目名称</w:t>
            </w:r>
          </w:p>
        </w:tc>
        <w:tc>
          <w:tcPr>
            <w:tcW w:w="7500" w:type="dxa"/>
            <w:gridSpan w:val="3"/>
            <w:vAlign w:val="center"/>
          </w:tcPr>
          <w:p w14:paraId="1B79597B">
            <w:pPr>
              <w:pStyle w:val="31"/>
              <w:rPr>
                <w:szCs w:val="24"/>
              </w:rPr>
            </w:pPr>
            <w:r>
              <w:rPr>
                <w:rFonts w:hint="eastAsia"/>
                <w:szCs w:val="24"/>
              </w:rPr>
              <w:t>唐山爱特精密机器制造有限公司新建</w:t>
            </w:r>
          </w:p>
          <w:p w14:paraId="2E11F4DF">
            <w:pPr>
              <w:pStyle w:val="31"/>
              <w:rPr>
                <w:szCs w:val="24"/>
              </w:rPr>
            </w:pPr>
            <w:r>
              <w:rPr>
                <w:rFonts w:hint="eastAsia"/>
                <w:szCs w:val="24"/>
              </w:rPr>
              <w:t>车用锁式差速器及四驱扭矩控制系统工厂建设项目</w:t>
            </w:r>
          </w:p>
        </w:tc>
      </w:tr>
      <w:tr w14:paraId="5932A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571" w:type="dxa"/>
            <w:tcMar>
              <w:top w:w="16" w:type="dxa"/>
              <w:left w:w="16" w:type="dxa"/>
              <w:right w:w="16" w:type="dxa"/>
            </w:tcMar>
            <w:vAlign w:val="center"/>
          </w:tcPr>
          <w:p w14:paraId="186BA485">
            <w:pPr>
              <w:pStyle w:val="31"/>
              <w:rPr>
                <w:szCs w:val="24"/>
              </w:rPr>
            </w:pPr>
            <w:r>
              <w:rPr>
                <w:rFonts w:hint="eastAsia"/>
                <w:szCs w:val="24"/>
              </w:rPr>
              <w:t>项目代码</w:t>
            </w:r>
          </w:p>
        </w:tc>
        <w:tc>
          <w:tcPr>
            <w:tcW w:w="7500" w:type="dxa"/>
            <w:gridSpan w:val="3"/>
            <w:vAlign w:val="center"/>
          </w:tcPr>
          <w:p w14:paraId="19A426AF">
            <w:pPr>
              <w:pStyle w:val="31"/>
              <w:rPr>
                <w:szCs w:val="24"/>
              </w:rPr>
            </w:pPr>
            <w:r>
              <w:rPr>
                <w:rFonts w:hint="eastAsia"/>
                <w:szCs w:val="24"/>
              </w:rPr>
              <w:t>2112-130273-89-01-282919</w:t>
            </w:r>
          </w:p>
        </w:tc>
      </w:tr>
      <w:tr w14:paraId="74492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571" w:type="dxa"/>
            <w:tcMar>
              <w:top w:w="16" w:type="dxa"/>
              <w:left w:w="16" w:type="dxa"/>
              <w:right w:w="16" w:type="dxa"/>
            </w:tcMar>
            <w:vAlign w:val="center"/>
          </w:tcPr>
          <w:p w14:paraId="11C3FC5A">
            <w:pPr>
              <w:pStyle w:val="31"/>
              <w:rPr>
                <w:szCs w:val="24"/>
              </w:rPr>
            </w:pPr>
            <w:r>
              <w:rPr>
                <w:rFonts w:hint="eastAsia"/>
                <w:szCs w:val="24"/>
              </w:rPr>
              <w:t>建设单位联系人</w:t>
            </w:r>
          </w:p>
        </w:tc>
        <w:tc>
          <w:tcPr>
            <w:tcW w:w="2018" w:type="dxa"/>
            <w:vAlign w:val="center"/>
          </w:tcPr>
          <w:p w14:paraId="11C656C6">
            <w:pPr>
              <w:pStyle w:val="31"/>
              <w:rPr>
                <w:szCs w:val="24"/>
              </w:rPr>
            </w:pPr>
            <w:r>
              <w:rPr>
                <w:rFonts w:hint="eastAsia"/>
                <w:szCs w:val="24"/>
              </w:rPr>
              <w:t>杨国新</w:t>
            </w:r>
          </w:p>
        </w:tc>
        <w:tc>
          <w:tcPr>
            <w:tcW w:w="2168" w:type="dxa"/>
            <w:vAlign w:val="center"/>
          </w:tcPr>
          <w:p w14:paraId="018A890B">
            <w:pPr>
              <w:pStyle w:val="31"/>
              <w:rPr>
                <w:szCs w:val="24"/>
              </w:rPr>
            </w:pPr>
            <w:r>
              <w:rPr>
                <w:rFonts w:hint="eastAsia"/>
                <w:szCs w:val="24"/>
              </w:rPr>
              <w:t>联系方式</w:t>
            </w:r>
          </w:p>
        </w:tc>
        <w:tc>
          <w:tcPr>
            <w:tcW w:w="3314" w:type="dxa"/>
            <w:vAlign w:val="center"/>
          </w:tcPr>
          <w:p w14:paraId="59521D3B">
            <w:pPr>
              <w:pStyle w:val="31"/>
              <w:rPr>
                <w:szCs w:val="24"/>
              </w:rPr>
            </w:pPr>
            <w:r>
              <w:rPr>
                <w:rFonts w:hint="eastAsia"/>
                <w:szCs w:val="24"/>
              </w:rPr>
              <w:t>13932591586</w:t>
            </w:r>
          </w:p>
        </w:tc>
      </w:tr>
      <w:tr w14:paraId="3C083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571" w:type="dxa"/>
            <w:tcMar>
              <w:top w:w="16" w:type="dxa"/>
              <w:left w:w="16" w:type="dxa"/>
              <w:right w:w="16" w:type="dxa"/>
            </w:tcMar>
            <w:vAlign w:val="center"/>
          </w:tcPr>
          <w:p w14:paraId="26BFBF81">
            <w:pPr>
              <w:pStyle w:val="31"/>
              <w:rPr>
                <w:szCs w:val="24"/>
              </w:rPr>
            </w:pPr>
            <w:r>
              <w:rPr>
                <w:rFonts w:hint="eastAsia"/>
                <w:szCs w:val="24"/>
              </w:rPr>
              <w:t>建设地点</w:t>
            </w:r>
          </w:p>
        </w:tc>
        <w:tc>
          <w:tcPr>
            <w:tcW w:w="7500" w:type="dxa"/>
            <w:gridSpan w:val="3"/>
            <w:vAlign w:val="center"/>
          </w:tcPr>
          <w:p w14:paraId="2271BDC6">
            <w:pPr>
              <w:pStyle w:val="31"/>
              <w:rPr>
                <w:szCs w:val="24"/>
              </w:rPr>
            </w:pPr>
            <w:r>
              <w:rPr>
                <w:rFonts w:hint="eastAsia"/>
                <w:szCs w:val="24"/>
              </w:rPr>
              <w:t>河北省唐山市高新技术产业开发区京唐智慧港纬二路南侧经十五路西侧</w:t>
            </w:r>
          </w:p>
        </w:tc>
      </w:tr>
      <w:tr w14:paraId="0D8A4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571" w:type="dxa"/>
            <w:tcMar>
              <w:top w:w="16" w:type="dxa"/>
              <w:left w:w="16" w:type="dxa"/>
              <w:right w:w="16" w:type="dxa"/>
            </w:tcMar>
            <w:vAlign w:val="center"/>
          </w:tcPr>
          <w:p w14:paraId="1D529EFA">
            <w:pPr>
              <w:pStyle w:val="31"/>
              <w:rPr>
                <w:szCs w:val="24"/>
              </w:rPr>
            </w:pPr>
            <w:r>
              <w:rPr>
                <w:rFonts w:hint="eastAsia"/>
                <w:szCs w:val="24"/>
              </w:rPr>
              <w:t>地理坐标</w:t>
            </w:r>
          </w:p>
        </w:tc>
        <w:tc>
          <w:tcPr>
            <w:tcW w:w="7500" w:type="dxa"/>
            <w:gridSpan w:val="3"/>
            <w:vAlign w:val="center"/>
          </w:tcPr>
          <w:p w14:paraId="18E7F404">
            <w:pPr>
              <w:pStyle w:val="31"/>
              <w:rPr>
                <w:szCs w:val="24"/>
              </w:rPr>
            </w:pPr>
            <w:r>
              <w:rPr>
                <w:szCs w:val="24"/>
              </w:rPr>
              <w:t>东经：</w:t>
            </w:r>
            <w:r>
              <w:rPr>
                <w:rFonts w:hint="eastAsia"/>
                <w:szCs w:val="24"/>
              </w:rPr>
              <w:t>118°1'48.409"</w:t>
            </w:r>
            <w:r>
              <w:rPr>
                <w:szCs w:val="24"/>
              </w:rPr>
              <w:t>；北纬：39°42'30.574"</w:t>
            </w:r>
          </w:p>
        </w:tc>
      </w:tr>
      <w:tr w14:paraId="4B7B2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1571" w:type="dxa"/>
            <w:tcMar>
              <w:top w:w="16" w:type="dxa"/>
              <w:left w:w="16" w:type="dxa"/>
              <w:right w:w="16" w:type="dxa"/>
            </w:tcMar>
            <w:vAlign w:val="center"/>
          </w:tcPr>
          <w:p w14:paraId="7069FD95">
            <w:pPr>
              <w:pStyle w:val="31"/>
              <w:rPr>
                <w:szCs w:val="24"/>
              </w:rPr>
            </w:pPr>
            <w:r>
              <w:rPr>
                <w:rFonts w:hint="eastAsia"/>
                <w:szCs w:val="24"/>
              </w:rPr>
              <w:t>国民经济</w:t>
            </w:r>
          </w:p>
          <w:p w14:paraId="008211D6">
            <w:pPr>
              <w:pStyle w:val="31"/>
              <w:rPr>
                <w:szCs w:val="24"/>
              </w:rPr>
            </w:pPr>
            <w:r>
              <w:rPr>
                <w:rFonts w:hint="eastAsia"/>
                <w:szCs w:val="24"/>
              </w:rPr>
              <w:t>行业类别</w:t>
            </w:r>
          </w:p>
        </w:tc>
        <w:tc>
          <w:tcPr>
            <w:tcW w:w="2018" w:type="dxa"/>
            <w:vAlign w:val="center"/>
          </w:tcPr>
          <w:p w14:paraId="01A8A7DE">
            <w:pPr>
              <w:spacing w:line="240" w:lineRule="auto"/>
              <w:ind w:firstLine="0" w:firstLineChars="0"/>
              <w:jc w:val="center"/>
            </w:pPr>
            <w:r>
              <w:rPr>
                <w:rFonts w:hint="eastAsia"/>
              </w:rPr>
              <w:t>C3670汽车零部件及配件制造</w:t>
            </w:r>
          </w:p>
        </w:tc>
        <w:tc>
          <w:tcPr>
            <w:tcW w:w="2168" w:type="dxa"/>
            <w:vAlign w:val="center"/>
          </w:tcPr>
          <w:p w14:paraId="7F7FDEE2">
            <w:pPr>
              <w:pStyle w:val="31"/>
              <w:rPr>
                <w:szCs w:val="24"/>
              </w:rPr>
            </w:pPr>
            <w:bookmarkStart w:id="1" w:name="_Hlk49843745"/>
            <w:r>
              <w:rPr>
                <w:szCs w:val="24"/>
              </w:rPr>
              <w:t>建设项目</w:t>
            </w:r>
          </w:p>
          <w:p w14:paraId="49F5AC4B">
            <w:pPr>
              <w:pStyle w:val="31"/>
              <w:rPr>
                <w:szCs w:val="24"/>
              </w:rPr>
            </w:pPr>
            <w:r>
              <w:rPr>
                <w:szCs w:val="24"/>
              </w:rPr>
              <w:t>行业类别</w:t>
            </w:r>
            <w:bookmarkEnd w:id="1"/>
          </w:p>
        </w:tc>
        <w:tc>
          <w:tcPr>
            <w:tcW w:w="3314" w:type="dxa"/>
            <w:vAlign w:val="center"/>
          </w:tcPr>
          <w:p w14:paraId="248100A3">
            <w:pPr>
              <w:spacing w:line="240" w:lineRule="auto"/>
              <w:ind w:firstLine="0" w:firstLineChars="0"/>
              <w:jc w:val="left"/>
            </w:pPr>
            <w:r>
              <w:rPr>
                <w:rFonts w:hint="eastAsia"/>
              </w:rPr>
              <w:t>三十三、汽车制造业36</w:t>
            </w:r>
            <w:r>
              <w:rPr>
                <w:rFonts w:hint="eastAsia"/>
                <w:lang w:eastAsia="zh-CN"/>
              </w:rPr>
              <w:t>-</w:t>
            </w:r>
            <w:r>
              <w:rPr>
                <w:rFonts w:hint="eastAsia"/>
              </w:rPr>
              <w:t>71.汽车零部件及配件制造367</w:t>
            </w:r>
            <w:r>
              <w:rPr>
                <w:rFonts w:hint="eastAsia"/>
                <w:lang w:eastAsia="zh-CN"/>
              </w:rPr>
              <w:t>-</w:t>
            </w:r>
            <w:r>
              <w:rPr>
                <w:rFonts w:hint="eastAsia"/>
              </w:rPr>
              <w:t>其他</w:t>
            </w:r>
          </w:p>
        </w:tc>
      </w:tr>
      <w:tr w14:paraId="6433B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1571" w:type="dxa"/>
            <w:tcMar>
              <w:top w:w="16" w:type="dxa"/>
              <w:left w:w="16" w:type="dxa"/>
              <w:right w:w="16" w:type="dxa"/>
            </w:tcMar>
            <w:vAlign w:val="center"/>
          </w:tcPr>
          <w:p w14:paraId="4C86F9BC">
            <w:pPr>
              <w:pStyle w:val="31"/>
              <w:rPr>
                <w:szCs w:val="24"/>
              </w:rPr>
            </w:pPr>
            <w:r>
              <w:rPr>
                <w:rFonts w:hint="eastAsia"/>
                <w:szCs w:val="24"/>
              </w:rPr>
              <w:t>建设性质</w:t>
            </w:r>
          </w:p>
        </w:tc>
        <w:tc>
          <w:tcPr>
            <w:tcW w:w="2018" w:type="dxa"/>
            <w:vAlign w:val="center"/>
          </w:tcPr>
          <w:p w14:paraId="1073204A">
            <w:pPr>
              <w:pStyle w:val="31"/>
              <w:jc w:val="left"/>
              <w:rPr>
                <w:szCs w:val="24"/>
              </w:rPr>
            </w:pPr>
            <w:r>
              <w:rPr>
                <w:szCs w:val="24"/>
              </w:rPr>
              <w:sym w:font="Wingdings" w:char="00FE"/>
            </w:r>
            <w:r>
              <w:rPr>
                <w:rFonts w:hint="eastAsia"/>
                <w:szCs w:val="24"/>
              </w:rPr>
              <w:t>新建（迁建）</w:t>
            </w:r>
          </w:p>
          <w:p w14:paraId="03C744A7">
            <w:pPr>
              <w:pStyle w:val="31"/>
              <w:jc w:val="left"/>
              <w:rPr>
                <w:szCs w:val="24"/>
              </w:rPr>
            </w:pPr>
            <w:r>
              <w:rPr>
                <w:rFonts w:hint="eastAsia"/>
                <w:szCs w:val="24"/>
              </w:rPr>
              <w:sym w:font="Wingdings" w:char="00A8"/>
            </w:r>
            <w:r>
              <w:rPr>
                <w:rFonts w:hint="eastAsia"/>
                <w:szCs w:val="24"/>
              </w:rPr>
              <w:t>改建</w:t>
            </w:r>
          </w:p>
          <w:p w14:paraId="0348F034">
            <w:pPr>
              <w:pStyle w:val="31"/>
              <w:jc w:val="left"/>
              <w:rPr>
                <w:szCs w:val="24"/>
              </w:rPr>
            </w:pPr>
            <w:r>
              <w:rPr>
                <w:rFonts w:hint="eastAsia"/>
                <w:szCs w:val="24"/>
              </w:rPr>
              <w:sym w:font="Wingdings" w:char="00A8"/>
            </w:r>
            <w:r>
              <w:rPr>
                <w:rFonts w:hint="eastAsia"/>
                <w:szCs w:val="24"/>
              </w:rPr>
              <w:t>扩建</w:t>
            </w:r>
          </w:p>
          <w:p w14:paraId="7F07EEBA">
            <w:pPr>
              <w:pStyle w:val="31"/>
              <w:jc w:val="left"/>
              <w:rPr>
                <w:szCs w:val="24"/>
              </w:rPr>
            </w:pPr>
            <w:r>
              <w:rPr>
                <w:rFonts w:hint="eastAsia"/>
                <w:szCs w:val="24"/>
              </w:rPr>
              <w:sym w:font="Wingdings" w:char="00A8"/>
            </w:r>
            <w:r>
              <w:rPr>
                <w:rFonts w:hint="eastAsia"/>
                <w:szCs w:val="24"/>
              </w:rPr>
              <w:t>技术改造</w:t>
            </w:r>
          </w:p>
        </w:tc>
        <w:tc>
          <w:tcPr>
            <w:tcW w:w="2168" w:type="dxa"/>
            <w:vAlign w:val="center"/>
          </w:tcPr>
          <w:p w14:paraId="7252EE8F">
            <w:pPr>
              <w:pStyle w:val="31"/>
              <w:rPr>
                <w:szCs w:val="24"/>
              </w:rPr>
            </w:pPr>
            <w:r>
              <w:rPr>
                <w:rFonts w:hint="eastAsia"/>
                <w:szCs w:val="24"/>
              </w:rPr>
              <w:t>建设项目</w:t>
            </w:r>
          </w:p>
          <w:p w14:paraId="2531C741">
            <w:pPr>
              <w:pStyle w:val="31"/>
              <w:rPr>
                <w:szCs w:val="24"/>
              </w:rPr>
            </w:pPr>
            <w:r>
              <w:rPr>
                <w:rFonts w:hint="eastAsia"/>
                <w:szCs w:val="24"/>
              </w:rPr>
              <w:t>申报情形</w:t>
            </w:r>
          </w:p>
        </w:tc>
        <w:tc>
          <w:tcPr>
            <w:tcW w:w="3314" w:type="dxa"/>
            <w:vAlign w:val="center"/>
          </w:tcPr>
          <w:p w14:paraId="2991252D">
            <w:pPr>
              <w:pStyle w:val="31"/>
              <w:jc w:val="left"/>
              <w:rPr>
                <w:szCs w:val="24"/>
              </w:rPr>
            </w:pPr>
            <w:r>
              <w:rPr>
                <w:rFonts w:hint="eastAsia"/>
                <w:szCs w:val="24"/>
              </w:rPr>
              <w:sym w:font="Wingdings" w:char="00FE"/>
            </w:r>
            <w:r>
              <w:rPr>
                <w:rFonts w:hint="eastAsia"/>
                <w:szCs w:val="24"/>
              </w:rPr>
              <w:t>首次申报项目</w:t>
            </w:r>
          </w:p>
          <w:p w14:paraId="2B3C865A">
            <w:pPr>
              <w:pStyle w:val="31"/>
              <w:jc w:val="left"/>
              <w:rPr>
                <w:szCs w:val="24"/>
              </w:rPr>
            </w:pPr>
            <w:r>
              <w:rPr>
                <w:rFonts w:hint="eastAsia"/>
                <w:szCs w:val="24"/>
              </w:rPr>
              <w:sym w:font="Wingdings" w:char="00A8"/>
            </w:r>
            <w:r>
              <w:rPr>
                <w:rFonts w:hint="eastAsia"/>
                <w:szCs w:val="24"/>
              </w:rPr>
              <w:t>不予批准后再次申报项目</w:t>
            </w:r>
          </w:p>
          <w:p w14:paraId="19EB80AC">
            <w:pPr>
              <w:pStyle w:val="31"/>
              <w:jc w:val="left"/>
              <w:rPr>
                <w:szCs w:val="24"/>
              </w:rPr>
            </w:pPr>
            <w:r>
              <w:rPr>
                <w:rFonts w:hint="eastAsia"/>
                <w:szCs w:val="24"/>
              </w:rPr>
              <w:sym w:font="Wingdings" w:char="00A8"/>
            </w:r>
            <w:r>
              <w:rPr>
                <w:rFonts w:hint="eastAsia"/>
                <w:szCs w:val="24"/>
              </w:rPr>
              <w:t>超五年重新审核项目</w:t>
            </w:r>
          </w:p>
          <w:p w14:paraId="441A3702">
            <w:pPr>
              <w:pStyle w:val="31"/>
              <w:jc w:val="left"/>
              <w:rPr>
                <w:szCs w:val="24"/>
              </w:rPr>
            </w:pPr>
            <w:r>
              <w:rPr>
                <w:rFonts w:hint="eastAsia"/>
                <w:szCs w:val="24"/>
              </w:rPr>
              <w:sym w:font="Wingdings" w:char="00A8"/>
            </w:r>
            <w:r>
              <w:rPr>
                <w:rFonts w:hint="eastAsia"/>
                <w:szCs w:val="24"/>
              </w:rPr>
              <w:t>重大变动重新报批项目</w:t>
            </w:r>
          </w:p>
        </w:tc>
      </w:tr>
      <w:tr w14:paraId="7755F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1571" w:type="dxa"/>
            <w:tcMar>
              <w:top w:w="16" w:type="dxa"/>
              <w:left w:w="16" w:type="dxa"/>
              <w:right w:w="16" w:type="dxa"/>
            </w:tcMar>
            <w:vAlign w:val="center"/>
          </w:tcPr>
          <w:p w14:paraId="76D5F0A7">
            <w:pPr>
              <w:pStyle w:val="31"/>
              <w:rPr>
                <w:szCs w:val="24"/>
              </w:rPr>
            </w:pPr>
            <w:r>
              <w:rPr>
                <w:rFonts w:hint="eastAsia"/>
                <w:szCs w:val="24"/>
              </w:rPr>
              <w:t>项目审批（核准</w:t>
            </w:r>
            <w:r>
              <w:rPr>
                <w:szCs w:val="24"/>
              </w:rPr>
              <w:t>/</w:t>
            </w:r>
            <w:r>
              <w:rPr>
                <w:rFonts w:hint="eastAsia"/>
                <w:szCs w:val="24"/>
              </w:rPr>
              <w:t>备案）部门（选填）</w:t>
            </w:r>
          </w:p>
        </w:tc>
        <w:tc>
          <w:tcPr>
            <w:tcW w:w="2018" w:type="dxa"/>
            <w:vAlign w:val="center"/>
          </w:tcPr>
          <w:p w14:paraId="1C1A76ED">
            <w:pPr>
              <w:pStyle w:val="31"/>
              <w:rPr>
                <w:szCs w:val="24"/>
              </w:rPr>
            </w:pPr>
            <w:r>
              <w:rPr>
                <w:rFonts w:hint="eastAsia"/>
                <w:szCs w:val="24"/>
              </w:rPr>
              <w:t>唐山高新技术产业开发区行政审批局</w:t>
            </w:r>
          </w:p>
        </w:tc>
        <w:tc>
          <w:tcPr>
            <w:tcW w:w="2168" w:type="dxa"/>
            <w:vAlign w:val="center"/>
          </w:tcPr>
          <w:p w14:paraId="271B67A8">
            <w:pPr>
              <w:pStyle w:val="31"/>
              <w:rPr>
                <w:szCs w:val="24"/>
              </w:rPr>
            </w:pPr>
            <w:r>
              <w:rPr>
                <w:rFonts w:hint="eastAsia"/>
                <w:szCs w:val="24"/>
              </w:rPr>
              <w:t>项目审批（核准</w:t>
            </w:r>
            <w:r>
              <w:rPr>
                <w:szCs w:val="24"/>
              </w:rPr>
              <w:t>/</w:t>
            </w:r>
          </w:p>
          <w:p w14:paraId="09084459">
            <w:pPr>
              <w:pStyle w:val="31"/>
              <w:rPr>
                <w:szCs w:val="24"/>
              </w:rPr>
            </w:pPr>
            <w:r>
              <w:rPr>
                <w:rFonts w:hint="eastAsia"/>
                <w:szCs w:val="24"/>
              </w:rPr>
              <w:t>备案）文号（选填）</w:t>
            </w:r>
          </w:p>
        </w:tc>
        <w:tc>
          <w:tcPr>
            <w:tcW w:w="3314" w:type="dxa"/>
            <w:vAlign w:val="center"/>
          </w:tcPr>
          <w:p w14:paraId="2154802A">
            <w:pPr>
              <w:pStyle w:val="31"/>
              <w:rPr>
                <w:szCs w:val="24"/>
              </w:rPr>
            </w:pPr>
            <w:r>
              <w:rPr>
                <w:rFonts w:hint="eastAsia"/>
                <w:szCs w:val="24"/>
              </w:rPr>
              <w:t>/</w:t>
            </w:r>
          </w:p>
        </w:tc>
      </w:tr>
      <w:tr w14:paraId="1BDC1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571" w:type="dxa"/>
            <w:tcMar>
              <w:top w:w="16" w:type="dxa"/>
              <w:left w:w="16" w:type="dxa"/>
              <w:right w:w="16" w:type="dxa"/>
            </w:tcMar>
            <w:vAlign w:val="center"/>
          </w:tcPr>
          <w:p w14:paraId="0A03288B">
            <w:pPr>
              <w:pStyle w:val="31"/>
              <w:rPr>
                <w:szCs w:val="24"/>
              </w:rPr>
            </w:pPr>
            <w:r>
              <w:rPr>
                <w:rFonts w:hint="eastAsia"/>
                <w:szCs w:val="24"/>
              </w:rPr>
              <w:t>总投资（万元）</w:t>
            </w:r>
          </w:p>
        </w:tc>
        <w:tc>
          <w:tcPr>
            <w:tcW w:w="2018" w:type="dxa"/>
            <w:vAlign w:val="center"/>
          </w:tcPr>
          <w:p w14:paraId="53C00E99">
            <w:pPr>
              <w:pStyle w:val="31"/>
              <w:rPr>
                <w:szCs w:val="24"/>
              </w:rPr>
            </w:pPr>
            <w:r>
              <w:rPr>
                <w:rFonts w:hint="eastAsia"/>
                <w:szCs w:val="24"/>
              </w:rPr>
              <w:t>10300</w:t>
            </w:r>
          </w:p>
        </w:tc>
        <w:tc>
          <w:tcPr>
            <w:tcW w:w="2168" w:type="dxa"/>
            <w:tcMar>
              <w:top w:w="16" w:type="dxa"/>
              <w:left w:w="16" w:type="dxa"/>
              <w:right w:w="16" w:type="dxa"/>
            </w:tcMar>
            <w:vAlign w:val="center"/>
          </w:tcPr>
          <w:p w14:paraId="1359DD96">
            <w:pPr>
              <w:pStyle w:val="31"/>
              <w:rPr>
                <w:szCs w:val="24"/>
              </w:rPr>
            </w:pPr>
            <w:r>
              <w:rPr>
                <w:rFonts w:hint="eastAsia"/>
                <w:szCs w:val="24"/>
              </w:rPr>
              <w:t>环保投资（万元）</w:t>
            </w:r>
          </w:p>
        </w:tc>
        <w:tc>
          <w:tcPr>
            <w:tcW w:w="3314" w:type="dxa"/>
            <w:vAlign w:val="center"/>
          </w:tcPr>
          <w:p w14:paraId="789E201F">
            <w:pPr>
              <w:pStyle w:val="31"/>
              <w:rPr>
                <w:szCs w:val="24"/>
              </w:rPr>
            </w:pPr>
            <w:r>
              <w:rPr>
                <w:rFonts w:hint="eastAsia"/>
                <w:szCs w:val="24"/>
                <w:highlight w:val="none"/>
              </w:rPr>
              <w:t>40</w:t>
            </w:r>
          </w:p>
        </w:tc>
      </w:tr>
      <w:tr w14:paraId="5CCB9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71" w:type="dxa"/>
            <w:tcMar>
              <w:top w:w="16" w:type="dxa"/>
              <w:left w:w="16" w:type="dxa"/>
              <w:right w:w="16" w:type="dxa"/>
            </w:tcMar>
            <w:vAlign w:val="center"/>
          </w:tcPr>
          <w:p w14:paraId="669E5029">
            <w:pPr>
              <w:pStyle w:val="31"/>
              <w:rPr>
                <w:szCs w:val="24"/>
              </w:rPr>
            </w:pPr>
            <w:r>
              <w:rPr>
                <w:rFonts w:hint="eastAsia"/>
                <w:szCs w:val="24"/>
              </w:rPr>
              <w:t>环保投资占比（</w:t>
            </w:r>
            <w:r>
              <w:rPr>
                <w:szCs w:val="24"/>
              </w:rPr>
              <w:t>%</w:t>
            </w:r>
            <w:r>
              <w:rPr>
                <w:rFonts w:hint="eastAsia"/>
                <w:szCs w:val="24"/>
              </w:rPr>
              <w:t>）</w:t>
            </w:r>
          </w:p>
        </w:tc>
        <w:tc>
          <w:tcPr>
            <w:tcW w:w="2018" w:type="dxa"/>
            <w:vAlign w:val="center"/>
          </w:tcPr>
          <w:p w14:paraId="00545727">
            <w:pPr>
              <w:pStyle w:val="31"/>
              <w:rPr>
                <w:szCs w:val="24"/>
              </w:rPr>
            </w:pPr>
            <w:r>
              <w:rPr>
                <w:rFonts w:hint="eastAsia"/>
                <w:szCs w:val="24"/>
                <w:highlight w:val="none"/>
              </w:rPr>
              <w:t>0.4%</w:t>
            </w:r>
          </w:p>
        </w:tc>
        <w:tc>
          <w:tcPr>
            <w:tcW w:w="2168" w:type="dxa"/>
            <w:tcMar>
              <w:top w:w="16" w:type="dxa"/>
              <w:left w:w="16" w:type="dxa"/>
              <w:right w:w="16" w:type="dxa"/>
            </w:tcMar>
            <w:vAlign w:val="center"/>
          </w:tcPr>
          <w:p w14:paraId="70E89DF2">
            <w:pPr>
              <w:pStyle w:val="31"/>
              <w:rPr>
                <w:szCs w:val="24"/>
              </w:rPr>
            </w:pPr>
            <w:r>
              <w:rPr>
                <w:rFonts w:hint="eastAsia"/>
                <w:szCs w:val="24"/>
              </w:rPr>
              <w:t>施工工期</w:t>
            </w:r>
          </w:p>
        </w:tc>
        <w:tc>
          <w:tcPr>
            <w:tcW w:w="3314" w:type="dxa"/>
            <w:vAlign w:val="center"/>
          </w:tcPr>
          <w:p w14:paraId="66EA8EF0">
            <w:pPr>
              <w:pStyle w:val="31"/>
              <w:rPr>
                <w:szCs w:val="24"/>
              </w:rPr>
            </w:pPr>
            <w:r>
              <w:rPr>
                <w:rFonts w:hint="eastAsia"/>
                <w:szCs w:val="24"/>
              </w:rPr>
              <w:t>10</w:t>
            </w:r>
            <w:r>
              <w:rPr>
                <w:szCs w:val="24"/>
              </w:rPr>
              <w:t>个月</w:t>
            </w:r>
          </w:p>
        </w:tc>
      </w:tr>
      <w:tr w14:paraId="0574B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1571" w:type="dxa"/>
            <w:tcMar>
              <w:top w:w="16" w:type="dxa"/>
              <w:left w:w="16" w:type="dxa"/>
              <w:right w:w="16" w:type="dxa"/>
            </w:tcMar>
            <w:vAlign w:val="center"/>
          </w:tcPr>
          <w:p w14:paraId="328382F4">
            <w:pPr>
              <w:pStyle w:val="31"/>
              <w:rPr>
                <w:szCs w:val="24"/>
              </w:rPr>
            </w:pPr>
            <w:r>
              <w:rPr>
                <w:rFonts w:hint="eastAsia"/>
                <w:szCs w:val="24"/>
              </w:rPr>
              <w:t>是否开工建设</w:t>
            </w:r>
          </w:p>
        </w:tc>
        <w:tc>
          <w:tcPr>
            <w:tcW w:w="2018" w:type="dxa"/>
            <w:vAlign w:val="center"/>
          </w:tcPr>
          <w:p w14:paraId="07E26755">
            <w:pPr>
              <w:pStyle w:val="31"/>
              <w:jc w:val="left"/>
              <w:rPr>
                <w:szCs w:val="24"/>
              </w:rPr>
            </w:pPr>
            <w:r>
              <w:rPr>
                <w:rFonts w:hint="eastAsia"/>
                <w:szCs w:val="24"/>
              </w:rPr>
              <w:sym w:font="Wingdings" w:char="00FE"/>
            </w:r>
            <w:r>
              <w:rPr>
                <w:rFonts w:hint="eastAsia"/>
                <w:szCs w:val="24"/>
              </w:rPr>
              <w:t>否</w:t>
            </w:r>
          </w:p>
          <w:p w14:paraId="274A6457">
            <w:pPr>
              <w:pStyle w:val="31"/>
              <w:jc w:val="left"/>
              <w:rPr>
                <w:szCs w:val="24"/>
              </w:rPr>
            </w:pPr>
            <w:r>
              <w:rPr>
                <w:rFonts w:hint="eastAsia"/>
                <w:szCs w:val="24"/>
              </w:rPr>
              <w:sym w:font="Wingdings" w:char="00A8"/>
            </w:r>
            <w:r>
              <w:rPr>
                <w:rFonts w:hint="eastAsia"/>
                <w:szCs w:val="24"/>
              </w:rPr>
              <w:t>是：</w:t>
            </w:r>
            <w:r>
              <w:rPr>
                <w:rFonts w:hint="eastAsia"/>
                <w:szCs w:val="24"/>
                <w:u w:val="single"/>
              </w:rPr>
              <w:t xml:space="preserve">              </w:t>
            </w:r>
            <w:r>
              <w:rPr>
                <w:rFonts w:hint="eastAsia"/>
                <w:szCs w:val="24"/>
              </w:rPr>
              <w:t xml:space="preserve">             </w:t>
            </w:r>
          </w:p>
        </w:tc>
        <w:tc>
          <w:tcPr>
            <w:tcW w:w="2168" w:type="dxa"/>
            <w:tcMar>
              <w:top w:w="16" w:type="dxa"/>
              <w:left w:w="16" w:type="dxa"/>
              <w:right w:w="16" w:type="dxa"/>
            </w:tcMar>
            <w:vAlign w:val="center"/>
          </w:tcPr>
          <w:p w14:paraId="4C475751">
            <w:pPr>
              <w:pStyle w:val="31"/>
              <w:rPr>
                <w:szCs w:val="24"/>
              </w:rPr>
            </w:pPr>
            <w:r>
              <w:rPr>
                <w:rFonts w:hint="eastAsia"/>
                <w:szCs w:val="24"/>
              </w:rPr>
              <w:t>用地（用海）</w:t>
            </w:r>
          </w:p>
          <w:p w14:paraId="70188268">
            <w:pPr>
              <w:pStyle w:val="31"/>
              <w:rPr>
                <w:szCs w:val="24"/>
              </w:rPr>
            </w:pPr>
            <w:r>
              <w:rPr>
                <w:rFonts w:hint="eastAsia"/>
                <w:szCs w:val="24"/>
              </w:rPr>
              <w:t>面积</w:t>
            </w:r>
            <w:r>
              <w:rPr>
                <w:szCs w:val="24"/>
              </w:rPr>
              <w:t>（m</w:t>
            </w:r>
            <w:r>
              <w:rPr>
                <w:szCs w:val="24"/>
                <w:vertAlign w:val="superscript"/>
              </w:rPr>
              <w:t>2</w:t>
            </w:r>
            <w:r>
              <w:rPr>
                <w:szCs w:val="24"/>
              </w:rPr>
              <w:t>）</w:t>
            </w:r>
          </w:p>
        </w:tc>
        <w:tc>
          <w:tcPr>
            <w:tcW w:w="3314" w:type="dxa"/>
            <w:vAlign w:val="center"/>
          </w:tcPr>
          <w:p w14:paraId="256242A1">
            <w:pPr>
              <w:pStyle w:val="31"/>
              <w:rPr>
                <w:szCs w:val="24"/>
              </w:rPr>
            </w:pPr>
            <w:r>
              <w:rPr>
                <w:rFonts w:hint="eastAsia"/>
                <w:szCs w:val="24"/>
              </w:rPr>
              <w:t>13548.62</w:t>
            </w:r>
            <w:r>
              <w:rPr>
                <w:szCs w:val="24"/>
              </w:rPr>
              <w:t>m</w:t>
            </w:r>
            <w:r>
              <w:rPr>
                <w:szCs w:val="24"/>
                <w:vertAlign w:val="superscript"/>
              </w:rPr>
              <w:t>2</w:t>
            </w:r>
          </w:p>
        </w:tc>
      </w:tr>
      <w:tr w14:paraId="3481C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71" w:type="dxa"/>
            <w:vAlign w:val="center"/>
          </w:tcPr>
          <w:p w14:paraId="6273E949">
            <w:pPr>
              <w:pStyle w:val="31"/>
              <w:rPr>
                <w:szCs w:val="24"/>
              </w:rPr>
            </w:pPr>
            <w:r>
              <w:rPr>
                <w:rFonts w:hint="eastAsia"/>
                <w:szCs w:val="24"/>
              </w:rPr>
              <w:t>专项评价设置情况</w:t>
            </w:r>
          </w:p>
        </w:tc>
        <w:tc>
          <w:tcPr>
            <w:tcW w:w="7500" w:type="dxa"/>
            <w:gridSpan w:val="3"/>
            <w:vAlign w:val="center"/>
          </w:tcPr>
          <w:p w14:paraId="33B92A4B">
            <w:pPr>
              <w:pStyle w:val="31"/>
              <w:spacing w:line="360" w:lineRule="auto"/>
              <w:rPr>
                <w:szCs w:val="24"/>
              </w:rPr>
            </w:pPr>
            <w:r>
              <w:rPr>
                <w:rFonts w:hint="eastAsia"/>
                <w:szCs w:val="24"/>
              </w:rPr>
              <w:t>无</w:t>
            </w:r>
          </w:p>
        </w:tc>
      </w:tr>
      <w:tr w14:paraId="5A53A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71" w:type="dxa"/>
            <w:vAlign w:val="center"/>
          </w:tcPr>
          <w:p w14:paraId="2BF2074A">
            <w:pPr>
              <w:pStyle w:val="31"/>
              <w:rPr>
                <w:szCs w:val="24"/>
              </w:rPr>
            </w:pPr>
            <w:r>
              <w:rPr>
                <w:rFonts w:hint="eastAsia"/>
                <w:szCs w:val="24"/>
              </w:rPr>
              <w:t>规划情况</w:t>
            </w:r>
          </w:p>
        </w:tc>
        <w:tc>
          <w:tcPr>
            <w:tcW w:w="7500" w:type="dxa"/>
            <w:gridSpan w:val="3"/>
            <w:vAlign w:val="center"/>
          </w:tcPr>
          <w:p w14:paraId="493AD639">
            <w:pPr>
              <w:autoSpaceDE w:val="0"/>
              <w:autoSpaceDN w:val="0"/>
              <w:adjustRightInd w:val="0"/>
              <w:snapToGrid w:val="0"/>
              <w:ind w:firstLine="0" w:firstLineChars="0"/>
              <w:jc w:val="center"/>
            </w:pPr>
            <w:r>
              <w:rPr>
                <w:rFonts w:hint="eastAsia"/>
                <w:kern w:val="0"/>
              </w:rPr>
              <w:t>唐山高新区京唐智慧港总体规划（</w:t>
            </w:r>
            <w:r>
              <w:rPr>
                <w:kern w:val="0"/>
              </w:rPr>
              <w:t>20</w:t>
            </w:r>
            <w:r>
              <w:rPr>
                <w:rFonts w:hint="eastAsia"/>
                <w:kern w:val="0"/>
              </w:rPr>
              <w:t>20</w:t>
            </w:r>
            <w:r>
              <w:rPr>
                <w:kern w:val="0"/>
              </w:rPr>
              <w:t>～20</w:t>
            </w:r>
            <w:r>
              <w:rPr>
                <w:rFonts w:hint="eastAsia"/>
                <w:kern w:val="0"/>
              </w:rPr>
              <w:t>35</w:t>
            </w:r>
            <w:r>
              <w:rPr>
                <w:kern w:val="0"/>
              </w:rPr>
              <w:t>年</w:t>
            </w:r>
            <w:r>
              <w:rPr>
                <w:rFonts w:hint="eastAsia"/>
                <w:kern w:val="0"/>
              </w:rPr>
              <w:t>）</w:t>
            </w:r>
          </w:p>
        </w:tc>
      </w:tr>
      <w:tr w14:paraId="1D0E7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71" w:type="dxa"/>
            <w:vAlign w:val="center"/>
          </w:tcPr>
          <w:p w14:paraId="43CB60E7">
            <w:pPr>
              <w:pStyle w:val="31"/>
              <w:rPr>
                <w:szCs w:val="24"/>
              </w:rPr>
            </w:pPr>
            <w:r>
              <w:rPr>
                <w:rFonts w:hint="eastAsia"/>
                <w:szCs w:val="24"/>
              </w:rPr>
              <w:t>规划环境影响评价情况</w:t>
            </w:r>
          </w:p>
        </w:tc>
        <w:tc>
          <w:tcPr>
            <w:tcW w:w="7500" w:type="dxa"/>
            <w:gridSpan w:val="3"/>
            <w:vAlign w:val="center"/>
          </w:tcPr>
          <w:p w14:paraId="3B78897F">
            <w:pPr>
              <w:autoSpaceDE w:val="0"/>
              <w:autoSpaceDN w:val="0"/>
              <w:adjustRightInd w:val="0"/>
              <w:snapToGrid w:val="0"/>
              <w:ind w:firstLine="0" w:firstLineChars="0"/>
              <w:rPr>
                <w:kern w:val="0"/>
              </w:rPr>
            </w:pPr>
            <w:r>
              <w:rPr>
                <w:rFonts w:hint="eastAsia"/>
                <w:kern w:val="0"/>
              </w:rPr>
              <w:t>文件名称：</w:t>
            </w:r>
            <w:r>
              <w:rPr>
                <w:kern w:val="0"/>
              </w:rPr>
              <w:t>《</w:t>
            </w:r>
            <w:r>
              <w:rPr>
                <w:rFonts w:hint="eastAsia"/>
                <w:kern w:val="0"/>
              </w:rPr>
              <w:t>唐山高新区京唐智慧港总体规划（2020-2035）环境影响报告书</w:t>
            </w:r>
            <w:r>
              <w:rPr>
                <w:kern w:val="0"/>
              </w:rPr>
              <w:t>》</w:t>
            </w:r>
          </w:p>
          <w:p w14:paraId="04095B7B">
            <w:pPr>
              <w:autoSpaceDE w:val="0"/>
              <w:autoSpaceDN w:val="0"/>
              <w:adjustRightInd w:val="0"/>
              <w:snapToGrid w:val="0"/>
              <w:ind w:firstLine="0" w:firstLineChars="0"/>
              <w:rPr>
                <w:kern w:val="0"/>
              </w:rPr>
            </w:pPr>
            <w:r>
              <w:rPr>
                <w:rFonts w:hint="eastAsia"/>
                <w:kern w:val="0"/>
              </w:rPr>
              <w:t>召集审查机关：唐山市生态环境局</w:t>
            </w:r>
          </w:p>
          <w:p w14:paraId="03204140">
            <w:pPr>
              <w:autoSpaceDE w:val="0"/>
              <w:autoSpaceDN w:val="0"/>
              <w:adjustRightInd w:val="0"/>
              <w:snapToGrid w:val="0"/>
              <w:ind w:firstLine="0" w:firstLineChars="0"/>
            </w:pPr>
            <w:r>
              <w:rPr>
                <w:rFonts w:hint="eastAsia"/>
                <w:kern w:val="0"/>
              </w:rPr>
              <w:t>审查文件及文号：</w:t>
            </w:r>
            <w:r>
              <w:rPr>
                <w:kern w:val="0"/>
              </w:rPr>
              <w:t>《</w:t>
            </w:r>
            <w:r>
              <w:rPr>
                <w:rFonts w:hint="eastAsia"/>
                <w:kern w:val="0"/>
              </w:rPr>
              <w:t>唐山市生态环境局</w:t>
            </w:r>
            <w:r>
              <w:rPr>
                <w:kern w:val="0"/>
              </w:rPr>
              <w:t>关于转送</w:t>
            </w:r>
            <w:r>
              <w:rPr>
                <w:rFonts w:hint="eastAsia"/>
                <w:kern w:val="0"/>
              </w:rPr>
              <w:t>唐山高新区京唐智慧港总体规划（2020-2035）环境影响报告书审查意见的函</w:t>
            </w:r>
            <w:r>
              <w:rPr>
                <w:kern w:val="0"/>
              </w:rPr>
              <w:t>》（</w:t>
            </w:r>
            <w:r>
              <w:rPr>
                <w:rFonts w:hint="eastAsia"/>
                <w:kern w:val="0"/>
              </w:rPr>
              <w:t>唐</w:t>
            </w:r>
            <w:r>
              <w:rPr>
                <w:kern w:val="0"/>
              </w:rPr>
              <w:t>环评函[20</w:t>
            </w:r>
            <w:r>
              <w:rPr>
                <w:rFonts w:hint="eastAsia"/>
                <w:kern w:val="0"/>
              </w:rPr>
              <w:t>20</w:t>
            </w:r>
            <w:r>
              <w:rPr>
                <w:kern w:val="0"/>
              </w:rPr>
              <w:t>]</w:t>
            </w:r>
            <w:r>
              <w:rPr>
                <w:rFonts w:hint="eastAsia"/>
                <w:kern w:val="0"/>
              </w:rPr>
              <w:t>42</w:t>
            </w:r>
            <w:r>
              <w:rPr>
                <w:kern w:val="0"/>
              </w:rPr>
              <w:t>号</w:t>
            </w:r>
            <w:r>
              <w:rPr>
                <w:rFonts w:hint="eastAsia"/>
                <w:kern w:val="0"/>
              </w:rPr>
              <w:t>）</w:t>
            </w:r>
          </w:p>
        </w:tc>
      </w:tr>
      <w:tr w14:paraId="23794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2" w:hRule="atLeast"/>
          <w:jc w:val="center"/>
        </w:trPr>
        <w:tc>
          <w:tcPr>
            <w:tcW w:w="1571" w:type="dxa"/>
            <w:vAlign w:val="center"/>
          </w:tcPr>
          <w:p w14:paraId="4D400BD5">
            <w:pPr>
              <w:pStyle w:val="31"/>
              <w:rPr>
                <w:szCs w:val="24"/>
              </w:rPr>
            </w:pPr>
            <w:r>
              <w:rPr>
                <w:rFonts w:hint="eastAsia"/>
                <w:szCs w:val="24"/>
              </w:rPr>
              <w:t>规划及规划环境影响评价符合性分析</w:t>
            </w:r>
          </w:p>
        </w:tc>
        <w:tc>
          <w:tcPr>
            <w:tcW w:w="7500" w:type="dxa"/>
            <w:gridSpan w:val="3"/>
            <w:vAlign w:val="center"/>
          </w:tcPr>
          <w:p w14:paraId="7634ECCB">
            <w:pPr>
              <w:ind w:firstLine="480"/>
            </w:pPr>
            <w:r>
              <w:rPr>
                <w:rFonts w:hint="eastAsia"/>
              </w:rPr>
              <w:t>一</w:t>
            </w:r>
            <w:r>
              <w:t>、</w:t>
            </w:r>
            <w:r>
              <w:rPr>
                <w:rFonts w:hint="eastAsia"/>
              </w:rPr>
              <w:t>与园区规划符合性分析</w:t>
            </w:r>
          </w:p>
          <w:p w14:paraId="2C6BC76C">
            <w:pPr>
              <w:ind w:firstLine="480"/>
            </w:pPr>
            <w:r>
              <w:rPr>
                <w:rFonts w:hint="eastAsia"/>
              </w:rPr>
              <w:t>唐山高新区京唐智慧港是在唐山空港城起步区基础上进行扩区，重新调整规划，由原来5.27平方公里扩大为15平方公里。</w:t>
            </w:r>
          </w:p>
          <w:p w14:paraId="517A1108">
            <w:pPr>
              <w:ind w:firstLine="480"/>
            </w:pPr>
            <w:r>
              <w:rPr>
                <w:rFonts w:hint="eastAsia"/>
              </w:rPr>
              <w:t>规划范围：北起滨河道，南至规划纬八路，西起规划经一路，东至规划经二十一路，总面积1500公顷（共15km</w:t>
            </w:r>
            <w:r>
              <w:rPr>
                <w:rFonts w:hint="eastAsia"/>
                <w:vertAlign w:val="superscript"/>
              </w:rPr>
              <w:t>2</w:t>
            </w:r>
            <w:r>
              <w:rPr>
                <w:rFonts w:hint="eastAsia"/>
              </w:rPr>
              <w:t>），其中高新技术产业用地315公顷，现代物流业用地74公顷，公共服务设施用地302公顷，现代服务业用地167公顷，现代化新型社区用地642公顷。</w:t>
            </w:r>
          </w:p>
          <w:p w14:paraId="57F24928">
            <w:pPr>
              <w:ind w:firstLine="480"/>
            </w:pPr>
            <w:r>
              <w:rPr>
                <w:rFonts w:hint="eastAsia"/>
              </w:rPr>
              <w:t>发展定位：高新技术产业集聚区、转型升级示范区、中心城区重要增长点。</w:t>
            </w:r>
          </w:p>
          <w:p w14:paraId="3000D6A1">
            <w:pPr>
              <w:ind w:firstLine="480"/>
            </w:pPr>
            <w:r>
              <w:rPr>
                <w:rFonts w:hint="eastAsia"/>
              </w:rPr>
              <w:t>功能区主要为高新技术产业、现代物流业、现代服务业、现代新型社区，其中高新技术产业规划行业主要为机器人产业、高端装备制造业、新材料产业、节能环保产业、新一代信息技术产业、新能源汽车产业、新能源产业、数字创意产业、生物技术研究与应用产业等；现代物流业规划行业主要为供应链物流、仓储物流、数字化物流、保税物流、物流加工等；现代服务业规划行业主要为生产装备检修服务，科技中介、知识产权和标准化服务，金融服务，创新创业孵化服务，教育、养老、医疗等社会服务型产业；现代化新型社区主要以居住、公服配套为主要功能。</w:t>
            </w:r>
          </w:p>
          <w:p w14:paraId="2B834B96">
            <w:pPr>
              <w:ind w:firstLine="480"/>
              <w:rPr>
                <w:highlight w:val="none"/>
              </w:rPr>
            </w:pPr>
            <w:r>
              <w:rPr>
                <w:rFonts w:hint="eastAsia"/>
                <w:highlight w:val="none"/>
              </w:rPr>
              <w:t>基础设施：</w:t>
            </w:r>
          </w:p>
          <w:p w14:paraId="411FD05E">
            <w:pPr>
              <w:ind w:firstLine="480"/>
              <w:rPr>
                <w:highlight w:val="none"/>
              </w:rPr>
            </w:pPr>
            <w:r>
              <w:rPr>
                <w:rFonts w:hint="eastAsia"/>
                <w:highlight w:val="none"/>
              </w:rPr>
              <w:t>①给水</w:t>
            </w:r>
          </w:p>
          <w:p w14:paraId="3C581E16">
            <w:pPr>
              <w:ind w:firstLine="480"/>
              <w:rPr>
                <w:highlight w:val="none"/>
              </w:rPr>
            </w:pPr>
            <w:r>
              <w:rPr>
                <w:rFonts w:hint="eastAsia"/>
                <w:highlight w:val="none"/>
              </w:rPr>
              <w:t>水源来自园区在建一座水厂，设计供水量1万立方米/日，建设6眼自备井，井深180m左右，目标取水层为第四系第</w:t>
            </w:r>
            <w:r>
              <w:rPr>
                <w:rFonts w:hint="default" w:ascii="Times New Roman" w:hAnsi="Times New Roman" w:cs="Times New Roman"/>
                <w:highlight w:val="none"/>
              </w:rPr>
              <w:t>Ⅲ</w:t>
            </w:r>
            <w:r>
              <w:rPr>
                <w:rFonts w:hint="eastAsia"/>
                <w:highlight w:val="none"/>
              </w:rPr>
              <w:t>含水组孔隙水。该水厂已于2017年9月完成了《唐山高新区空港城片区自来水厂工程水资源论证报告书》编制，于2017年8完成审查，于2017年10月取得了唐山市水务局的取水许可，输水管由地表水厂经过加压输送至园区配水厂，水厂占地49033平方米。</w:t>
            </w:r>
          </w:p>
          <w:p w14:paraId="11022ED9">
            <w:pPr>
              <w:ind w:firstLine="480"/>
              <w:rPr>
                <w:highlight w:val="none"/>
              </w:rPr>
            </w:pPr>
            <w:r>
              <w:rPr>
                <w:rFonts w:hint="eastAsia"/>
                <w:highlight w:val="none"/>
              </w:rPr>
              <w:t>待该水厂供水能力不能满足园区后，引入邱庄水库地表水供水。</w:t>
            </w:r>
          </w:p>
          <w:p w14:paraId="4037FD68">
            <w:pPr>
              <w:ind w:firstLine="480"/>
              <w:rPr>
                <w:highlight w:val="none"/>
              </w:rPr>
            </w:pPr>
            <w:r>
              <w:rPr>
                <w:rFonts w:hint="eastAsia"/>
                <w:highlight w:val="none"/>
              </w:rPr>
              <w:t>②雨水管道</w:t>
            </w:r>
          </w:p>
          <w:p w14:paraId="61CAFE8F">
            <w:pPr>
              <w:ind w:firstLine="480"/>
              <w:rPr>
                <w:highlight w:val="none"/>
              </w:rPr>
            </w:pPr>
            <w:r>
              <w:rPr>
                <w:rFonts w:hint="eastAsia"/>
                <w:highlight w:val="none"/>
              </w:rPr>
              <w:t>开发区整体地势主要为东高西低，南高北低。东部地面高程在20m以上，西部地面高程不足10m。</w:t>
            </w:r>
          </w:p>
          <w:p w14:paraId="7D4B7ECD">
            <w:pPr>
              <w:ind w:firstLine="480"/>
              <w:rPr>
                <w:highlight w:val="none"/>
              </w:rPr>
            </w:pPr>
            <w:r>
              <w:rPr>
                <w:rFonts w:hint="eastAsia"/>
                <w:highlight w:val="none"/>
              </w:rPr>
              <w:t>开发区内采取雨污分流排放体制。由于开发区内现状及规划没有水体，因此雨水最终向西排入泥河。</w:t>
            </w:r>
          </w:p>
          <w:p w14:paraId="6B427DED">
            <w:pPr>
              <w:ind w:firstLine="480"/>
              <w:rPr>
                <w:highlight w:val="none"/>
              </w:rPr>
            </w:pPr>
            <w:r>
              <w:rPr>
                <w:rFonts w:hint="eastAsia"/>
                <w:highlight w:val="none"/>
              </w:rPr>
              <w:t>在开发区内沿路布置d800~d2600mm的规划雨水管道，地势走向一致，因此依据地势将开发区划分为三个排水分区，开发区内不设置雨水泵站。</w:t>
            </w:r>
          </w:p>
          <w:p w14:paraId="3819A05E">
            <w:pPr>
              <w:ind w:firstLine="480"/>
              <w:rPr>
                <w:highlight w:val="none"/>
              </w:rPr>
            </w:pPr>
            <w:r>
              <w:rPr>
                <w:rFonts w:hint="eastAsia"/>
                <w:highlight w:val="none"/>
              </w:rPr>
              <w:t>③污水处理厂</w:t>
            </w:r>
          </w:p>
          <w:p w14:paraId="39D64AA6">
            <w:pPr>
              <w:ind w:firstLine="480"/>
              <w:rPr>
                <w:highlight w:val="none"/>
              </w:rPr>
            </w:pPr>
            <w:r>
              <w:rPr>
                <w:rFonts w:hint="eastAsia"/>
                <w:highlight w:val="none"/>
              </w:rPr>
              <w:t>唐山空港城开发区污水处理厂计划分三期建设完成，现状已建成处理规模为1万立方米/日的污水处理厂，尾水排放标准为《城镇污水处理厂污染物排放标准》（GB18918-2002）一级A标准，排入泥河。</w:t>
            </w:r>
          </w:p>
          <w:p w14:paraId="2D4E33B0">
            <w:pPr>
              <w:ind w:firstLine="480"/>
              <w:rPr>
                <w:highlight w:val="none"/>
              </w:rPr>
            </w:pPr>
            <w:r>
              <w:rPr>
                <w:rFonts w:hint="eastAsia"/>
                <w:highlight w:val="none"/>
              </w:rPr>
              <w:t>中期扩建污水处理厂规模至6.15万立方米/日，远期扩建规模至10万立方米/日，污水处理规划用地15.05公顷。</w:t>
            </w:r>
          </w:p>
          <w:p w14:paraId="6D8105D8">
            <w:pPr>
              <w:ind w:firstLine="480"/>
              <w:rPr>
                <w:highlight w:val="none"/>
              </w:rPr>
            </w:pPr>
            <w:r>
              <w:rPr>
                <w:rFonts w:hint="eastAsia"/>
                <w:highlight w:val="none"/>
              </w:rPr>
              <w:t>④供热工程</w:t>
            </w:r>
          </w:p>
          <w:p w14:paraId="42637D4A">
            <w:pPr>
              <w:ind w:firstLine="480"/>
              <w:rPr>
                <w:highlight w:val="none"/>
              </w:rPr>
            </w:pPr>
            <w:r>
              <w:rPr>
                <w:rFonts w:hint="eastAsia"/>
                <w:highlight w:val="none"/>
              </w:rPr>
              <w:t>规划区内供热总负荷为260兆瓦。园区供暖制冷主要分集中供暖制冷和电空调两种方式。生产工艺供热不进行集中供热，需企业采用天然气、电能等清洁能源自行解决。</w:t>
            </w:r>
          </w:p>
          <w:p w14:paraId="2E9C250A">
            <w:pPr>
              <w:ind w:firstLine="480"/>
              <w:rPr>
                <w:highlight w:val="none"/>
              </w:rPr>
            </w:pPr>
            <w:r>
              <w:rPr>
                <w:rFonts w:hint="eastAsia"/>
                <w:highlight w:val="none"/>
              </w:rPr>
              <w:t>规划区使用区域燃气锅炉供热，规划供热管道沿市政道路敷设，主要采用埋地敷设，部分地区可采用低支架架空敷设。待工程完成后可供热。</w:t>
            </w:r>
          </w:p>
          <w:p w14:paraId="1730FD6A">
            <w:pPr>
              <w:ind w:firstLine="480"/>
              <w:rPr>
                <w:highlight w:val="none"/>
              </w:rPr>
            </w:pPr>
            <w:r>
              <w:rPr>
                <w:highlight w:val="none"/>
              </w:rPr>
              <w:fldChar w:fldCharType="begin"/>
            </w:r>
            <w:r>
              <w:rPr>
                <w:highlight w:val="none"/>
              </w:rPr>
              <w:instrText xml:space="preserve"> </w:instrText>
            </w:r>
            <w:r>
              <w:rPr>
                <w:rFonts w:hint="eastAsia"/>
                <w:highlight w:val="none"/>
              </w:rPr>
              <w:instrText xml:space="preserve">= 5 \* GB3</w:instrText>
            </w:r>
            <w:r>
              <w:rPr>
                <w:highlight w:val="none"/>
              </w:rPr>
              <w:instrText xml:space="preserve"> </w:instrText>
            </w:r>
            <w:r>
              <w:rPr>
                <w:highlight w:val="none"/>
              </w:rPr>
              <w:fldChar w:fldCharType="separate"/>
            </w:r>
            <w:r>
              <w:rPr>
                <w:rFonts w:hint="eastAsia"/>
                <w:highlight w:val="none"/>
              </w:rPr>
              <w:t>⑤</w:t>
            </w:r>
            <w:r>
              <w:rPr>
                <w:highlight w:val="none"/>
              </w:rPr>
              <w:fldChar w:fldCharType="end"/>
            </w:r>
            <w:r>
              <w:rPr>
                <w:rFonts w:hint="eastAsia"/>
                <w:highlight w:val="none"/>
              </w:rPr>
              <w:t>供电工程</w:t>
            </w:r>
          </w:p>
          <w:p w14:paraId="3B64DF46">
            <w:pPr>
              <w:ind w:firstLine="480"/>
              <w:rPr>
                <w:highlight w:val="none"/>
              </w:rPr>
            </w:pPr>
            <w:r>
              <w:rPr>
                <w:rFonts w:hint="eastAsia"/>
                <w:highlight w:val="none"/>
              </w:rPr>
              <w:t>规划区电力总负荷为408兆瓦。规划区建设一座110千伏变电站，规模可选用2×5万千伏，占地8993平方米。上级电源来自和平（丰登坞）220kV变电站提供。</w:t>
            </w:r>
          </w:p>
          <w:p w14:paraId="5A84C0DF">
            <w:pPr>
              <w:ind w:firstLine="480"/>
              <w:rPr>
                <w:highlight w:val="none"/>
              </w:rPr>
            </w:pPr>
            <w:r>
              <w:rPr>
                <w:rFonts w:hint="eastAsia"/>
                <w:highlight w:val="none"/>
              </w:rPr>
              <w:t>规划10kV电力线路根据规划路网采用地下敷设方式，要简捷合理，避免拉线过长。</w:t>
            </w:r>
          </w:p>
          <w:p w14:paraId="24832843">
            <w:pPr>
              <w:ind w:firstLine="480"/>
              <w:rPr>
                <w:highlight w:val="none"/>
              </w:rPr>
            </w:pPr>
            <w:r>
              <w:rPr>
                <w:highlight w:val="none"/>
              </w:rPr>
              <w:fldChar w:fldCharType="begin"/>
            </w:r>
            <w:r>
              <w:rPr>
                <w:highlight w:val="none"/>
              </w:rPr>
              <w:instrText xml:space="preserve"> </w:instrText>
            </w:r>
            <w:r>
              <w:rPr>
                <w:rFonts w:hint="eastAsia"/>
                <w:highlight w:val="none"/>
              </w:rPr>
              <w:instrText xml:space="preserve">= 6 \* GB3</w:instrText>
            </w:r>
            <w:r>
              <w:rPr>
                <w:highlight w:val="none"/>
              </w:rPr>
              <w:instrText xml:space="preserve"> </w:instrText>
            </w:r>
            <w:r>
              <w:rPr>
                <w:highlight w:val="none"/>
              </w:rPr>
              <w:fldChar w:fldCharType="separate"/>
            </w:r>
            <w:r>
              <w:rPr>
                <w:rFonts w:hint="eastAsia"/>
                <w:highlight w:val="none"/>
              </w:rPr>
              <w:t>⑥</w:t>
            </w:r>
            <w:r>
              <w:rPr>
                <w:highlight w:val="none"/>
              </w:rPr>
              <w:fldChar w:fldCharType="end"/>
            </w:r>
            <w:r>
              <w:rPr>
                <w:rFonts w:hint="eastAsia"/>
                <w:highlight w:val="none"/>
              </w:rPr>
              <w:t>燃气工程</w:t>
            </w:r>
          </w:p>
          <w:p w14:paraId="72F30E87">
            <w:pPr>
              <w:ind w:firstLine="480"/>
              <w:rPr>
                <w:highlight w:val="none"/>
              </w:rPr>
            </w:pPr>
            <w:r>
              <w:rPr>
                <w:rFonts w:hint="eastAsia"/>
                <w:highlight w:val="none"/>
              </w:rPr>
              <w:t>规划产业园以天然气为主气源，气源由唐山空港门站接市政燃气管网，经门站高压</w:t>
            </w:r>
            <w:r>
              <w:rPr>
                <w:rFonts w:hint="eastAsia"/>
                <w:highlight w:val="none"/>
                <w:lang w:eastAsia="zh-CN"/>
              </w:rPr>
              <w:t>-</w:t>
            </w:r>
            <w:r>
              <w:rPr>
                <w:rFonts w:hint="eastAsia"/>
                <w:highlight w:val="none"/>
              </w:rPr>
              <w:t>次高压调压后接出次高压管线供气，管压0.8兆帕，供气能力为5600万m</w:t>
            </w:r>
            <w:r>
              <w:rPr>
                <w:rFonts w:hint="eastAsia"/>
                <w:highlight w:val="none"/>
                <w:vertAlign w:val="superscript"/>
              </w:rPr>
              <w:t>3</w:t>
            </w:r>
            <w:r>
              <w:rPr>
                <w:rFonts w:hint="eastAsia"/>
                <w:highlight w:val="none"/>
              </w:rPr>
              <w:t>/a。开发区内大型公建和工业用户自建调压设施满足用气需要。</w:t>
            </w:r>
          </w:p>
          <w:p w14:paraId="3AFB5D4D">
            <w:pPr>
              <w:ind w:firstLine="480"/>
              <w:rPr>
                <w:highlight w:val="none"/>
              </w:rPr>
            </w:pPr>
            <w:r>
              <w:rPr>
                <w:highlight w:val="none"/>
              </w:rPr>
              <w:fldChar w:fldCharType="begin"/>
            </w:r>
            <w:r>
              <w:rPr>
                <w:highlight w:val="none"/>
              </w:rPr>
              <w:instrText xml:space="preserve"> </w:instrText>
            </w:r>
            <w:r>
              <w:rPr>
                <w:rFonts w:hint="eastAsia"/>
                <w:highlight w:val="none"/>
              </w:rPr>
              <w:instrText xml:space="preserve">= 7 \* GB3</w:instrText>
            </w:r>
            <w:r>
              <w:rPr>
                <w:highlight w:val="none"/>
              </w:rPr>
              <w:instrText xml:space="preserve"> </w:instrText>
            </w:r>
            <w:r>
              <w:rPr>
                <w:highlight w:val="none"/>
              </w:rPr>
              <w:fldChar w:fldCharType="separate"/>
            </w:r>
            <w:r>
              <w:rPr>
                <w:rFonts w:hint="eastAsia"/>
                <w:highlight w:val="none"/>
              </w:rPr>
              <w:t>⑦</w:t>
            </w:r>
            <w:r>
              <w:rPr>
                <w:highlight w:val="none"/>
              </w:rPr>
              <w:fldChar w:fldCharType="end"/>
            </w:r>
            <w:r>
              <w:rPr>
                <w:rFonts w:hint="eastAsia"/>
                <w:highlight w:val="none"/>
              </w:rPr>
              <w:t>消防工程</w:t>
            </w:r>
          </w:p>
          <w:p w14:paraId="7B17F89F">
            <w:pPr>
              <w:ind w:firstLine="480"/>
              <w:rPr>
                <w:highlight w:val="none"/>
              </w:rPr>
            </w:pPr>
            <w:r>
              <w:rPr>
                <w:rFonts w:hint="eastAsia"/>
                <w:highlight w:val="none"/>
              </w:rPr>
              <w:t>规划一级普通消防站2座，总占地1.44公顷，责任区为整个规划区范围。供水干管管径为200-800毫米，以市政给水为主要消防水源，市政给水管道应环状管网供水，公共消火栓沿道路两旁设置，靠近交叉路口，其保护半径不大于150米，消火栓间距不大于120米。充分利用泥河水体作为消防备用水源，建设相应取水通道、取水码头和加压设施。在市政供水、天然水源无法保证消防用水的高层工业、民用建筑及大型公共建筑增建消防水池。</w:t>
            </w:r>
          </w:p>
          <w:p w14:paraId="04AC9E24">
            <w:pPr>
              <w:ind w:firstLine="480"/>
              <w:rPr>
                <w:highlight w:val="none"/>
              </w:rPr>
            </w:pPr>
            <w:r>
              <w:rPr>
                <w:rFonts w:hint="eastAsia"/>
                <w:highlight w:val="none"/>
              </w:rPr>
              <w:t>根据消防的相关要求，街道上的供水管道最小管径不应小于100毫米，本次规划中要求主次干路上的供水管道最小管径为200毫米。供水管按规范要求设消火栓，消火栓间距不应大于120米。</w:t>
            </w:r>
          </w:p>
          <w:p w14:paraId="58D46C12">
            <w:pPr>
              <w:ind w:firstLine="480"/>
              <w:rPr>
                <w:highlight w:val="none"/>
              </w:rPr>
            </w:pPr>
            <w:r>
              <w:rPr>
                <w:highlight w:val="none"/>
              </w:rPr>
              <w:fldChar w:fldCharType="begin"/>
            </w:r>
            <w:r>
              <w:rPr>
                <w:highlight w:val="none"/>
              </w:rPr>
              <w:instrText xml:space="preserve"> </w:instrText>
            </w:r>
            <w:r>
              <w:rPr>
                <w:rFonts w:hint="eastAsia"/>
                <w:highlight w:val="none"/>
              </w:rPr>
              <w:instrText xml:space="preserve">= 8 \* GB3</w:instrText>
            </w:r>
            <w:r>
              <w:rPr>
                <w:highlight w:val="none"/>
              </w:rPr>
              <w:instrText xml:space="preserve"> </w:instrText>
            </w:r>
            <w:r>
              <w:rPr>
                <w:highlight w:val="none"/>
              </w:rPr>
              <w:fldChar w:fldCharType="separate"/>
            </w:r>
            <w:r>
              <w:rPr>
                <w:rFonts w:hint="eastAsia"/>
                <w:highlight w:val="none"/>
              </w:rPr>
              <w:t>⑧</w:t>
            </w:r>
            <w:r>
              <w:rPr>
                <w:highlight w:val="none"/>
              </w:rPr>
              <w:fldChar w:fldCharType="end"/>
            </w:r>
            <w:r>
              <w:rPr>
                <w:rFonts w:hint="eastAsia"/>
                <w:highlight w:val="none"/>
              </w:rPr>
              <w:t>环卫工程</w:t>
            </w:r>
          </w:p>
          <w:p w14:paraId="56E7F02D">
            <w:pPr>
              <w:ind w:firstLine="480"/>
              <w:rPr>
                <w:highlight w:val="none"/>
              </w:rPr>
            </w:pPr>
            <w:r>
              <w:rPr>
                <w:rFonts w:hint="eastAsia"/>
                <w:highlight w:val="none"/>
              </w:rPr>
              <w:t>规划在综合服务区内设置环卫站一处，占地0.44公顷，负责京唐智慧港的环境卫生工作。设置垃圾转运站4座，负责生活垃圾的收集和转运，每座占地面积1200平方米。规划区内企业根据生产特点和用地布局自设垃圾收集转运设施，生产垃圾由企业自行运送至相应的垃圾处理厂，生活垃圾集中后运送至规划垃圾转运站。</w:t>
            </w:r>
          </w:p>
          <w:p w14:paraId="0219B18E">
            <w:pPr>
              <w:ind w:firstLine="480"/>
              <w:rPr>
                <w:highlight w:val="none"/>
              </w:rPr>
            </w:pPr>
            <w:r>
              <w:rPr>
                <w:rFonts w:hint="eastAsia"/>
                <w:highlight w:val="none"/>
              </w:rPr>
              <w:t>规划区内各企业产生的危废应由各企业自行建设危废暂存间，严格遵守和满足国家关于危险废物运输、储存、处理的相关标准及规程要求</w:t>
            </w:r>
          </w:p>
          <w:p w14:paraId="37275321">
            <w:pPr>
              <w:ind w:firstLine="480"/>
            </w:pPr>
            <w:r>
              <w:rPr>
                <w:rFonts w:hint="eastAsia"/>
              </w:rPr>
              <w:t>规划目标：</w:t>
            </w:r>
          </w:p>
          <w:p w14:paraId="7D7DA982">
            <w:pPr>
              <w:ind w:firstLine="480"/>
            </w:pPr>
            <w:r>
              <w:rPr>
                <w:rFonts w:hint="eastAsia"/>
              </w:rPr>
              <w:t>坚持环保优先、科技为本的思想，基于集中先进、规范管理的工业体系，使产业园入驻企业排污控制在合理的范围内，实现产业园的可持续发展、高质量发展，打造环保、绿色、高端的特色产业园，成为唐山市经济高质量发展的新的增长点。通过优化产业布局，培育产业集群，错位产业融合发展，形成“要素集聚、链条延伸、特色鲜明、充满活力”的经济发展新区，成为推动唐山经济腾飞的产业引擎，促进区域合作的切入点，成为冀东地区的高新技术产业中心。</w:t>
            </w:r>
          </w:p>
          <w:p w14:paraId="14115803">
            <w:pPr>
              <w:ind w:firstLine="480"/>
            </w:pPr>
            <w:r>
              <w:rPr>
                <w:rFonts w:hint="eastAsia"/>
              </w:rPr>
              <w:t>近期至2025年，京唐智慧港初步形成规模，重点建设完成基础备套设施，初步形成高新技术产业集聚区，工业产值达到88.02亿元。</w:t>
            </w:r>
          </w:p>
          <w:p w14:paraId="1E8FABEB">
            <w:pPr>
              <w:ind w:firstLine="480"/>
            </w:pPr>
            <w:r>
              <w:rPr>
                <w:rFonts w:hint="eastAsia"/>
              </w:rPr>
              <w:t>远期至2035年，进一步加大招商引资，推动符合产业定位的项目加快集聚，形成高质量、高发展、高效益的高新技术产业集聚区。形成相关基础设施配套完备、区域环境优美、人才、高新技术汇聚、唐山中心城区重要增长点，周边经济带动作用显著，工业产值达到183.04亿元。</w:t>
            </w:r>
          </w:p>
          <w:p w14:paraId="1B83F7C0">
            <w:pPr>
              <w:ind w:firstLine="480"/>
            </w:pPr>
            <w:r>
              <w:rPr>
                <w:rFonts w:hint="eastAsia"/>
              </w:rPr>
              <w:t>唐山高新区京唐智慧港发展定位情况见下表：</w:t>
            </w:r>
          </w:p>
          <w:p w14:paraId="5257F32C">
            <w:pPr>
              <w:pStyle w:val="36"/>
              <w:rPr>
                <w:sz w:val="21"/>
                <w:szCs w:val="21"/>
                <w:lang w:val="zh-CN"/>
              </w:rPr>
            </w:pPr>
            <w:r>
              <w:rPr>
                <w:sz w:val="21"/>
                <w:szCs w:val="21"/>
                <w:lang w:val="zh-CN"/>
              </w:rPr>
              <w:t>表</w:t>
            </w:r>
            <w:r>
              <w:rPr>
                <w:rFonts w:hint="eastAsia"/>
                <w:sz w:val="21"/>
                <w:szCs w:val="21"/>
              </w:rPr>
              <w:t xml:space="preserve">1-1 </w:t>
            </w:r>
            <w:r>
              <w:rPr>
                <w:sz w:val="21"/>
                <w:szCs w:val="21"/>
                <w:lang w:val="zh-CN"/>
              </w:rPr>
              <w:t xml:space="preserve"> 京唐智慧港发展定位</w:t>
            </w:r>
            <w:r>
              <w:rPr>
                <w:rFonts w:hint="eastAsia"/>
                <w:sz w:val="21"/>
                <w:szCs w:val="21"/>
                <w:lang w:val="zh-CN"/>
              </w:rPr>
              <w:t>情况</w:t>
            </w:r>
            <w:r>
              <w:rPr>
                <w:sz w:val="21"/>
                <w:szCs w:val="21"/>
                <w:lang w:val="zh-CN"/>
              </w:rPr>
              <w:t>表</w:t>
            </w:r>
          </w:p>
          <w:tbl>
            <w:tblPr>
              <w:tblStyle w:val="22"/>
              <w:tblW w:w="728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3048"/>
              <w:gridCol w:w="735"/>
              <w:gridCol w:w="2253"/>
            </w:tblGrid>
            <w:tr w14:paraId="3C19AA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3CF0D05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功能分区</w:t>
                  </w:r>
                </w:p>
              </w:tc>
              <w:tc>
                <w:tcPr>
                  <w:tcW w:w="3048" w:type="dxa"/>
                  <w:tcBorders>
                    <w:tl2br w:val="nil"/>
                    <w:tr2bl w:val="nil"/>
                  </w:tcBorders>
                  <w:vAlign w:val="center"/>
                </w:tcPr>
                <w:p w14:paraId="0E3DE5C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规划行业</w:t>
                  </w:r>
                </w:p>
              </w:tc>
              <w:tc>
                <w:tcPr>
                  <w:tcW w:w="735" w:type="dxa"/>
                  <w:tcBorders>
                    <w:tl2br w:val="nil"/>
                    <w:tr2bl w:val="nil"/>
                  </w:tcBorders>
                  <w:vAlign w:val="center"/>
                </w:tcPr>
                <w:p w14:paraId="6077039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面积</w:t>
                  </w:r>
                </w:p>
                <w:p w14:paraId="6D0D905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（hm</w:t>
                  </w:r>
                  <w:r>
                    <w:rPr>
                      <w:rFonts w:hint="eastAsia"/>
                      <w:sz w:val="21"/>
                      <w:szCs w:val="21"/>
                      <w:vertAlign w:val="superscript"/>
                    </w:rPr>
                    <w:t>2</w:t>
                  </w:r>
                  <w:r>
                    <w:rPr>
                      <w:rFonts w:hint="eastAsia"/>
                      <w:sz w:val="21"/>
                      <w:szCs w:val="21"/>
                    </w:rPr>
                    <w:t>）</w:t>
                  </w:r>
                </w:p>
              </w:tc>
              <w:tc>
                <w:tcPr>
                  <w:tcW w:w="2253" w:type="dxa"/>
                  <w:tcBorders>
                    <w:tl2br w:val="nil"/>
                    <w:tr2bl w:val="nil"/>
                  </w:tcBorders>
                  <w:vAlign w:val="center"/>
                </w:tcPr>
                <w:p w14:paraId="5EA5F42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位置</w:t>
                  </w:r>
                </w:p>
              </w:tc>
            </w:tr>
            <w:tr w14:paraId="7A15F4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19DE66F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高新技术</w:t>
                  </w:r>
                </w:p>
                <w:p w14:paraId="6470F60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产业</w:t>
                  </w:r>
                </w:p>
              </w:tc>
              <w:tc>
                <w:tcPr>
                  <w:tcW w:w="3048" w:type="dxa"/>
                  <w:tcBorders>
                    <w:tl2br w:val="nil"/>
                    <w:tr2bl w:val="nil"/>
                  </w:tcBorders>
                  <w:vAlign w:val="center"/>
                </w:tcPr>
                <w:p w14:paraId="1F84FB5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机器人产业、高端装备制造业、新材料产业、节能环保产业、新一代信息技术产业、新能源汽车产业、新能源产业、数字创意产业、生物技术研究与应用产业等</w:t>
                  </w:r>
                </w:p>
              </w:tc>
              <w:tc>
                <w:tcPr>
                  <w:tcW w:w="735" w:type="dxa"/>
                  <w:tcBorders>
                    <w:tl2br w:val="nil"/>
                    <w:tr2bl w:val="nil"/>
                  </w:tcBorders>
                  <w:vAlign w:val="center"/>
                </w:tcPr>
                <w:p w14:paraId="08DCE2A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315</w:t>
                  </w:r>
                </w:p>
              </w:tc>
              <w:tc>
                <w:tcPr>
                  <w:tcW w:w="2253" w:type="dxa"/>
                  <w:tcBorders>
                    <w:tl2br w:val="nil"/>
                    <w:tr2bl w:val="nil"/>
                  </w:tcBorders>
                  <w:vAlign w:val="center"/>
                </w:tcPr>
                <w:p w14:paraId="60DCBE5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分布于产业园南部区域的北部、中西部和东南部</w:t>
                  </w:r>
                </w:p>
              </w:tc>
            </w:tr>
            <w:tr w14:paraId="0E9AE9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1AD3DF2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现代物流业</w:t>
                  </w:r>
                </w:p>
              </w:tc>
              <w:tc>
                <w:tcPr>
                  <w:tcW w:w="3048" w:type="dxa"/>
                  <w:tcBorders>
                    <w:tl2br w:val="nil"/>
                    <w:tr2bl w:val="nil"/>
                  </w:tcBorders>
                  <w:vAlign w:val="center"/>
                </w:tcPr>
                <w:p w14:paraId="6162E9F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供应链物流、仓储物流、数字化物流、保税物流、物流加工等</w:t>
                  </w:r>
                </w:p>
              </w:tc>
              <w:tc>
                <w:tcPr>
                  <w:tcW w:w="735" w:type="dxa"/>
                  <w:tcBorders>
                    <w:tl2br w:val="nil"/>
                    <w:tr2bl w:val="nil"/>
                  </w:tcBorders>
                  <w:vAlign w:val="center"/>
                </w:tcPr>
                <w:p w14:paraId="7B5360D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74</w:t>
                  </w:r>
                </w:p>
              </w:tc>
              <w:tc>
                <w:tcPr>
                  <w:tcW w:w="2253" w:type="dxa"/>
                  <w:tcBorders>
                    <w:tl2br w:val="nil"/>
                    <w:tr2bl w:val="nil"/>
                  </w:tcBorders>
                  <w:vAlign w:val="center"/>
                </w:tcPr>
                <w:p w14:paraId="5F5159E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分布于产业园南部区域的西部</w:t>
                  </w:r>
                </w:p>
              </w:tc>
            </w:tr>
            <w:tr w14:paraId="14360D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0DBFE74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现代服务业</w:t>
                  </w:r>
                </w:p>
              </w:tc>
              <w:tc>
                <w:tcPr>
                  <w:tcW w:w="3048" w:type="dxa"/>
                  <w:tcBorders>
                    <w:tl2br w:val="nil"/>
                    <w:tr2bl w:val="nil"/>
                  </w:tcBorders>
                  <w:vAlign w:val="center"/>
                </w:tcPr>
                <w:p w14:paraId="60E601D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生产装备检修服务，科技中介、知识产权和标准化服务，金融服务，创新创业孵化服务，教育、养老、医疗等社会服务型产业</w:t>
                  </w:r>
                </w:p>
              </w:tc>
              <w:tc>
                <w:tcPr>
                  <w:tcW w:w="735" w:type="dxa"/>
                  <w:tcBorders>
                    <w:tl2br w:val="nil"/>
                    <w:tr2bl w:val="nil"/>
                  </w:tcBorders>
                  <w:vAlign w:val="center"/>
                </w:tcPr>
                <w:p w14:paraId="1E4D234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167</w:t>
                  </w:r>
                </w:p>
              </w:tc>
              <w:tc>
                <w:tcPr>
                  <w:tcW w:w="2253" w:type="dxa"/>
                  <w:tcBorders>
                    <w:tl2br w:val="nil"/>
                    <w:tr2bl w:val="nil"/>
                  </w:tcBorders>
                  <w:vAlign w:val="center"/>
                </w:tcPr>
                <w:p w14:paraId="359FC22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分布于产业园南部区域的中部和东北部</w:t>
                  </w:r>
                </w:p>
              </w:tc>
            </w:tr>
            <w:tr w14:paraId="72EF8D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3A53403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现代化新型社区</w:t>
                  </w:r>
                </w:p>
              </w:tc>
              <w:tc>
                <w:tcPr>
                  <w:tcW w:w="3048" w:type="dxa"/>
                  <w:tcBorders>
                    <w:tl2br w:val="nil"/>
                    <w:tr2bl w:val="nil"/>
                  </w:tcBorders>
                  <w:vAlign w:val="center"/>
                </w:tcPr>
                <w:p w14:paraId="603B914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以居住、公服配套为主要功能</w:t>
                  </w:r>
                </w:p>
              </w:tc>
              <w:tc>
                <w:tcPr>
                  <w:tcW w:w="735" w:type="dxa"/>
                  <w:tcBorders>
                    <w:tl2br w:val="nil"/>
                    <w:tr2bl w:val="nil"/>
                  </w:tcBorders>
                  <w:vAlign w:val="center"/>
                </w:tcPr>
                <w:p w14:paraId="2A98A52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642</w:t>
                  </w:r>
                </w:p>
              </w:tc>
              <w:tc>
                <w:tcPr>
                  <w:tcW w:w="2253" w:type="dxa"/>
                  <w:tcBorders>
                    <w:tl2br w:val="nil"/>
                    <w:tr2bl w:val="nil"/>
                  </w:tcBorders>
                  <w:vAlign w:val="center"/>
                </w:tcPr>
                <w:p w14:paraId="114AD03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分布于产业园南部区域的南部和东部，以及产业园北部区域</w:t>
                  </w:r>
                </w:p>
              </w:tc>
            </w:tr>
            <w:tr w14:paraId="0F77F9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7ECA20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公共设施</w:t>
                  </w:r>
                </w:p>
              </w:tc>
              <w:tc>
                <w:tcPr>
                  <w:tcW w:w="3048" w:type="dxa"/>
                  <w:tcBorders>
                    <w:tl2br w:val="nil"/>
                    <w:tr2bl w:val="nil"/>
                  </w:tcBorders>
                  <w:vAlign w:val="center"/>
                </w:tcPr>
                <w:p w14:paraId="49D34EC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包括绿地、机场、高铁站、道路、供水、排水等</w:t>
                  </w:r>
                </w:p>
              </w:tc>
              <w:tc>
                <w:tcPr>
                  <w:tcW w:w="735" w:type="dxa"/>
                  <w:tcBorders>
                    <w:tl2br w:val="nil"/>
                    <w:tr2bl w:val="nil"/>
                  </w:tcBorders>
                  <w:vAlign w:val="center"/>
                </w:tcPr>
                <w:p w14:paraId="6720930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302</w:t>
                  </w:r>
                </w:p>
              </w:tc>
              <w:tc>
                <w:tcPr>
                  <w:tcW w:w="2253" w:type="dxa"/>
                  <w:tcBorders>
                    <w:tl2br w:val="nil"/>
                    <w:tr2bl w:val="nil"/>
                  </w:tcBorders>
                  <w:vAlign w:val="center"/>
                </w:tcPr>
                <w:p w14:paraId="0952C81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w:t>
                  </w:r>
                </w:p>
              </w:tc>
            </w:tr>
            <w:tr w14:paraId="4B5E0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45" w:type="dxa"/>
                  <w:tcBorders>
                    <w:tl2br w:val="nil"/>
                    <w:tr2bl w:val="nil"/>
                  </w:tcBorders>
                  <w:vAlign w:val="center"/>
                </w:tcPr>
                <w:p w14:paraId="3619D8A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总规划面积</w:t>
                  </w:r>
                </w:p>
              </w:tc>
              <w:tc>
                <w:tcPr>
                  <w:tcW w:w="3048" w:type="dxa"/>
                  <w:tcBorders>
                    <w:tl2br w:val="nil"/>
                    <w:tr2bl w:val="nil"/>
                  </w:tcBorders>
                  <w:vAlign w:val="center"/>
                </w:tcPr>
                <w:p w14:paraId="2A72B26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w:t>
                  </w:r>
                </w:p>
              </w:tc>
              <w:tc>
                <w:tcPr>
                  <w:tcW w:w="735" w:type="dxa"/>
                  <w:tcBorders>
                    <w:tl2br w:val="nil"/>
                    <w:tr2bl w:val="nil"/>
                  </w:tcBorders>
                  <w:vAlign w:val="center"/>
                </w:tcPr>
                <w:p w14:paraId="3A8512E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1500</w:t>
                  </w:r>
                </w:p>
              </w:tc>
              <w:tc>
                <w:tcPr>
                  <w:tcW w:w="2253" w:type="dxa"/>
                  <w:tcBorders>
                    <w:tl2br w:val="nil"/>
                    <w:tr2bl w:val="nil"/>
                  </w:tcBorders>
                  <w:vAlign w:val="center"/>
                </w:tcPr>
                <w:p w14:paraId="6E2C895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sz w:val="21"/>
                      <w:szCs w:val="21"/>
                    </w:rPr>
                  </w:pPr>
                  <w:r>
                    <w:rPr>
                      <w:rFonts w:hint="eastAsia"/>
                      <w:sz w:val="21"/>
                      <w:szCs w:val="21"/>
                    </w:rPr>
                    <w:t>/</w:t>
                  </w:r>
                </w:p>
              </w:tc>
            </w:tr>
          </w:tbl>
          <w:p w14:paraId="27926895">
            <w:pPr>
              <w:ind w:firstLine="480"/>
            </w:pPr>
            <w:r>
              <w:rPr>
                <w:rFonts w:hint="eastAsia"/>
              </w:rPr>
              <w:t>本项目位于唐山高新区京唐智慧港高新技术产业区。根据</w:t>
            </w:r>
            <w:r>
              <w:t>《唐山高新区京唐智慧港总体规划（2020-2035</w:t>
            </w:r>
            <w:r>
              <w:rPr>
                <w:rFonts w:hint="eastAsia"/>
              </w:rPr>
              <w:t>）</w:t>
            </w:r>
            <w:r>
              <w:t>环境影响报告书》</w:t>
            </w:r>
            <w:r>
              <w:rPr>
                <w:rFonts w:hint="eastAsia"/>
              </w:rPr>
              <w:t>，高新技术产业主要发展</w:t>
            </w:r>
            <w:r>
              <w:t>机器人产业、高端装备制造业、新材料产业、节能环保产业、新一代信息技术产业、新能源汽车产业、新能源产业、数字创意产业、生物技术研究与应用产业等</w:t>
            </w:r>
            <w:r>
              <w:rPr>
                <w:rFonts w:hint="eastAsia"/>
              </w:rPr>
              <w:t>。</w:t>
            </w:r>
          </w:p>
          <w:p w14:paraId="463BF80B">
            <w:pPr>
              <w:ind w:firstLine="480"/>
            </w:pPr>
            <w:r>
              <w:rPr>
                <w:rFonts w:hint="eastAsia"/>
              </w:rPr>
              <w:t>新能源汽车产业：紧跟国家战略导向，把握京津冀协同发展战略机遇，立足本地产业优势和消费需求，按照“零部件带整车”的发展路径，优先发展动力电池业、新能源整车制造及上、下游关键零部件配套产业。着力推动新能源汽车的集群式发展，培育打造唐山高新区新的经济增长点。</w:t>
            </w:r>
          </w:p>
          <w:p w14:paraId="6BB9052E">
            <w:pPr>
              <w:ind w:firstLine="480"/>
            </w:pPr>
            <w:r>
              <w:rPr>
                <w:rFonts w:hint="eastAsia"/>
              </w:rPr>
              <w:t>本项目生产车用锁式差速器及四驱扭矩控制系统，属于新能源汽车产业，符合唐山高新区京唐智慧港高新技术产业规划要求，符合园区发展定位要求，符合园区规划要求。</w:t>
            </w:r>
          </w:p>
          <w:p w14:paraId="6E4C7012">
            <w:pPr>
              <w:autoSpaceDE w:val="0"/>
              <w:autoSpaceDN w:val="0"/>
              <w:adjustRightInd w:val="0"/>
              <w:snapToGrid w:val="0"/>
              <w:ind w:firstLine="480"/>
              <w:jc w:val="left"/>
            </w:pPr>
            <w:r>
              <w:rPr>
                <w:rFonts w:hint="eastAsia"/>
              </w:rPr>
              <w:t>二、与规划环境影响评价审查意见符合性分析</w:t>
            </w:r>
          </w:p>
          <w:p w14:paraId="1B1311AF">
            <w:pPr>
              <w:ind w:firstLine="480"/>
            </w:pPr>
            <w:r>
              <w:rPr>
                <w:sz w:val="24"/>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891540</wp:posOffset>
                      </wp:positionV>
                      <wp:extent cx="353377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2494280" y="5142865"/>
                                <a:ext cx="353377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6F6C98">
                                  <w:pPr>
                                    <w:pStyle w:val="36"/>
                                    <w:jc w:val="center"/>
                                  </w:pPr>
                                  <w:r>
                                    <w:rPr>
                                      <w:sz w:val="21"/>
                                      <w:szCs w:val="21"/>
                                      <w:lang w:val="zh-CN"/>
                                    </w:rPr>
                                    <w:t>表</w:t>
                                  </w:r>
                                  <w:r>
                                    <w:rPr>
                                      <w:rFonts w:hint="eastAsia"/>
                                      <w:sz w:val="21"/>
                                      <w:szCs w:val="21"/>
                                    </w:rPr>
                                    <w:t>1-2  本项目与规划环境影响评价审查意见符合性分析一览表</w:t>
                                  </w:r>
                                </w:p>
                                <w:p w14:paraId="744F1EFA">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pt;margin-top:70.2pt;height:32.25pt;width:278.25pt;z-index:251664384;mso-width-relative:page;mso-height-relative:page;" fillcolor="#FFFFFF [3201]" filled="t" stroked="f" coordsize="21600,21600" o:gfxdata="UEsDBAoAAAAAAIdO4kAAAAAAAAAAAAAAAAAEAAAAZHJzL1BLAwQUAAAACACHTuJA+J/bB9YAAAAK&#10;AQAADwAAAGRycy9kb3ducmV2LnhtbE2PTU/DMAyG70j8h8hI3FjSUjZWmu6AxBWJbeycNaapaJwq&#10;yT5/PeYER9uPXj9vszr7URwxpiGQhmKmQCB1wQ7Ua9hu3h6eQaRsyJoxEGq4YIJVe3vTmNqGE33g&#10;cZ17wSGUaqPB5TzVUqbOoTdpFiYkvn2F6E3mMfbSRnPicD/KUqm59GYg/uDMhK8Ou+/1wWvY9f66&#10;+yym6KwfK3q/XjbbMGh9f1eoFxAZz/kPhl99VoeWnfbhQDaJUcNiWTLJ+0pVIBiYPz4tQOw1lKpa&#10;gmwb+b9C+wNQSwMEFAAAAAgAh07iQNdtxV1bAgAAmwQAAA4AAABkcnMvZTJvRG9jLnhtbK1UzW4T&#10;MRC+I/EOlu90k022P1E3VUgUhFTRSgVxdrzerCXbY2wnu+UB4A164sKd5+pzMPZu2lI49EAOzoxn&#10;8o2/b2ZyftFpRfbCeQmmpOOjESXCcKik2Zb008f1m1NKfGCmYgqMKOmt8PRi/vrVeWtnIocGVCUc&#10;QRDjZ60taROCnWWZ543QzB+BFQaDNTjNArpum1WOtYiuVZaPRsdZC66yDrjwHm9XfZAOiO4lgFDX&#10;kosV8J0WJvSoTigWkJJvpPV0nl5b14KHq7r2IhBVUmQa0olF0N7EM5ufs9nWMdtIPjyBveQJzzhp&#10;Jg0WfYBascDIzsm/oLTkDjzU4YiDznoiSRFkMR490+amYVYkLii1tw+i+/8Hyz/srx2RVUlzSgzT&#10;2PD7u+/3P37d//xG8ihPa/0Ms24s5oXuLXQ4NId7j5eRdVc7Hb+RD8F4Pj2b5qco8W1JizGax0Uv&#10;tOgC4ZgwKSaTk5OCEo4Z09FZgTaWyh6RrPPhnQBNolFSh41M+rL9pQ996iElFvagZLWWSiXHbTdL&#10;5cieYdPX6TOg/5GmDGlLejwpRgnZQPx9D60MPiYS7wlGK3SbblBjA9UtiuGgnyZv+VriKy+ZD9fM&#10;4fggc1ywcIVHrQCLwGBR0oD7+q/7mI9dxSglLY5jSf2XHXOCEvXeYL/PxtNpnN/kTIuTHB33NLJ5&#10;GjE7vQQkP8ZVtjyZMT+og1k70J9xDxexKoaY4Vi7pOFgLkO/JLjHXCwWKQkn1rJwaW4sj9BRagOL&#10;XYBappZEmXptBvVwZlNTh/2KS/HUT1mP/yn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if2wfW&#10;AAAACgEAAA8AAAAAAAAAAQAgAAAAIgAAAGRycy9kb3ducmV2LnhtbFBLAQIUABQAAAAIAIdO4kDX&#10;bcVdWwIAAJsEAAAOAAAAAAAAAAEAIAAAACUBAABkcnMvZTJvRG9jLnhtbFBLBQYAAAAABgAGAFkB&#10;AADyBQAAAAA=&#10;">
                      <v:fill on="t" focussize="0,0"/>
                      <v:stroke on="f" weight="0.5pt"/>
                      <v:imagedata o:title=""/>
                      <o:lock v:ext="edit" aspectratio="f"/>
                      <v:textbox>
                        <w:txbxContent>
                          <w:p w14:paraId="2A6F6C98">
                            <w:pPr>
                              <w:pStyle w:val="36"/>
                              <w:jc w:val="center"/>
                            </w:pPr>
                            <w:r>
                              <w:rPr>
                                <w:sz w:val="21"/>
                                <w:szCs w:val="21"/>
                                <w:lang w:val="zh-CN"/>
                              </w:rPr>
                              <w:t>表</w:t>
                            </w:r>
                            <w:r>
                              <w:rPr>
                                <w:rFonts w:hint="eastAsia"/>
                                <w:sz w:val="21"/>
                                <w:szCs w:val="21"/>
                              </w:rPr>
                              <w:t>1-2  本项目与规划环境影响评价审查意见符合性分析一览表</w:t>
                            </w:r>
                          </w:p>
                          <w:p w14:paraId="744F1EFA">
                            <w:pPr>
                              <w:jc w:val="center"/>
                            </w:pPr>
                          </w:p>
                        </w:txbxContent>
                      </v:textbox>
                    </v:shape>
                  </w:pict>
                </mc:Fallback>
              </mc:AlternateContent>
            </w:r>
            <w:r>
              <w:rPr>
                <w:rFonts w:hint="eastAsia"/>
              </w:rPr>
              <w:t>唐山市</w:t>
            </w:r>
            <w:r>
              <w:t>生态环境</w:t>
            </w:r>
            <w:r>
              <w:rPr>
                <w:rFonts w:hint="eastAsia"/>
              </w:rPr>
              <w:t>局</w:t>
            </w:r>
            <w:r>
              <w:t>20</w:t>
            </w:r>
            <w:r>
              <w:rPr>
                <w:rFonts w:hint="eastAsia"/>
              </w:rPr>
              <w:t>20</w:t>
            </w:r>
            <w:r>
              <w:t>年</w:t>
            </w:r>
            <w:r>
              <w:rPr>
                <w:rFonts w:hint="eastAsia"/>
              </w:rPr>
              <w:t>6</w:t>
            </w:r>
            <w:r>
              <w:t>月</w:t>
            </w:r>
            <w:r>
              <w:rPr>
                <w:rFonts w:hint="eastAsia"/>
              </w:rPr>
              <w:t>10</w:t>
            </w:r>
            <w:r>
              <w:t>日出具了《关于转送</w:t>
            </w:r>
            <w:r>
              <w:rPr>
                <w:rFonts w:hint="eastAsia"/>
              </w:rPr>
              <w:t>唐山高新区京唐智慧港总体规划（2020-2035）</w:t>
            </w:r>
            <w:r>
              <w:t>环境影响报告书审查意见的函》 (</w:t>
            </w:r>
            <w:r>
              <w:rPr>
                <w:rFonts w:hint="eastAsia"/>
              </w:rPr>
              <w:t>唐</w:t>
            </w:r>
            <w:r>
              <w:t>环评函[20</w:t>
            </w:r>
            <w:r>
              <w:rPr>
                <w:rFonts w:hint="eastAsia"/>
              </w:rPr>
              <w:t>20</w:t>
            </w:r>
            <w:r>
              <w:t>]</w:t>
            </w:r>
            <w:r>
              <w:rPr>
                <w:rFonts w:hint="eastAsia"/>
              </w:rPr>
              <w:t>42</w:t>
            </w:r>
            <w:r>
              <w:t>号)。</w:t>
            </w:r>
          </w:p>
          <w:tbl>
            <w:tblPr>
              <w:tblStyle w:val="23"/>
              <w:tblpPr w:leftFromText="180" w:rightFromText="180" w:vertAnchor="text" w:horzAnchor="page" w:tblpX="125" w:tblpY="679"/>
              <w:tblOverlap w:val="never"/>
              <w:tblW w:w="72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2251"/>
              <w:gridCol w:w="680"/>
            </w:tblGrid>
            <w:tr w14:paraId="67E60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0" w:type="dxa"/>
                  <w:tcBorders>
                    <w:tl2br w:val="nil"/>
                    <w:tr2bl w:val="nil"/>
                  </w:tcBorders>
                  <w:vAlign w:val="center"/>
                </w:tcPr>
                <w:p w14:paraId="1E03B757">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规划环境影响评价审查意见</w:t>
                  </w:r>
                </w:p>
              </w:tc>
              <w:tc>
                <w:tcPr>
                  <w:tcW w:w="2251" w:type="dxa"/>
                  <w:tcBorders>
                    <w:tl2br w:val="nil"/>
                    <w:tr2bl w:val="nil"/>
                  </w:tcBorders>
                  <w:vAlign w:val="center"/>
                </w:tcPr>
                <w:p w14:paraId="58AFEA75">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本项目</w:t>
                  </w:r>
                </w:p>
              </w:tc>
              <w:tc>
                <w:tcPr>
                  <w:tcW w:w="680" w:type="dxa"/>
                  <w:tcBorders>
                    <w:tl2br w:val="nil"/>
                    <w:tr2bl w:val="nil"/>
                  </w:tcBorders>
                  <w:vAlign w:val="center"/>
                </w:tcPr>
                <w:p w14:paraId="7C2E41D7">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结论</w:t>
                  </w:r>
                </w:p>
              </w:tc>
            </w:tr>
            <w:tr w14:paraId="6A1FA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4290" w:type="dxa"/>
                  <w:tcBorders>
                    <w:tl2br w:val="nil"/>
                    <w:tr2bl w:val="nil"/>
                  </w:tcBorders>
                  <w:vAlign w:val="center"/>
                </w:tcPr>
                <w:p w14:paraId="08F58CFE">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一）强化循环经济和低碳经济理念，贯彻清洁生产、达标排放、总量控制原则，坚持工业区建设与环境建设同步规划、同步实施、同步发展。结合当地区域经济、社会和资源环境状况，以推进生态质量改善及推动产业转型升级为目标，在环境保护与发展中贯彻保护优先的要求。</w:t>
                  </w:r>
                </w:p>
              </w:tc>
              <w:tc>
                <w:tcPr>
                  <w:tcW w:w="2251" w:type="dxa"/>
                  <w:vMerge w:val="restart"/>
                  <w:tcBorders>
                    <w:tl2br w:val="nil"/>
                    <w:tr2bl w:val="nil"/>
                  </w:tcBorders>
                  <w:vAlign w:val="center"/>
                </w:tcPr>
                <w:p w14:paraId="2C3AFE88">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本项目为汽车零部件及配件制造项目，</w:t>
                  </w:r>
                  <w:r>
                    <w:rPr>
                      <w:sz w:val="21"/>
                    </w:rPr>
                    <w:t>属于《产业结构调整指导目录</w:t>
                  </w:r>
                  <w:r>
                    <w:rPr>
                      <w:rFonts w:hint="eastAsia"/>
                      <w:sz w:val="21"/>
                    </w:rPr>
                    <w:t>(2019</w:t>
                  </w:r>
                  <w:r>
                    <w:rPr>
                      <w:sz w:val="21"/>
                    </w:rPr>
                    <w:t>年本</w:t>
                  </w:r>
                  <w:r>
                    <w:rPr>
                      <w:rFonts w:hint="eastAsia"/>
                      <w:sz w:val="21"/>
                    </w:rPr>
                    <w:t>)</w:t>
                  </w:r>
                  <w:r>
                    <w:rPr>
                      <w:sz w:val="21"/>
                    </w:rPr>
                    <w:t>》</w:t>
                  </w:r>
                  <w:r>
                    <w:rPr>
                      <w:rFonts w:hint="eastAsia"/>
                      <w:sz w:val="21"/>
                    </w:rPr>
                    <w:t>(</w:t>
                  </w:r>
                  <w:r>
                    <w:rPr>
                      <w:sz w:val="21"/>
                    </w:rPr>
                    <w:t>国家发展和改革委员会</w:t>
                  </w:r>
                  <w:r>
                    <w:rPr>
                      <w:rFonts w:hint="eastAsia"/>
                      <w:sz w:val="21"/>
                    </w:rPr>
                    <w:t>[2019]29</w:t>
                  </w:r>
                  <w:r>
                    <w:rPr>
                      <w:sz w:val="21"/>
                    </w:rPr>
                    <w:t>号令</w:t>
                  </w:r>
                  <w:r>
                    <w:rPr>
                      <w:rFonts w:hint="eastAsia"/>
                      <w:sz w:val="21"/>
                    </w:rPr>
                    <w:t>)</w:t>
                  </w:r>
                  <w:r>
                    <w:rPr>
                      <w:sz w:val="21"/>
                    </w:rPr>
                    <w:t>中鼓励类</w:t>
                  </w:r>
                  <w:r>
                    <w:rPr>
                      <w:rFonts w:hint="eastAsia"/>
                      <w:sz w:val="21"/>
                    </w:rPr>
                    <w:t>项目，</w:t>
                  </w:r>
                  <w:r>
                    <w:rPr>
                      <w:sz w:val="21"/>
                    </w:rPr>
                    <w:t>不属于《河北省新增限制和淘汰类产业目录</w:t>
                  </w:r>
                  <w:r>
                    <w:rPr>
                      <w:rFonts w:hint="eastAsia"/>
                      <w:sz w:val="21"/>
                    </w:rPr>
                    <w:t>(2015</w:t>
                  </w:r>
                  <w:r>
                    <w:rPr>
                      <w:sz w:val="21"/>
                    </w:rPr>
                    <w:t>年版</w:t>
                  </w:r>
                  <w:r>
                    <w:rPr>
                      <w:rFonts w:hint="eastAsia"/>
                      <w:sz w:val="21"/>
                    </w:rPr>
                    <w:t>)</w:t>
                  </w:r>
                  <w:r>
                    <w:rPr>
                      <w:sz w:val="21"/>
                    </w:rPr>
                    <w:t>》</w:t>
                  </w:r>
                  <w:r>
                    <w:rPr>
                      <w:rFonts w:hint="eastAsia"/>
                      <w:sz w:val="21"/>
                    </w:rPr>
                    <w:t>(</w:t>
                  </w:r>
                  <w:r>
                    <w:rPr>
                      <w:sz w:val="21"/>
                    </w:rPr>
                    <w:t>冀政办发</w:t>
                  </w:r>
                  <w:r>
                    <w:rPr>
                      <w:rFonts w:hint="eastAsia"/>
                      <w:sz w:val="21"/>
                    </w:rPr>
                    <w:t>[2015]7</w:t>
                  </w:r>
                  <w:r>
                    <w:rPr>
                      <w:sz w:val="21"/>
                    </w:rPr>
                    <w:t>号</w:t>
                  </w:r>
                  <w:r>
                    <w:rPr>
                      <w:rFonts w:hint="eastAsia"/>
                      <w:sz w:val="21"/>
                    </w:rPr>
                    <w:t>)</w:t>
                  </w:r>
                  <w:r>
                    <w:rPr>
                      <w:sz w:val="21"/>
                    </w:rPr>
                    <w:t>中规定的淘汰类和限制类的项目，同时不属于《河北省人民政府关于河北省区域禁</w:t>
                  </w:r>
                  <w:r>
                    <w:rPr>
                      <w:rFonts w:hint="eastAsia"/>
                      <w:sz w:val="21"/>
                    </w:rPr>
                    <w:t>(</w:t>
                  </w:r>
                  <w:r>
                    <w:rPr>
                      <w:sz w:val="21"/>
                    </w:rPr>
                    <w:t>限</w:t>
                  </w:r>
                  <w:r>
                    <w:rPr>
                      <w:rFonts w:hint="eastAsia"/>
                      <w:sz w:val="21"/>
                    </w:rPr>
                    <w:t>)</w:t>
                  </w:r>
                  <w:r>
                    <w:rPr>
                      <w:sz w:val="21"/>
                    </w:rPr>
                    <w:t>批建设项目实施意见</w:t>
                  </w:r>
                  <w:r>
                    <w:rPr>
                      <w:rFonts w:hint="eastAsia"/>
                      <w:sz w:val="21"/>
                    </w:rPr>
                    <w:t>(</w:t>
                  </w:r>
                  <w:r>
                    <w:rPr>
                      <w:sz w:val="21"/>
                    </w:rPr>
                    <w:t>试行</w:t>
                  </w:r>
                  <w:r>
                    <w:rPr>
                      <w:rFonts w:hint="eastAsia"/>
                      <w:sz w:val="21"/>
                    </w:rPr>
                    <w:t>)</w:t>
                  </w:r>
                  <w:r>
                    <w:rPr>
                      <w:sz w:val="21"/>
                    </w:rPr>
                    <w:t>》规定的区域禁止和限制建设项目以及《唐山市发展和改革委员会关于印发</w:t>
                  </w:r>
                  <w:r>
                    <w:rPr>
                      <w:rFonts w:hint="eastAsia"/>
                      <w:sz w:val="21"/>
                    </w:rPr>
                    <w:t>&lt;</w:t>
                  </w:r>
                  <w:r>
                    <w:rPr>
                      <w:sz w:val="21"/>
                    </w:rPr>
                    <w:t>全市禁止投资的产业目录</w:t>
                  </w:r>
                  <w:r>
                    <w:rPr>
                      <w:rFonts w:hint="eastAsia"/>
                      <w:sz w:val="21"/>
                    </w:rPr>
                    <w:t>(2014</w:t>
                  </w:r>
                  <w:r>
                    <w:rPr>
                      <w:sz w:val="21"/>
                    </w:rPr>
                    <w:t>年版</w:t>
                  </w:r>
                  <w:r>
                    <w:rPr>
                      <w:rFonts w:hint="eastAsia"/>
                      <w:sz w:val="21"/>
                    </w:rPr>
                    <w:t>)</w:t>
                  </w:r>
                  <w:r>
                    <w:rPr>
                      <w:sz w:val="21"/>
                    </w:rPr>
                    <w:t>的通知</w:t>
                  </w:r>
                  <w:r>
                    <w:rPr>
                      <w:rFonts w:hint="eastAsia"/>
                      <w:sz w:val="21"/>
                    </w:rPr>
                    <w:t>&gt;</w:t>
                  </w:r>
                  <w:r>
                    <w:rPr>
                      <w:sz w:val="21"/>
                    </w:rPr>
                    <w:t>》</w:t>
                  </w:r>
                  <w:r>
                    <w:rPr>
                      <w:rFonts w:hint="eastAsia"/>
                      <w:sz w:val="21"/>
                    </w:rPr>
                    <w:t>(</w:t>
                  </w:r>
                  <w:r>
                    <w:rPr>
                      <w:sz w:val="21"/>
                    </w:rPr>
                    <w:t>唐发改体改</w:t>
                  </w:r>
                  <w:r>
                    <w:rPr>
                      <w:rFonts w:hint="eastAsia"/>
                      <w:sz w:val="21"/>
                    </w:rPr>
                    <w:t>[2014]598</w:t>
                  </w:r>
                  <w:r>
                    <w:rPr>
                      <w:sz w:val="21"/>
                    </w:rPr>
                    <w:t>号</w:t>
                  </w:r>
                  <w:r>
                    <w:rPr>
                      <w:rFonts w:hint="eastAsia"/>
                      <w:sz w:val="21"/>
                    </w:rPr>
                    <w:t>)</w:t>
                  </w:r>
                  <w:r>
                    <w:rPr>
                      <w:sz w:val="21"/>
                    </w:rPr>
                    <w:t>中规定的禁止投资项目，项目不属于三类项目，且不在水源地准保护区内。</w:t>
                  </w:r>
                  <w:r>
                    <w:rPr>
                      <w:rFonts w:hint="eastAsia"/>
                      <w:sz w:val="21"/>
                    </w:rPr>
                    <w:t>项目最近的环境保护目标位于本项目南侧320m的毛家坨村。</w:t>
                  </w:r>
                  <w:r>
                    <w:rPr>
                      <w:sz w:val="21"/>
                    </w:rPr>
                    <w:t>本项目与敏感点保持足够的防护距离；本评价已对项目工程分析、环保措施可行性等内容进行了详细说明与论证。因此，本项目符合</w:t>
                  </w:r>
                  <w:r>
                    <w:rPr>
                      <w:rFonts w:hint="eastAsia"/>
                      <w:sz w:val="21"/>
                    </w:rPr>
                    <w:t>园区</w:t>
                  </w:r>
                  <w:r>
                    <w:rPr>
                      <w:sz w:val="21"/>
                    </w:rPr>
                    <w:t>审查意见的要求。</w:t>
                  </w:r>
                </w:p>
              </w:tc>
              <w:tc>
                <w:tcPr>
                  <w:tcW w:w="680" w:type="dxa"/>
                  <w:tcBorders>
                    <w:tl2br w:val="nil"/>
                    <w:tr2bl w:val="nil"/>
                  </w:tcBorders>
                  <w:vAlign w:val="center"/>
                </w:tcPr>
                <w:p w14:paraId="7BD2B27C">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符合</w:t>
                  </w:r>
                </w:p>
              </w:tc>
            </w:tr>
            <w:tr w14:paraId="27789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0" w:type="dxa"/>
                  <w:tcBorders>
                    <w:tl2br w:val="nil"/>
                    <w:tr2bl w:val="nil"/>
                  </w:tcBorders>
                  <w:vAlign w:val="center"/>
                </w:tcPr>
                <w:p w14:paraId="1CB0EFF2">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二）加强环境准入，推动产业转型升级和绿色发展。入区企业应符合《产业结构调整指导目录（2019年本）》、《河北省新增限制和淘汰类产业目录（2015年版）》等文件规定要求，严格落实环评报告中的空间管控和环境准入清单要求。</w:t>
                  </w:r>
                </w:p>
              </w:tc>
              <w:tc>
                <w:tcPr>
                  <w:tcW w:w="2251" w:type="dxa"/>
                  <w:vMerge w:val="continue"/>
                  <w:tcBorders>
                    <w:tl2br w:val="nil"/>
                    <w:tr2bl w:val="nil"/>
                  </w:tcBorders>
                  <w:vAlign w:val="center"/>
                </w:tcPr>
                <w:p w14:paraId="0CB3A3E1">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p>
              </w:tc>
              <w:tc>
                <w:tcPr>
                  <w:tcW w:w="680" w:type="dxa"/>
                  <w:tcBorders>
                    <w:tl2br w:val="nil"/>
                    <w:tr2bl w:val="nil"/>
                  </w:tcBorders>
                  <w:vAlign w:val="center"/>
                </w:tcPr>
                <w:p w14:paraId="7F89B771">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符合</w:t>
                  </w:r>
                </w:p>
              </w:tc>
            </w:tr>
            <w:tr w14:paraId="39FF7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0" w:type="dxa"/>
                  <w:tcBorders>
                    <w:tl2br w:val="nil"/>
                    <w:tr2bl w:val="nil"/>
                  </w:tcBorders>
                  <w:vAlign w:val="center"/>
                </w:tcPr>
                <w:p w14:paraId="1BC9B741">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三）加强空间管控，优化生产空间。控制工业区边界外居民点向工业区方向发展，确保工业区内企业与敏感点保持足够的环境防护距离，减少突发事件可能对居民区产生的影响。工业区内建设禁止占用行洪河道、防护绿地等。</w:t>
                  </w:r>
                </w:p>
              </w:tc>
              <w:tc>
                <w:tcPr>
                  <w:tcW w:w="2251" w:type="dxa"/>
                  <w:vMerge w:val="continue"/>
                  <w:tcBorders>
                    <w:tl2br w:val="nil"/>
                    <w:tr2bl w:val="nil"/>
                  </w:tcBorders>
                  <w:vAlign w:val="center"/>
                </w:tcPr>
                <w:p w14:paraId="352DBBE4">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p>
              </w:tc>
              <w:tc>
                <w:tcPr>
                  <w:tcW w:w="680" w:type="dxa"/>
                  <w:tcBorders>
                    <w:tl2br w:val="nil"/>
                    <w:tr2bl w:val="nil"/>
                  </w:tcBorders>
                  <w:vAlign w:val="center"/>
                </w:tcPr>
                <w:p w14:paraId="6DF235DF">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符合</w:t>
                  </w:r>
                </w:p>
              </w:tc>
            </w:tr>
            <w:tr w14:paraId="4C630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0" w:type="dxa"/>
                  <w:tcBorders>
                    <w:tl2br w:val="nil"/>
                    <w:tr2bl w:val="nil"/>
                  </w:tcBorders>
                  <w:vAlign w:val="center"/>
                </w:tcPr>
                <w:p w14:paraId="0F33CADA">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四）加强规划环评与项目环评联动，切实发挥规划和项目环评预防环境污染和生态破坏的作用。建设项目环评文件应落实规划环评提出的各项要求，区域环境概况、选址符合性分析、环境管理与环境质量监测内容可适当简化；重点开展工程分析、环保措施的可行性论证，并关注工业区基础设施保障能力，强化环境监测和环境保护相关措施的落实。</w:t>
                  </w:r>
                </w:p>
              </w:tc>
              <w:tc>
                <w:tcPr>
                  <w:tcW w:w="2251" w:type="dxa"/>
                  <w:vMerge w:val="continue"/>
                  <w:tcBorders>
                    <w:tl2br w:val="nil"/>
                    <w:tr2bl w:val="nil"/>
                  </w:tcBorders>
                  <w:vAlign w:val="center"/>
                </w:tcPr>
                <w:p w14:paraId="3DDDC0CC">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p>
              </w:tc>
              <w:tc>
                <w:tcPr>
                  <w:tcW w:w="680" w:type="dxa"/>
                  <w:tcBorders>
                    <w:tl2br w:val="nil"/>
                    <w:tr2bl w:val="nil"/>
                  </w:tcBorders>
                  <w:vAlign w:val="center"/>
                </w:tcPr>
                <w:p w14:paraId="3A52FE10">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符合</w:t>
                  </w:r>
                </w:p>
              </w:tc>
            </w:tr>
            <w:tr w14:paraId="468AE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0" w:type="dxa"/>
                  <w:tcBorders>
                    <w:tl2br w:val="nil"/>
                    <w:tr2bl w:val="nil"/>
                  </w:tcBorders>
                  <w:vAlign w:val="center"/>
                </w:tcPr>
                <w:p w14:paraId="72CCF915">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（五）</w:t>
                  </w:r>
                  <w:r>
                    <w:rPr>
                      <w:rFonts w:hint="eastAsia"/>
                      <w:sz w:val="21"/>
                      <w:lang w:val="en-US" w:eastAsia="zh-CN"/>
                    </w:rPr>
                    <w:t>切</w:t>
                  </w:r>
                  <w:r>
                    <w:rPr>
                      <w:rFonts w:hint="eastAsia"/>
                      <w:sz w:val="21"/>
                    </w:rPr>
                    <w:t>实落实环境报告书中环境管理要求、跟踪监测计划、清洁生产有关措施。规划实施过程中，按照要求每五年组织开展规划环境影响的跟踪评价工作。对已批准的规划在实施范围、适用期限、规模、结构和布局等方面发生重大调整或修订的，应及时重新或补充环境影响评价。</w:t>
                  </w:r>
                </w:p>
              </w:tc>
              <w:tc>
                <w:tcPr>
                  <w:tcW w:w="2251" w:type="dxa"/>
                  <w:vMerge w:val="continue"/>
                  <w:tcBorders>
                    <w:tl2br w:val="nil"/>
                    <w:tr2bl w:val="nil"/>
                  </w:tcBorders>
                  <w:vAlign w:val="center"/>
                </w:tcPr>
                <w:p w14:paraId="582EF0A8">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p>
              </w:tc>
              <w:tc>
                <w:tcPr>
                  <w:tcW w:w="680" w:type="dxa"/>
                  <w:tcBorders>
                    <w:tl2br w:val="nil"/>
                    <w:tr2bl w:val="nil"/>
                  </w:tcBorders>
                  <w:vAlign w:val="center"/>
                </w:tcPr>
                <w:p w14:paraId="2DCDAA10">
                  <w:pPr>
                    <w:pStyle w:val="31"/>
                    <w:keepNext w:val="0"/>
                    <w:keepLines w:val="0"/>
                    <w:pageBreakBefore w:val="0"/>
                    <w:widowControl w:val="0"/>
                    <w:kinsoku/>
                    <w:wordWrap/>
                    <w:overflowPunct/>
                    <w:topLinePunct w:val="0"/>
                    <w:autoSpaceDE/>
                    <w:autoSpaceDN/>
                    <w:bidi w:val="0"/>
                    <w:adjustRightInd/>
                    <w:snapToGrid/>
                    <w:spacing w:line="340" w:lineRule="exact"/>
                    <w:textAlignment w:val="auto"/>
                    <w:rPr>
                      <w:sz w:val="21"/>
                    </w:rPr>
                  </w:pPr>
                  <w:r>
                    <w:rPr>
                      <w:rFonts w:hint="eastAsia"/>
                      <w:sz w:val="21"/>
                    </w:rPr>
                    <w:t>符合</w:t>
                  </w:r>
                </w:p>
              </w:tc>
            </w:tr>
          </w:tbl>
          <w:p w14:paraId="70CE1D98">
            <w:pPr>
              <w:numPr>
                <w:ilvl w:val="0"/>
                <w:numId w:val="1"/>
              </w:numPr>
              <w:autoSpaceDE w:val="0"/>
              <w:autoSpaceDN w:val="0"/>
              <w:adjustRightInd w:val="0"/>
              <w:snapToGrid w:val="0"/>
              <w:ind w:firstLine="480"/>
            </w:pPr>
            <w:r>
              <w:rPr>
                <w:rFonts w:hint="eastAsia"/>
              </w:rPr>
              <w:t>与园区分区规划符合性分析</w:t>
            </w:r>
          </w:p>
          <w:p w14:paraId="0EE7A54D">
            <w:pPr>
              <w:ind w:firstLine="480"/>
            </w:pPr>
            <w:r>
              <w:rPr>
                <w:rFonts w:hint="eastAsia"/>
              </w:rPr>
              <w:t>根据空港城开发区总体规划要求，将开发区划定四区，分为禁建区、限建区、适建区和已建区。</w:t>
            </w:r>
          </w:p>
          <w:p w14:paraId="3160DE1A">
            <w:pPr>
              <w:ind w:firstLine="480"/>
            </w:pPr>
            <w:r>
              <w:rPr>
                <w:rFonts w:hint="eastAsia"/>
              </w:rPr>
              <w:t>禁建区：作为保障城市生态安全的重要地带及生态建设的首选地，原则上禁止任何建设，严格遵守国家、省、市有关法律、法规和规章。</w:t>
            </w:r>
          </w:p>
          <w:p w14:paraId="6E68133E">
            <w:pPr>
              <w:ind w:firstLine="480"/>
            </w:pPr>
            <w:r>
              <w:rPr>
                <w:rFonts w:hint="eastAsia"/>
              </w:rPr>
              <w:t>限建区：</w:t>
            </w:r>
            <w:r>
              <w:t>原则上保护优先、限制开发，执行严格的限制建设条件，应科学确定开发模式、项目性质和规模及强度，制订相应的生态补偿措施，并依据限制型要素的不同严格遵守国家、省、市及相关的法律、法规和规章。</w:t>
            </w:r>
          </w:p>
          <w:p w14:paraId="0D7747C9">
            <w:pPr>
              <w:ind w:firstLine="480"/>
            </w:pPr>
            <w:r>
              <w:t>适建区：是城市发展优先选择的地区，但仍需根据环境与资源禀赋条件，合理确定开发模式、规模和强度。明确划定规划建设用地范围，加强城市规划和城镇规划的执行力度，各级城镇的规划建设必须严格控制在城镇建设区范围之内，严格控制用地规模，高效集约利用土地，根据资源条件和环境容量，科学合理地确定开发模式和开发强度。</w:t>
            </w:r>
          </w:p>
          <w:p w14:paraId="11AB1CCB">
            <w:pPr>
              <w:ind w:firstLine="480"/>
            </w:pPr>
            <w:r>
              <w:t>已建区：对空港城开发区内至2011年已经建成的区域，实施有机更新，逐步完善配套系统。</w:t>
            </w:r>
          </w:p>
          <w:p w14:paraId="0A681D29">
            <w:pPr>
              <w:ind w:firstLine="480"/>
            </w:pPr>
            <w:r>
              <w:t>规划区禁建区为机场用地和绿化用地，占地面积约655亩，分别位于机场南侧和规划区的东北侧。限建区位于规划区东北侧，占地面积约370亩。</w:t>
            </w:r>
          </w:p>
          <w:p w14:paraId="0B2DD41E">
            <w:pPr>
              <w:ind w:firstLine="480"/>
            </w:pPr>
            <w:r>
              <w:t>本项目未在禁建区、限建区范围内，项目建设符合</w:t>
            </w:r>
            <w:r>
              <w:rPr>
                <w:rFonts w:hint="eastAsia"/>
              </w:rPr>
              <w:t>园区总体</w:t>
            </w:r>
            <w:r>
              <w:t>规划要求</w:t>
            </w:r>
            <w:r>
              <w:rPr>
                <w:rFonts w:hint="eastAsia"/>
              </w:rPr>
              <w:t>。</w:t>
            </w:r>
          </w:p>
          <w:p w14:paraId="1BE1EDE2">
            <w:pPr>
              <w:widowControl/>
              <w:numPr>
                <w:ilvl w:val="0"/>
                <w:numId w:val="1"/>
              </w:numPr>
              <w:ind w:firstLine="480"/>
              <w:jc w:val="left"/>
            </w:pPr>
            <w:r>
              <w:rPr>
                <w:rFonts w:hint="eastAsia"/>
              </w:rPr>
              <w:t>与</w:t>
            </w:r>
            <w:r>
              <w:t>规划环境影响评价结论</w:t>
            </w:r>
            <w:r>
              <w:rPr>
                <w:rFonts w:hint="eastAsia"/>
              </w:rPr>
              <w:t>符合性分析</w:t>
            </w:r>
          </w:p>
          <w:p w14:paraId="1A4B14C8">
            <w:pPr>
              <w:ind w:firstLine="480"/>
            </w:pPr>
            <w:r>
              <w:t>规划环境影响评价结论</w:t>
            </w:r>
            <w:r>
              <w:rPr>
                <w:rFonts w:hint="eastAsia"/>
              </w:rPr>
              <w:t>：</w:t>
            </w:r>
            <w:r>
              <w:t>在落实本规划环评提出的规划优化调整建议和环境影响减缓措施后，京唐智慧港规划与上层规划、相关环境保护规划以及其他规划基本协调，京唐智慧港发展目标、空间布局、产业定位等不存在重大环境影响。根据本规划环评报告提出的优化调整建议对规划相关内容进行调整、并严格落实本评价提出的优化调整建议、各项环境影响减缓措施后，该规划在环境保护方面是可行的。</w:t>
            </w:r>
          </w:p>
          <w:p w14:paraId="0BD3593F">
            <w:pPr>
              <w:pStyle w:val="28"/>
              <w:spacing w:before="31" w:after="31"/>
              <w:ind w:firstLine="480"/>
              <w:rPr>
                <w:color w:val="auto"/>
              </w:rPr>
            </w:pPr>
            <w:r>
              <w:rPr>
                <w:rFonts w:hint="eastAsia"/>
                <w:color w:val="auto"/>
              </w:rPr>
              <w:t>本项目符合</w:t>
            </w:r>
            <w:r>
              <w:rPr>
                <w:color w:val="auto"/>
              </w:rPr>
              <w:t>京唐智慧港规划</w:t>
            </w:r>
            <w:r>
              <w:rPr>
                <w:rFonts w:hint="eastAsia"/>
                <w:color w:val="auto"/>
              </w:rPr>
              <w:t>、</w:t>
            </w:r>
            <w:r>
              <w:rPr>
                <w:color w:val="auto"/>
              </w:rPr>
              <w:t>上层规划、相关环境保护规划以及其他规划</w:t>
            </w:r>
            <w:r>
              <w:rPr>
                <w:rFonts w:hint="eastAsia"/>
                <w:color w:val="auto"/>
              </w:rPr>
              <w:t>要求，严格执行各项环境标准，采取相应的环境保护措施，本项目在环境保护方面可行</w:t>
            </w:r>
            <w:r>
              <w:rPr>
                <w:color w:val="auto"/>
              </w:rPr>
              <w:t>。</w:t>
            </w:r>
          </w:p>
        </w:tc>
      </w:tr>
      <w:tr w14:paraId="0EFA1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1" w:hRule="atLeast"/>
          <w:jc w:val="center"/>
        </w:trPr>
        <w:tc>
          <w:tcPr>
            <w:tcW w:w="1571" w:type="dxa"/>
            <w:vAlign w:val="center"/>
          </w:tcPr>
          <w:p w14:paraId="18669597">
            <w:pPr>
              <w:autoSpaceDE w:val="0"/>
              <w:autoSpaceDN w:val="0"/>
              <w:adjustRightInd w:val="0"/>
              <w:snapToGrid w:val="0"/>
              <w:ind w:firstLine="0" w:firstLineChars="0"/>
              <w:jc w:val="center"/>
              <w:rPr>
                <w:rFonts w:ascii="宋体" w:hAnsi="宋体" w:cs="宋体"/>
                <w:kern w:val="0"/>
              </w:rPr>
            </w:pPr>
            <w:r>
              <w:rPr>
                <w:rFonts w:hint="eastAsia" w:ascii="宋体" w:hAnsi="宋体" w:cs="宋体"/>
                <w:kern w:val="0"/>
              </w:rPr>
              <w:t>其他符合性分析</w:t>
            </w:r>
          </w:p>
        </w:tc>
        <w:tc>
          <w:tcPr>
            <w:tcW w:w="7500" w:type="dxa"/>
            <w:gridSpan w:val="3"/>
            <w:vAlign w:val="center"/>
          </w:tcPr>
          <w:p w14:paraId="58905E44">
            <w:pPr>
              <w:ind w:firstLine="0" w:firstLineChars="0"/>
              <w:rPr>
                <w:b/>
                <w:bCs/>
              </w:rPr>
            </w:pPr>
            <w:r>
              <w:rPr>
                <w:rFonts w:hint="eastAsia"/>
                <w:b/>
                <w:bCs/>
              </w:rPr>
              <w:t>1、与“</w:t>
            </w:r>
            <w:r>
              <w:rPr>
                <w:b/>
                <w:bCs/>
              </w:rPr>
              <w:t>三线一单</w:t>
            </w:r>
            <w:r>
              <w:rPr>
                <w:rFonts w:hint="eastAsia"/>
                <w:b/>
                <w:bCs/>
              </w:rPr>
              <w:t>”</w:t>
            </w:r>
            <w:r>
              <w:rPr>
                <w:b/>
                <w:bCs/>
              </w:rPr>
              <w:t>相符性分析</w:t>
            </w:r>
          </w:p>
          <w:p w14:paraId="51D57AA9">
            <w:pPr>
              <w:wordWrap w:val="0"/>
              <w:topLinePunct/>
              <w:ind w:firstLine="480"/>
            </w:pPr>
            <w:r>
              <w:t>根据环保部发布</w:t>
            </w:r>
            <w:r>
              <w:rPr>
                <w:spacing w:val="6"/>
              </w:rPr>
              <w:t>的《</w:t>
            </w:r>
            <w:r>
              <w:t>关于以改善环境质量为核心加强环境影响评价管理的通知》（以下简称《通知》），《通知》要求切实加强环境影响评价管理，落</w:t>
            </w:r>
            <w:r>
              <w:rPr>
                <w:rFonts w:hint="eastAsia" w:ascii="宋体" w:hAnsi="宋体" w:cs="宋体"/>
              </w:rPr>
              <w:t>实“生态保</w:t>
            </w:r>
            <w:r>
              <w:t>护红线、环境质量底线、资源利用上线和环境准入负面清</w:t>
            </w:r>
            <w:r>
              <w:rPr>
                <w:rFonts w:hint="eastAsia" w:ascii="宋体" w:hAnsi="宋体" w:cs="宋体"/>
              </w:rPr>
              <w:t>单”约</w:t>
            </w:r>
            <w:r>
              <w:t>束，建立项目环评审批与规划环评、现有项目环境管理、区域环境质量联动机制，更好地发挥环评制度从源头防范环境污染和生态破坏的作用，加快推进改善环境质量。</w:t>
            </w:r>
          </w:p>
          <w:p w14:paraId="69A2734A">
            <w:pPr>
              <w:ind w:firstLine="480"/>
            </w:pPr>
            <w:r>
              <w:t>（1）生态保护红线</w:t>
            </w:r>
          </w:p>
          <w:p w14:paraId="5B8C59AA">
            <w:pPr>
              <w:widowControl/>
              <w:ind w:firstLine="480"/>
            </w:pPr>
            <w:r>
              <w:t>建设项目位于</w:t>
            </w:r>
            <w:r>
              <w:rPr>
                <w:rFonts w:hint="eastAsia"/>
              </w:rPr>
              <w:t>唐山市高新技术产业开发区京唐智慧港</w:t>
            </w:r>
            <w:r>
              <w:t>，</w:t>
            </w:r>
            <w:r>
              <w:rPr>
                <w:lang w:val="zh-CN"/>
              </w:rPr>
              <w:t>根据《河北省人民政府关于发布〈</w:t>
            </w:r>
            <w:r>
              <w:rPr>
                <w:rFonts w:hint="eastAsia"/>
              </w:rPr>
              <w:t>河</w:t>
            </w:r>
            <w:r>
              <w:rPr>
                <w:lang w:val="zh-CN"/>
              </w:rPr>
              <w:t>北省生态保护红线〉的通知》《冀政字[2018]23号）及《唐山市生态保护红线》（2018年7月），</w:t>
            </w:r>
            <w:r>
              <w:rPr>
                <w:rFonts w:hint="eastAsia" w:ascii="宋体" w:hAnsi="宋体" w:cs="宋体"/>
                <w:kern w:val="0"/>
              </w:rPr>
              <w:t>唐山市陆域生态保护红线总面积为</w:t>
            </w:r>
            <w:r>
              <w:rPr>
                <w:kern w:val="0"/>
              </w:rPr>
              <w:t>1085.47km</w:t>
            </w:r>
            <w:r>
              <w:rPr>
                <w:rFonts w:hint="eastAsia"/>
                <w:kern w:val="0"/>
                <w:vertAlign w:val="superscript"/>
              </w:rPr>
              <w:t>2</w:t>
            </w:r>
            <w:r>
              <w:rPr>
                <w:rFonts w:hint="eastAsia" w:ascii="宋体" w:hAnsi="宋体" w:cs="宋体"/>
                <w:kern w:val="0"/>
              </w:rPr>
              <w:t>，占唐山市陆域国土面积的</w:t>
            </w:r>
            <w:r>
              <w:rPr>
                <w:kern w:val="0"/>
              </w:rPr>
              <w:t>7.65%</w:t>
            </w:r>
            <w:r>
              <w:rPr>
                <w:rFonts w:hint="eastAsia" w:ascii="宋体" w:hAnsi="宋体" w:cs="宋体"/>
                <w:kern w:val="0"/>
              </w:rPr>
              <w:t>，占河北省陆域国土面积的</w:t>
            </w:r>
            <w:r>
              <w:rPr>
                <w:kern w:val="0"/>
              </w:rPr>
              <w:t>0.58%</w:t>
            </w:r>
            <w:r>
              <w:rPr>
                <w:rFonts w:hint="eastAsia" w:ascii="宋体" w:hAnsi="宋体" w:cs="宋体"/>
                <w:kern w:val="0"/>
              </w:rPr>
              <w:t>。生态保护红线主导生态功能为水源涵养和水土保持功能，其次为生物多样性维护和防风固沙功能，同时还涵盖水土流失敏感脆弱区、土地沙化敏感脆弱区和河湖滨岸带敏感区域</w:t>
            </w:r>
            <w:r>
              <w:rPr>
                <w:lang w:val="zh-CN"/>
              </w:rPr>
              <w:t>。</w:t>
            </w:r>
            <w:r>
              <w:t>项目周边为其他企业用地，不在主导生态功能区范围内，且不在当地饮用水水源区、风景区、自然保护区等生态保护区内，</w:t>
            </w:r>
            <w:r>
              <w:rPr>
                <w:rFonts w:hint="eastAsia"/>
              </w:rPr>
              <w:t>根据唐山市生态保护红线图可知，本项目</w:t>
            </w:r>
            <w:r>
              <w:rPr>
                <w:lang w:val="zh-CN"/>
              </w:rPr>
              <w:t>距离生态保护红线最近的位置是位于项目</w:t>
            </w:r>
            <w:r>
              <w:rPr>
                <w:rFonts w:hint="eastAsia"/>
              </w:rPr>
              <w:t>西北侧</w:t>
            </w:r>
            <w:r>
              <w:rPr>
                <w:lang w:val="zh-CN"/>
              </w:rPr>
              <w:t>的</w:t>
            </w:r>
            <w:r>
              <w:rPr>
                <w:rFonts w:hint="eastAsia"/>
              </w:rPr>
              <w:t>还乡河，距离约10.6km，</w:t>
            </w:r>
            <w:r>
              <w:t>符合生态保护红线的要求。</w:t>
            </w:r>
          </w:p>
          <w:p w14:paraId="1B6A4864">
            <w:pPr>
              <w:ind w:firstLine="480"/>
            </w:pPr>
            <w:r>
              <w:t>（2）环境质量底线</w:t>
            </w:r>
          </w:p>
          <w:p w14:paraId="31467039">
            <w:pPr>
              <w:ind w:firstLine="480"/>
            </w:pPr>
            <w:r>
              <w:t>根据唐山市生态环境局发布的2020年唐山市环境状况公报可知，项目所在区域环境空气质量现状监测因子中SO</w:t>
            </w:r>
            <w:r>
              <w:rPr>
                <w:vertAlign w:val="subscript"/>
              </w:rPr>
              <w:t>2</w:t>
            </w:r>
            <w:r>
              <w:t>、CO均满足《环境空气质量标准》（GB3095</w:t>
            </w:r>
            <w:r>
              <w:rPr>
                <w:rFonts w:hint="eastAsia"/>
              </w:rPr>
              <w:t>-</w:t>
            </w:r>
            <w:r>
              <w:t>2012）中二级标准及其修改单要求，NO</w:t>
            </w:r>
            <w:r>
              <w:rPr>
                <w:vertAlign w:val="subscript"/>
              </w:rPr>
              <w:t>2</w:t>
            </w:r>
            <w:r>
              <w:t>、PM</w:t>
            </w:r>
            <w:r>
              <w:rPr>
                <w:vertAlign w:val="subscript"/>
              </w:rPr>
              <w:t>10</w:t>
            </w:r>
            <w:r>
              <w:t>、PM</w:t>
            </w:r>
            <w:r>
              <w:rPr>
                <w:vertAlign w:val="subscript"/>
              </w:rPr>
              <w:t>2.5</w:t>
            </w:r>
            <w:r>
              <w:t>、O</w:t>
            </w:r>
            <w:r>
              <w:rPr>
                <w:vertAlign w:val="subscript"/>
              </w:rPr>
              <w:t>3</w:t>
            </w:r>
            <w:r>
              <w:t>均超标，唐山市属于大气污染重点区域，监测数据客观的反映了唐山市环境空气质量的现状。分析超标原因为：随着唐山市工业的快速发展、能源消耗和机动车保有量的快速增长，排放的大量二氧化硫、氮氧化物与挥发性有机物导致细颗粒物等二次污染呈加剧态势。根据《建设生态唐山实现绿色发展工作方案》（唐办发[2018]2号）、《唐山</w:t>
            </w:r>
            <w:r>
              <w:rPr>
                <w:rFonts w:hint="eastAsia" w:ascii="宋体" w:hAnsi="宋体" w:cs="宋体"/>
              </w:rPr>
              <w:t>市“退出后十”大气</w:t>
            </w:r>
            <w:r>
              <w:t>污染防治工作实施方案》可知，通过调整优化产业结构、能源结构，深入开展大气污染治理攻坚行动，切实改善环境空气质量，通过控制扬尘污染、削减燃煤总量、控制机动车污染和严把燃煤质量关等方面的行动，项目所在区域环境空气质量将会逐步得到改善。</w:t>
            </w:r>
          </w:p>
          <w:p w14:paraId="09458D4E">
            <w:pPr>
              <w:ind w:firstLine="480"/>
            </w:pPr>
            <w:r>
              <w:t>本项目废气及噪声采取治理措施后能够达到排放标准要求；固体废物均能得到合理处置，对周边环境影响较小，符合环境质量底线要求。</w:t>
            </w:r>
          </w:p>
          <w:p w14:paraId="766E5CBA">
            <w:pPr>
              <w:ind w:firstLine="480"/>
            </w:pPr>
            <w:r>
              <w:rPr>
                <w:rFonts w:hint="eastAsia"/>
              </w:rPr>
              <w:t>（3）</w:t>
            </w:r>
            <w:r>
              <w:t>资源利用上线</w:t>
            </w:r>
          </w:p>
          <w:p w14:paraId="005656EE">
            <w:pPr>
              <w:ind w:firstLine="480"/>
            </w:pPr>
            <w:r>
              <w:t>本项目消耗的资源为电</w:t>
            </w:r>
            <w:r>
              <w:rPr>
                <w:highlight w:val="none"/>
              </w:rPr>
              <w:t>，用电来自</w:t>
            </w:r>
            <w:r>
              <w:rPr>
                <w:rFonts w:hint="eastAsia"/>
                <w:highlight w:val="none"/>
              </w:rPr>
              <w:t>园区供电</w:t>
            </w:r>
            <w:r>
              <w:rPr>
                <w:highlight w:val="none"/>
              </w:rPr>
              <w:t>电网，用量较少，消耗量相对于区域资源利用量较小。</w:t>
            </w:r>
          </w:p>
          <w:p w14:paraId="6EC1C58C">
            <w:pPr>
              <w:ind w:firstLine="480"/>
            </w:pPr>
            <w:r>
              <w:t>（4）环境准入负面清单</w:t>
            </w:r>
          </w:p>
          <w:p w14:paraId="78344D93">
            <w:pPr>
              <w:ind w:firstLine="480"/>
            </w:pPr>
            <w:r>
              <w:rPr>
                <w:rFonts w:hint="eastAsia"/>
              </w:rPr>
              <w:t>本项目</w:t>
            </w:r>
            <w:r>
              <w:t>属于《产业结构调整指导目录</w:t>
            </w:r>
            <w:r>
              <w:rPr>
                <w:rFonts w:hint="eastAsia"/>
              </w:rPr>
              <w:t>(2019</w:t>
            </w:r>
            <w:r>
              <w:t>年本</w:t>
            </w:r>
            <w:r>
              <w:rPr>
                <w:rFonts w:hint="eastAsia"/>
              </w:rPr>
              <w:t>)</w:t>
            </w:r>
            <w:r>
              <w:t>》</w:t>
            </w:r>
            <w:r>
              <w:rPr>
                <w:rFonts w:hint="eastAsia"/>
              </w:rPr>
              <w:t>(</w:t>
            </w:r>
            <w:r>
              <w:t>国家发展和改革委员会</w:t>
            </w:r>
            <w:r>
              <w:rPr>
                <w:rFonts w:hint="eastAsia"/>
              </w:rPr>
              <w:t>[2019]29</w:t>
            </w:r>
            <w:r>
              <w:t>号令</w:t>
            </w:r>
            <w:r>
              <w:rPr>
                <w:rFonts w:hint="eastAsia"/>
              </w:rPr>
              <w:t>)</w:t>
            </w:r>
            <w:r>
              <w:t>中鼓励类</w:t>
            </w:r>
            <w:r>
              <w:rPr>
                <w:rFonts w:hint="eastAsia"/>
              </w:rPr>
              <w:t>项目，</w:t>
            </w:r>
            <w:r>
              <w:t>不属于《河北省新增限制和淘汰类产业目录</w:t>
            </w:r>
            <w:r>
              <w:rPr>
                <w:rFonts w:hint="eastAsia"/>
              </w:rPr>
              <w:t>(2015</w:t>
            </w:r>
            <w:r>
              <w:t>年版</w:t>
            </w:r>
            <w:r>
              <w:rPr>
                <w:rFonts w:hint="eastAsia"/>
              </w:rPr>
              <w:t>)</w:t>
            </w:r>
            <w:r>
              <w:t>》</w:t>
            </w:r>
            <w:r>
              <w:rPr>
                <w:rFonts w:hint="eastAsia"/>
              </w:rPr>
              <w:t>(</w:t>
            </w:r>
            <w:r>
              <w:t>冀政办发</w:t>
            </w:r>
            <w:r>
              <w:rPr>
                <w:rFonts w:hint="eastAsia"/>
              </w:rPr>
              <w:t>[2015]7</w:t>
            </w:r>
            <w:r>
              <w:t>号</w:t>
            </w:r>
            <w:r>
              <w:rPr>
                <w:rFonts w:hint="eastAsia"/>
              </w:rPr>
              <w:t>)</w:t>
            </w:r>
            <w:r>
              <w:t>中规定的淘汰类和限制类的项目，符合产业政策。</w:t>
            </w:r>
          </w:p>
          <w:p w14:paraId="424642DA">
            <w:pPr>
              <w:snapToGrid w:val="0"/>
              <w:ind w:firstLine="0" w:firstLineChars="0"/>
              <w:rPr>
                <w:b/>
                <w:bCs/>
                <w:sz w:val="21"/>
                <w:szCs w:val="21"/>
              </w:rPr>
            </w:pPr>
            <w:r>
              <w:rPr>
                <w:rFonts w:hint="eastAsia"/>
              </w:rPr>
              <w:t xml:space="preserve">    据《唐山市人民政府关于实施“三线一单”生态环境分区管控的意见》（唐政字[2021]48号），本项目所在区域生态环境管控要求如下表。</w:t>
            </w:r>
          </w:p>
          <w:p w14:paraId="2151C59A">
            <w:pPr>
              <w:snapToGrid w:val="0"/>
              <w:ind w:firstLine="0" w:firstLineChars="0"/>
              <w:jc w:val="center"/>
              <w:rPr>
                <w:b/>
                <w:bCs/>
                <w:sz w:val="21"/>
                <w:szCs w:val="21"/>
              </w:rPr>
            </w:pPr>
            <w:r>
              <w:rPr>
                <w:b/>
                <w:bCs/>
                <w:sz w:val="21"/>
                <w:szCs w:val="21"/>
                <w:lang w:val="zh-CN"/>
              </w:rPr>
              <w:t>表</w:t>
            </w:r>
            <w:r>
              <w:rPr>
                <w:rFonts w:hint="eastAsia"/>
                <w:b/>
                <w:bCs/>
                <w:sz w:val="21"/>
                <w:szCs w:val="21"/>
              </w:rPr>
              <w:t xml:space="preserve">1-3 </w:t>
            </w:r>
            <w:r>
              <w:rPr>
                <w:b/>
                <w:bCs/>
                <w:sz w:val="21"/>
                <w:szCs w:val="21"/>
              </w:rPr>
              <w:t xml:space="preserve"> 唐山</w:t>
            </w:r>
            <w:r>
              <w:rPr>
                <w:rFonts w:hint="eastAsia"/>
                <w:b/>
                <w:bCs/>
                <w:sz w:val="21"/>
                <w:szCs w:val="21"/>
              </w:rPr>
              <w:t>高新技术产业开发区京唐智慧港（空港城）</w:t>
            </w:r>
            <w:r>
              <w:rPr>
                <w:b/>
                <w:bCs/>
                <w:sz w:val="21"/>
                <w:szCs w:val="21"/>
              </w:rPr>
              <w:t>生态环境准入清单</w:t>
            </w:r>
          </w:p>
          <w:tbl>
            <w:tblPr>
              <w:tblStyle w:val="22"/>
              <w:tblW w:w="7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430"/>
              <w:gridCol w:w="3660"/>
              <w:gridCol w:w="465"/>
            </w:tblGrid>
            <w:tr w14:paraId="757D8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dxa"/>
                  <w:tcBorders>
                    <w:tl2br w:val="nil"/>
                    <w:tr2bl w:val="nil"/>
                  </w:tcBorders>
                  <w:vAlign w:val="center"/>
                </w:tcPr>
                <w:p w14:paraId="496873D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空间布局约束</w:t>
                  </w:r>
                </w:p>
              </w:tc>
              <w:tc>
                <w:tcPr>
                  <w:tcW w:w="2430" w:type="dxa"/>
                  <w:tcBorders>
                    <w:tl2br w:val="nil"/>
                    <w:tr2bl w:val="nil"/>
                  </w:tcBorders>
                  <w:vAlign w:val="center"/>
                </w:tcPr>
                <w:p w14:paraId="6FE4348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农用地性质未调整前禁止建设项目布局。</w:t>
                  </w:r>
                </w:p>
              </w:tc>
              <w:tc>
                <w:tcPr>
                  <w:tcW w:w="3660" w:type="dxa"/>
                  <w:tcBorders>
                    <w:tl2br w:val="nil"/>
                    <w:tr2bl w:val="nil"/>
                  </w:tcBorders>
                  <w:vAlign w:val="center"/>
                </w:tcPr>
                <w:p w14:paraId="2D671F2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本项目为工业用。</w:t>
                  </w:r>
                </w:p>
              </w:tc>
              <w:tc>
                <w:tcPr>
                  <w:tcW w:w="465" w:type="dxa"/>
                  <w:tcBorders>
                    <w:tl2br w:val="nil"/>
                    <w:tr2bl w:val="nil"/>
                  </w:tcBorders>
                  <w:vAlign w:val="center"/>
                </w:tcPr>
                <w:p w14:paraId="5CF3C791">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符合</w:t>
                  </w:r>
                </w:p>
              </w:tc>
            </w:tr>
            <w:tr w14:paraId="06DAF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dxa"/>
                  <w:tcBorders>
                    <w:tl2br w:val="nil"/>
                    <w:tr2bl w:val="nil"/>
                  </w:tcBorders>
                  <w:vAlign w:val="center"/>
                </w:tcPr>
                <w:p w14:paraId="42C89B2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污染物排放管控</w:t>
                  </w:r>
                </w:p>
              </w:tc>
              <w:tc>
                <w:tcPr>
                  <w:tcW w:w="2430" w:type="dxa"/>
                  <w:tcBorders>
                    <w:tl2br w:val="nil"/>
                    <w:tr2bl w:val="nil"/>
                  </w:tcBorders>
                  <w:vAlign w:val="center"/>
                </w:tcPr>
                <w:p w14:paraId="3015C8B2">
                  <w:pPr>
                    <w:keepNext w:val="0"/>
                    <w:keepLines w:val="0"/>
                    <w:pageBreakBefore w:val="0"/>
                    <w:widowControl/>
                    <w:numPr>
                      <w:ilvl w:val="0"/>
                      <w:numId w:val="2"/>
                    </w:numPr>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加强重污染天气应急联动，完善应急减排措施，严格执行大气环境质量管控制度。</w:t>
                  </w:r>
                </w:p>
                <w:p w14:paraId="777D1B3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2、全面加强城镇污水管网建设，提升污水收集能力。推进城镇排水系统雨污分流建设，新建城区建设排水管网一律实行雨污分流；加快旧城区污水管网改造，实现雨污分流。</w:t>
                  </w:r>
                </w:p>
              </w:tc>
              <w:tc>
                <w:tcPr>
                  <w:tcW w:w="3660" w:type="dxa"/>
                  <w:tcBorders>
                    <w:tl2br w:val="nil"/>
                    <w:tr2bl w:val="nil"/>
                  </w:tcBorders>
                  <w:vAlign w:val="center"/>
                </w:tcPr>
                <w:p w14:paraId="5878BAE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1、定期编辑一厂一策，严格执行减排措施，严格执行《钢铁工业大气污染物超低排放标准》（DB13/2169-2018）和《工业企业挥发性有机物排放控制标准》（DB13/2322-2016）标准。</w:t>
                  </w:r>
                </w:p>
                <w:p w14:paraId="610061E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pPr>
                  <w:r>
                    <w:rPr>
                      <w:rFonts w:hint="eastAsia"/>
                      <w:sz w:val="21"/>
                      <w:szCs w:val="21"/>
                    </w:rPr>
                    <w:t>2、本项目</w:t>
                  </w:r>
                  <w:r>
                    <w:rPr>
                      <w:rFonts w:hint="eastAsia"/>
                      <w:sz w:val="21"/>
                      <w:szCs w:val="21"/>
                      <w:highlight w:val="none"/>
                      <w:lang w:eastAsia="zh-CN"/>
                    </w:rPr>
                    <w:t>热处理过程</w:t>
                  </w:r>
                  <w:r>
                    <w:rPr>
                      <w:rFonts w:hint="eastAsia"/>
                      <w:sz w:val="21"/>
                      <w:szCs w:val="21"/>
                      <w:highlight w:val="none"/>
                    </w:rPr>
                    <w:t>清洗机定期清理产生的废水经自带油水分离器</w:t>
                  </w:r>
                  <w:r>
                    <w:rPr>
                      <w:rFonts w:hint="eastAsia"/>
                      <w:sz w:val="21"/>
                      <w:szCs w:val="21"/>
                      <w:highlight w:val="none"/>
                      <w:lang w:val="en-US" w:eastAsia="zh-CN"/>
                    </w:rPr>
                    <w:t>分离</w:t>
                  </w:r>
                  <w:r>
                    <w:rPr>
                      <w:rFonts w:hint="eastAsia"/>
                      <w:sz w:val="21"/>
                      <w:szCs w:val="21"/>
                      <w:highlight w:val="none"/>
                      <w:lang w:eastAsia="zh-CN"/>
                    </w:rPr>
                    <w:t>后与抛丸后清洗机清理废水排入厂区</w:t>
                  </w:r>
                  <w:r>
                    <w:rPr>
                      <w:rFonts w:hint="eastAsia"/>
                      <w:sz w:val="21"/>
                      <w:szCs w:val="21"/>
                      <w:highlight w:val="none"/>
                      <w:lang w:val="en-US" w:eastAsia="zh-CN"/>
                    </w:rPr>
                    <w:t>污水处理设施处理</w:t>
                  </w:r>
                  <w:r>
                    <w:rPr>
                      <w:rFonts w:hint="eastAsia"/>
                      <w:sz w:val="21"/>
                      <w:szCs w:val="21"/>
                      <w:highlight w:val="none"/>
                    </w:rPr>
                    <w:t>，</w:t>
                  </w:r>
                  <w:r>
                    <w:rPr>
                      <w:rFonts w:hint="eastAsia"/>
                      <w:sz w:val="21"/>
                      <w:szCs w:val="21"/>
                      <w:highlight w:val="none"/>
                      <w:lang w:eastAsia="zh-CN"/>
                    </w:rPr>
                    <w:t>经园区污水管网汇入园区污水处理厂</w:t>
                  </w:r>
                  <w:r>
                    <w:rPr>
                      <w:rFonts w:hint="eastAsia"/>
                      <w:sz w:val="21"/>
                      <w:szCs w:val="21"/>
                      <w:highlight w:val="none"/>
                    </w:rPr>
                    <w:t>；软化水装置产生的浓盐水</w:t>
                  </w:r>
                  <w:r>
                    <w:rPr>
                      <w:rFonts w:hint="eastAsia"/>
                      <w:sz w:val="21"/>
                      <w:szCs w:val="21"/>
                      <w:highlight w:val="none"/>
                      <w:lang w:eastAsia="zh-CN"/>
                    </w:rPr>
                    <w:t>、</w:t>
                  </w:r>
                  <w:r>
                    <w:rPr>
                      <w:rFonts w:hint="eastAsia"/>
                      <w:sz w:val="21"/>
                      <w:szCs w:val="21"/>
                      <w:highlight w:val="none"/>
                    </w:rPr>
                    <w:t>蓄热式电锅炉排污水</w:t>
                  </w:r>
                  <w:r>
                    <w:rPr>
                      <w:rFonts w:hint="eastAsia"/>
                      <w:sz w:val="21"/>
                      <w:szCs w:val="21"/>
                      <w:highlight w:val="none"/>
                      <w:lang w:eastAsia="zh-CN"/>
                    </w:rPr>
                    <w:t>经园区污水管网排入园区污水处理厂；生活废水中食堂废水经隔油池处理后与其它生活废水经园区污水管网排入园区污水处理厂。</w:t>
                  </w:r>
                  <w:r>
                    <w:rPr>
                      <w:rFonts w:hint="eastAsia"/>
                      <w:sz w:val="21"/>
                      <w:szCs w:val="21"/>
                      <w:highlight w:val="none"/>
                    </w:rPr>
                    <w:t>厂区已设计雨水分流。</w:t>
                  </w:r>
                </w:p>
              </w:tc>
              <w:tc>
                <w:tcPr>
                  <w:tcW w:w="465" w:type="dxa"/>
                  <w:tcBorders>
                    <w:tl2br w:val="nil"/>
                    <w:tr2bl w:val="nil"/>
                  </w:tcBorders>
                  <w:vAlign w:val="center"/>
                </w:tcPr>
                <w:p w14:paraId="70E0C85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符合</w:t>
                  </w:r>
                </w:p>
              </w:tc>
            </w:tr>
            <w:tr w14:paraId="2E08B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dxa"/>
                  <w:tcBorders>
                    <w:tl2br w:val="nil"/>
                    <w:tr2bl w:val="nil"/>
                  </w:tcBorders>
                  <w:vAlign w:val="center"/>
                </w:tcPr>
                <w:p w14:paraId="49F303B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环境风险防控</w:t>
                  </w:r>
                </w:p>
              </w:tc>
              <w:tc>
                <w:tcPr>
                  <w:tcW w:w="2430" w:type="dxa"/>
                  <w:tcBorders>
                    <w:tl2br w:val="nil"/>
                    <w:tr2bl w:val="nil"/>
                  </w:tcBorders>
                  <w:vAlign w:val="center"/>
                </w:tcPr>
                <w:p w14:paraId="466617CD">
                  <w:pPr>
                    <w:keepNext w:val="0"/>
                    <w:keepLines w:val="0"/>
                    <w:pageBreakBefore w:val="0"/>
                    <w:widowControl/>
                    <w:numPr>
                      <w:ilvl w:val="0"/>
                      <w:numId w:val="3"/>
                    </w:numPr>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用途变更为住宅、公共管理与公共服务用地的农用地，变更前应当按照规定开展土壤污染状风况调查。</w:t>
                  </w:r>
                </w:p>
                <w:p w14:paraId="7CBD99F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2、开发区及入区企业需组织编制《环境风险应急预案》，成立应急组织机构，定期开展应急演练，提高区域环境风险防范能力。</w:t>
                  </w:r>
                </w:p>
              </w:tc>
              <w:tc>
                <w:tcPr>
                  <w:tcW w:w="3660" w:type="dxa"/>
                  <w:tcBorders>
                    <w:tl2br w:val="nil"/>
                    <w:tr2bl w:val="nil"/>
                  </w:tcBorders>
                  <w:vAlign w:val="center"/>
                </w:tcPr>
                <w:p w14:paraId="4D20250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1、本项目为工业用地，无需开展土壤污染状风况调查。</w:t>
                  </w:r>
                </w:p>
                <w:p w14:paraId="1CBAD3F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2、本项目按要求编制《环境风险应急预案》，成立应急组织机构，定期开展应急演练，提高区域环境风险防范能力。</w:t>
                  </w:r>
                </w:p>
              </w:tc>
              <w:tc>
                <w:tcPr>
                  <w:tcW w:w="465" w:type="dxa"/>
                  <w:tcBorders>
                    <w:tl2br w:val="nil"/>
                    <w:tr2bl w:val="nil"/>
                  </w:tcBorders>
                  <w:vAlign w:val="center"/>
                </w:tcPr>
                <w:p w14:paraId="51775A6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符合</w:t>
                  </w:r>
                </w:p>
              </w:tc>
            </w:tr>
            <w:tr w14:paraId="77EC2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dxa"/>
                  <w:tcBorders>
                    <w:tl2br w:val="nil"/>
                    <w:tr2bl w:val="nil"/>
                  </w:tcBorders>
                  <w:vAlign w:val="center"/>
                </w:tcPr>
                <w:p w14:paraId="651727CC">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资源利用效率要求</w:t>
                  </w:r>
                </w:p>
              </w:tc>
              <w:tc>
                <w:tcPr>
                  <w:tcW w:w="2430" w:type="dxa"/>
                  <w:tcBorders>
                    <w:tl2br w:val="nil"/>
                    <w:tr2bl w:val="nil"/>
                  </w:tcBorders>
                  <w:vAlign w:val="center"/>
                </w:tcPr>
                <w:p w14:paraId="77C85F2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提高水资源重复利用率，加强再生水的回用。污水经深度处理后满足相关再生水回用的标准，回率用于工业用水、绿地浇洒、道路喷洒等。</w:t>
                  </w:r>
                </w:p>
              </w:tc>
              <w:tc>
                <w:tcPr>
                  <w:tcW w:w="3660" w:type="dxa"/>
                  <w:tcBorders>
                    <w:tl2br w:val="nil"/>
                    <w:tr2bl w:val="nil"/>
                  </w:tcBorders>
                  <w:vAlign w:val="center"/>
                </w:tcPr>
                <w:p w14:paraId="002AD1B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highlight w:val="none"/>
                    </w:rPr>
                    <w:t>本项目废水经（油水分离）</w:t>
                  </w:r>
                  <w:r>
                    <w:rPr>
                      <w:rFonts w:hint="eastAsia"/>
                      <w:sz w:val="21"/>
                      <w:szCs w:val="21"/>
                      <w:highlight w:val="none"/>
                      <w:lang w:val="en-US" w:eastAsia="zh-CN"/>
                    </w:rPr>
                    <w:t>+</w:t>
                  </w:r>
                  <w:r>
                    <w:rPr>
                      <w:rFonts w:hint="eastAsia"/>
                      <w:sz w:val="21"/>
                      <w:szCs w:val="21"/>
                      <w:highlight w:val="none"/>
                      <w:lang w:eastAsia="zh-CN"/>
                    </w:rPr>
                    <w:t>污水处理设施</w:t>
                  </w:r>
                  <w:r>
                    <w:rPr>
                      <w:rFonts w:hint="eastAsia"/>
                      <w:sz w:val="21"/>
                      <w:szCs w:val="21"/>
                      <w:highlight w:val="none"/>
                    </w:rPr>
                    <w:t>处理后</w:t>
                  </w:r>
                  <w:r>
                    <w:rPr>
                      <w:rFonts w:hint="eastAsia"/>
                      <w:sz w:val="21"/>
                      <w:szCs w:val="21"/>
                      <w:highlight w:val="none"/>
                      <w:lang w:eastAsia="zh-CN"/>
                    </w:rPr>
                    <w:t>，</w:t>
                  </w:r>
                  <w:r>
                    <w:rPr>
                      <w:rFonts w:hint="eastAsia"/>
                      <w:sz w:val="21"/>
                      <w:szCs w:val="21"/>
                      <w:highlight w:val="none"/>
                    </w:rPr>
                    <w:t>经污水管网，排入园区污水处理</w:t>
                  </w:r>
                  <w:r>
                    <w:rPr>
                      <w:rFonts w:hint="eastAsia"/>
                      <w:sz w:val="21"/>
                      <w:szCs w:val="21"/>
                    </w:rPr>
                    <w:t>厂处理达标后，汇入泥河，泥河水可回用于工业用水、绿地浇洒、道路喷洒等</w:t>
                  </w:r>
                </w:p>
              </w:tc>
              <w:tc>
                <w:tcPr>
                  <w:tcW w:w="465" w:type="dxa"/>
                  <w:tcBorders>
                    <w:tl2br w:val="nil"/>
                    <w:tr2bl w:val="nil"/>
                  </w:tcBorders>
                  <w:vAlign w:val="center"/>
                </w:tcPr>
                <w:p w14:paraId="298791F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sz w:val="21"/>
                      <w:szCs w:val="21"/>
                    </w:rPr>
                  </w:pPr>
                  <w:r>
                    <w:rPr>
                      <w:rFonts w:hint="eastAsia"/>
                      <w:sz w:val="21"/>
                      <w:szCs w:val="21"/>
                    </w:rPr>
                    <w:t>符合</w:t>
                  </w:r>
                </w:p>
              </w:tc>
            </w:tr>
          </w:tbl>
          <w:p w14:paraId="2D3E6447">
            <w:pPr>
              <w:ind w:firstLine="480"/>
              <w:rPr>
                <w:lang w:val="zh-CN"/>
              </w:rPr>
            </w:pPr>
            <w:r>
              <w:rPr>
                <w:rFonts w:hint="eastAsia"/>
                <w:lang w:val="zh-CN"/>
              </w:rPr>
              <w:t>综上所述，</w:t>
            </w:r>
            <w:r>
              <w:rPr>
                <w:rFonts w:hint="eastAsia"/>
              </w:rPr>
              <w:t>本项目</w:t>
            </w:r>
            <w:r>
              <w:rPr>
                <w:rFonts w:hint="eastAsia"/>
                <w:lang w:val="zh-CN"/>
              </w:rPr>
              <w:t>的建设符合</w:t>
            </w:r>
            <w:r>
              <w:rPr>
                <w:rFonts w:hint="eastAsia"/>
              </w:rPr>
              <w:t>唐山市</w:t>
            </w:r>
            <w:r>
              <w:rPr>
                <w:rFonts w:hint="eastAsia"/>
                <w:lang w:val="zh-CN"/>
              </w:rPr>
              <w:t>“三线一单”管控要求，</w:t>
            </w:r>
            <w:r>
              <w:rPr>
                <w:rFonts w:hint="eastAsia"/>
              </w:rPr>
              <w:t>本项目与唐山市环境管控单元位置关系见附图9</w:t>
            </w:r>
            <w:r>
              <w:rPr>
                <w:rFonts w:hint="eastAsia"/>
                <w:lang w:val="zh-CN"/>
              </w:rPr>
              <w:t>。</w:t>
            </w:r>
          </w:p>
          <w:p w14:paraId="052F6CD1">
            <w:pPr>
              <w:ind w:firstLine="482"/>
              <w:rPr>
                <w:b/>
                <w:bCs/>
                <w:lang w:val="zh-CN"/>
              </w:rPr>
            </w:pPr>
            <w:r>
              <w:rPr>
                <w:rFonts w:hint="eastAsia"/>
                <w:b/>
                <w:bCs/>
              </w:rPr>
              <w:t>2、与</w:t>
            </w:r>
            <w:r>
              <w:rPr>
                <w:b/>
                <w:bCs/>
              </w:rPr>
              <w:t>VOC</w:t>
            </w:r>
            <w:r>
              <w:rPr>
                <w:rFonts w:hint="eastAsia"/>
                <w:b/>
                <w:bCs/>
                <w:vertAlign w:val="subscript"/>
              </w:rPr>
              <w:t>S</w:t>
            </w:r>
            <w:r>
              <w:rPr>
                <w:rFonts w:hint="eastAsia"/>
                <w:b/>
                <w:bCs/>
              </w:rPr>
              <w:t>政策的符合性</w:t>
            </w:r>
          </w:p>
          <w:p w14:paraId="1A09CC41">
            <w:pPr>
              <w:pStyle w:val="36"/>
              <w:rPr>
                <w:sz w:val="21"/>
                <w:szCs w:val="21"/>
                <w:lang w:val="zh-CN"/>
              </w:rPr>
            </w:pPr>
            <w:r>
              <w:rPr>
                <w:rFonts w:hint="eastAsia"/>
                <w:sz w:val="21"/>
                <w:szCs w:val="21"/>
              </w:rPr>
              <w:t>表1-4  本项目与VOC</w:t>
            </w:r>
            <w:r>
              <w:rPr>
                <w:rFonts w:hint="eastAsia"/>
                <w:sz w:val="21"/>
                <w:szCs w:val="21"/>
                <w:vertAlign w:val="subscript"/>
              </w:rPr>
              <w:t>S</w:t>
            </w:r>
            <w:r>
              <w:rPr>
                <w:rFonts w:hint="eastAsia"/>
                <w:sz w:val="21"/>
                <w:szCs w:val="21"/>
              </w:rPr>
              <w:t>政策符合性分析一览表</w:t>
            </w:r>
          </w:p>
          <w:tbl>
            <w:tblPr>
              <w:tblStyle w:val="22"/>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3255"/>
              <w:gridCol w:w="1902"/>
              <w:gridCol w:w="577"/>
            </w:tblGrid>
            <w:tr w14:paraId="286F4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tcBorders>
                    <w:tl2br w:val="nil"/>
                    <w:tr2bl w:val="nil"/>
                  </w:tcBorders>
                  <w:vAlign w:val="center"/>
                </w:tcPr>
                <w:p w14:paraId="4F8B7AB1">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环保政策</w:t>
                  </w:r>
                </w:p>
              </w:tc>
              <w:tc>
                <w:tcPr>
                  <w:tcW w:w="2245" w:type="pct"/>
                  <w:tcBorders>
                    <w:tl2br w:val="nil"/>
                    <w:tr2bl w:val="nil"/>
                  </w:tcBorders>
                  <w:vAlign w:val="center"/>
                </w:tcPr>
                <w:p w14:paraId="624B179D">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政策要求</w:t>
                  </w:r>
                </w:p>
              </w:tc>
              <w:tc>
                <w:tcPr>
                  <w:tcW w:w="1312" w:type="pct"/>
                  <w:tcBorders>
                    <w:tl2br w:val="nil"/>
                    <w:tr2bl w:val="nil"/>
                  </w:tcBorders>
                  <w:vAlign w:val="center"/>
                </w:tcPr>
                <w:p w14:paraId="6B2AD58B">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拟建项目实际情况</w:t>
                  </w:r>
                </w:p>
              </w:tc>
              <w:tc>
                <w:tcPr>
                  <w:tcW w:w="398" w:type="pct"/>
                  <w:tcBorders>
                    <w:tl2br w:val="nil"/>
                    <w:tr2bl w:val="nil"/>
                  </w:tcBorders>
                  <w:vAlign w:val="center"/>
                </w:tcPr>
                <w:p w14:paraId="5A5167A6">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是否符合</w:t>
                  </w:r>
                </w:p>
              </w:tc>
            </w:tr>
            <w:tr w14:paraId="075164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tcBorders>
                    <w:tl2br w:val="nil"/>
                    <w:tr2bl w:val="nil"/>
                  </w:tcBorders>
                  <w:vAlign w:val="center"/>
                </w:tcPr>
                <w:p w14:paraId="5CF3089D">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rFonts w:hint="eastAsia" w:ascii="宋体" w:hAnsi="宋体" w:cs="宋体"/>
                      <w:sz w:val="21"/>
                    </w:rPr>
                    <w:t>“十三五”挥</w:t>
                  </w:r>
                  <w:r>
                    <w:rPr>
                      <w:sz w:val="21"/>
                    </w:rPr>
                    <w:t>发性有机物污染防治工作方案</w:t>
                  </w:r>
                </w:p>
              </w:tc>
              <w:tc>
                <w:tcPr>
                  <w:tcW w:w="2245" w:type="pct"/>
                  <w:tcBorders>
                    <w:tl2br w:val="nil"/>
                    <w:tr2bl w:val="nil"/>
                  </w:tcBorders>
                  <w:vAlign w:val="center"/>
                </w:tcPr>
                <w:p w14:paraId="3779956F">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提高</w:t>
                  </w:r>
                  <w:r>
                    <w:rPr>
                      <w:rFonts w:hint="eastAsia"/>
                      <w:sz w:val="21"/>
                    </w:rPr>
                    <w:t>VOC</w:t>
                  </w:r>
                  <w:r>
                    <w:rPr>
                      <w:rFonts w:hint="eastAsia"/>
                      <w:sz w:val="21"/>
                      <w:vertAlign w:val="subscript"/>
                    </w:rPr>
                    <w:t>S</w:t>
                  </w:r>
                  <w:r>
                    <w:rPr>
                      <w:sz w:val="21"/>
                    </w:rPr>
                    <w:t>排放重点行业环保准入门槛，严格控制新增污染物排放量。重点地区要严格限制石化、化工、包装印刷、工业涂装等高</w:t>
                  </w:r>
                  <w:r>
                    <w:rPr>
                      <w:rFonts w:hint="eastAsia"/>
                      <w:sz w:val="21"/>
                    </w:rPr>
                    <w:t>VOC</w:t>
                  </w:r>
                  <w:r>
                    <w:rPr>
                      <w:rFonts w:hint="eastAsia"/>
                      <w:sz w:val="21"/>
                      <w:vertAlign w:val="subscript"/>
                    </w:rPr>
                    <w:t>S</w:t>
                  </w:r>
                  <w:r>
                    <w:rPr>
                      <w:sz w:val="21"/>
                    </w:rPr>
                    <w:t>排放建设项目。新建涉</w:t>
                  </w:r>
                  <w:r>
                    <w:rPr>
                      <w:rFonts w:hint="eastAsia"/>
                      <w:sz w:val="21"/>
                    </w:rPr>
                    <w:t>VOC</w:t>
                  </w:r>
                  <w:r>
                    <w:rPr>
                      <w:rFonts w:hint="eastAsia"/>
                      <w:sz w:val="21"/>
                      <w:vertAlign w:val="subscript"/>
                    </w:rPr>
                    <w:t>S</w:t>
                  </w:r>
                  <w:r>
                    <w:rPr>
                      <w:sz w:val="21"/>
                    </w:rPr>
                    <w:t>排放的工业企业要入园区。</w:t>
                  </w:r>
                </w:p>
              </w:tc>
              <w:tc>
                <w:tcPr>
                  <w:tcW w:w="1312" w:type="pct"/>
                  <w:tcBorders>
                    <w:tl2br w:val="nil"/>
                    <w:tr2bl w:val="nil"/>
                  </w:tcBorders>
                  <w:vAlign w:val="center"/>
                </w:tcPr>
                <w:p w14:paraId="0B4F4135">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rFonts w:hint="eastAsia"/>
                      <w:sz w:val="21"/>
                    </w:rPr>
                    <w:t>本</w:t>
                  </w:r>
                  <w:r>
                    <w:rPr>
                      <w:sz w:val="21"/>
                    </w:rPr>
                    <w:t>项目位于工业园区内</w:t>
                  </w:r>
                  <w:r>
                    <w:rPr>
                      <w:rFonts w:hint="eastAsia"/>
                      <w:sz w:val="21"/>
                    </w:rPr>
                    <w:t>。</w:t>
                  </w:r>
                </w:p>
              </w:tc>
              <w:tc>
                <w:tcPr>
                  <w:tcW w:w="398" w:type="pct"/>
                  <w:tcBorders>
                    <w:tl2br w:val="nil"/>
                    <w:tr2bl w:val="nil"/>
                  </w:tcBorders>
                  <w:vAlign w:val="center"/>
                </w:tcPr>
                <w:p w14:paraId="3575893A">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符合</w:t>
                  </w:r>
                </w:p>
              </w:tc>
            </w:tr>
            <w:tr w14:paraId="6F080F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tcBorders>
                    <w:tl2br w:val="nil"/>
                    <w:tr2bl w:val="nil"/>
                  </w:tcBorders>
                  <w:vAlign w:val="center"/>
                </w:tcPr>
                <w:p w14:paraId="76A3B9AA">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关于印发</w:t>
                  </w:r>
                  <w:r>
                    <w:rPr>
                      <w:rFonts w:hint="eastAsia"/>
                      <w:sz w:val="21"/>
                    </w:rPr>
                    <w:t>《</w:t>
                  </w:r>
                  <w:r>
                    <w:rPr>
                      <w:sz w:val="21"/>
                    </w:rPr>
                    <w:t>重点行业挥发性有机物综合治理方案》的通知（环大气〔2019〕53号）</w:t>
                  </w:r>
                </w:p>
              </w:tc>
              <w:tc>
                <w:tcPr>
                  <w:tcW w:w="2245" w:type="pct"/>
                  <w:tcBorders>
                    <w:tl2br w:val="nil"/>
                    <w:tr2bl w:val="nil"/>
                  </w:tcBorders>
                  <w:vAlign w:val="center"/>
                </w:tcPr>
                <w:p w14:paraId="4FC4277D">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企业采用符合国家有关低</w:t>
                  </w:r>
                  <w:r>
                    <w:rPr>
                      <w:rFonts w:hint="eastAsia"/>
                      <w:sz w:val="21"/>
                    </w:rPr>
                    <w:t>VOC</w:t>
                  </w:r>
                  <w:r>
                    <w:rPr>
                      <w:rFonts w:hint="eastAsia"/>
                      <w:sz w:val="21"/>
                      <w:vertAlign w:val="subscript"/>
                    </w:rPr>
                    <w:t>S</w:t>
                  </w:r>
                  <w:r>
                    <w:rPr>
                      <w:sz w:val="21"/>
                    </w:rPr>
                    <w:t>含量产品规定的涂料、油墨、胶粘剂等，排放浓度稳定达标且排放速率、排放绩效等满足相关规定的，相应生产工序可不要求建设末端治理设施。使用的原辅材料</w:t>
                  </w:r>
                  <w:r>
                    <w:rPr>
                      <w:rFonts w:hint="eastAsia"/>
                      <w:sz w:val="21"/>
                    </w:rPr>
                    <w:t>VOC</w:t>
                  </w:r>
                  <w:r>
                    <w:rPr>
                      <w:rFonts w:hint="eastAsia"/>
                      <w:sz w:val="21"/>
                      <w:vertAlign w:val="subscript"/>
                    </w:rPr>
                    <w:t>S</w:t>
                  </w:r>
                  <w:r>
                    <w:rPr>
                      <w:sz w:val="21"/>
                    </w:rPr>
                    <w:t>含量（质量比）低于10%的工序，可不要求采取无组织排放收集措施。</w:t>
                  </w:r>
                </w:p>
              </w:tc>
              <w:tc>
                <w:tcPr>
                  <w:tcW w:w="1312" w:type="pct"/>
                  <w:vMerge w:val="restart"/>
                  <w:tcBorders>
                    <w:tl2br w:val="nil"/>
                    <w:tr2bl w:val="nil"/>
                  </w:tcBorders>
                  <w:vAlign w:val="center"/>
                </w:tcPr>
                <w:p w14:paraId="5B614756">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rFonts w:hint="eastAsia"/>
                      <w:sz w:val="21"/>
                    </w:rPr>
                    <w:t>本项目热处理过程渗碳</w:t>
                  </w:r>
                  <w:r>
                    <w:rPr>
                      <w:rFonts w:hint="eastAsia"/>
                      <w:sz w:val="21"/>
                      <w:highlight w:val="none"/>
                    </w:rPr>
                    <w:t>采用环形燃烧器燃烧废气的方式，淬火/回火工序产生少量VOC</w:t>
                  </w:r>
                  <w:r>
                    <w:rPr>
                      <w:rFonts w:hint="eastAsia"/>
                      <w:sz w:val="21"/>
                      <w:highlight w:val="none"/>
                      <w:vertAlign w:val="subscript"/>
                    </w:rPr>
                    <w:t>S</w:t>
                  </w:r>
                  <w:r>
                    <w:rPr>
                      <w:rFonts w:hint="eastAsia"/>
                      <w:sz w:val="21"/>
                      <w:highlight w:val="none"/>
                    </w:rPr>
                    <w:t>和油雾，</w:t>
                  </w:r>
                  <w:r>
                    <w:rPr>
                      <w:rFonts w:hint="eastAsia"/>
                      <w:sz w:val="21"/>
                    </w:rPr>
                    <w:t>采用静电式油烟净化器+活性炭吸附装置处理后，由1条15m排气筒排出。</w:t>
                  </w:r>
                </w:p>
              </w:tc>
              <w:tc>
                <w:tcPr>
                  <w:tcW w:w="398" w:type="pct"/>
                  <w:tcBorders>
                    <w:tl2br w:val="nil"/>
                    <w:tr2bl w:val="nil"/>
                  </w:tcBorders>
                  <w:vAlign w:val="center"/>
                </w:tcPr>
                <w:p w14:paraId="2E66EFCF">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符合</w:t>
                  </w:r>
                </w:p>
              </w:tc>
            </w:tr>
            <w:tr w14:paraId="10509D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tcBorders>
                    <w:tl2br w:val="nil"/>
                    <w:tr2bl w:val="nil"/>
                  </w:tcBorders>
                  <w:vAlign w:val="center"/>
                </w:tcPr>
                <w:p w14:paraId="064CD793">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关于印发《2020年挥发性有机物治理攻坚方案》的通知（环大气〔2020〕33号）</w:t>
                  </w:r>
                </w:p>
              </w:tc>
              <w:tc>
                <w:tcPr>
                  <w:tcW w:w="2245" w:type="pct"/>
                  <w:tcBorders>
                    <w:tl2br w:val="nil"/>
                    <w:tr2bl w:val="nil"/>
                  </w:tcBorders>
                  <w:vAlign w:val="center"/>
                </w:tcPr>
                <w:p w14:paraId="38C1FAFA">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大力推进低（无）</w:t>
                  </w:r>
                  <w:r>
                    <w:rPr>
                      <w:rFonts w:hint="eastAsia"/>
                      <w:sz w:val="21"/>
                    </w:rPr>
                    <w:t>VOC</w:t>
                  </w:r>
                  <w:r>
                    <w:rPr>
                      <w:rFonts w:hint="eastAsia"/>
                      <w:sz w:val="21"/>
                      <w:vertAlign w:val="subscript"/>
                    </w:rPr>
                    <w:t>S</w:t>
                  </w:r>
                  <w:r>
                    <w:rPr>
                      <w:sz w:val="21"/>
                    </w:rPr>
                    <w:t>含量原辅材料替代。将全面使用符合国家要求的低</w:t>
                  </w:r>
                  <w:r>
                    <w:rPr>
                      <w:rFonts w:hint="eastAsia"/>
                      <w:sz w:val="21"/>
                    </w:rPr>
                    <w:t>VOC</w:t>
                  </w:r>
                  <w:r>
                    <w:rPr>
                      <w:rFonts w:hint="eastAsia"/>
                      <w:sz w:val="21"/>
                      <w:vertAlign w:val="subscript"/>
                    </w:rPr>
                    <w:t>S</w:t>
                  </w:r>
                  <w:r>
                    <w:rPr>
                      <w:sz w:val="21"/>
                    </w:rPr>
                    <w:t>含量原辅材料的企业纳入正面清单和政府绿色采购清单。企业应建立原辅材料台账，记录</w:t>
                  </w:r>
                  <w:r>
                    <w:rPr>
                      <w:rFonts w:hint="eastAsia"/>
                      <w:sz w:val="21"/>
                    </w:rPr>
                    <w:t>VOC</w:t>
                  </w:r>
                  <w:r>
                    <w:rPr>
                      <w:rFonts w:hint="eastAsia"/>
                      <w:sz w:val="21"/>
                      <w:vertAlign w:val="subscript"/>
                    </w:rPr>
                    <w:t>S</w:t>
                  </w:r>
                  <w:r>
                    <w:rPr>
                      <w:sz w:val="21"/>
                    </w:rPr>
                    <w:t>原辅材料名称、成分、</w:t>
                  </w:r>
                  <w:r>
                    <w:rPr>
                      <w:rFonts w:hint="eastAsia"/>
                      <w:sz w:val="21"/>
                    </w:rPr>
                    <w:t>VOC</w:t>
                  </w:r>
                  <w:r>
                    <w:rPr>
                      <w:rFonts w:hint="eastAsia"/>
                      <w:sz w:val="21"/>
                      <w:vertAlign w:val="subscript"/>
                    </w:rPr>
                    <w:t>S</w:t>
                  </w:r>
                  <w:r>
                    <w:rPr>
                      <w:sz w:val="21"/>
                    </w:rPr>
                    <w:t>含量、采购量、使用量、库存量、回收方式、回收量等信息，并保存相关证明材料。采用符合国家有关低</w:t>
                  </w:r>
                  <w:r>
                    <w:rPr>
                      <w:rFonts w:hint="eastAsia"/>
                      <w:sz w:val="21"/>
                    </w:rPr>
                    <w:t>VOC</w:t>
                  </w:r>
                  <w:r>
                    <w:rPr>
                      <w:rFonts w:hint="eastAsia"/>
                      <w:sz w:val="21"/>
                      <w:vertAlign w:val="subscript"/>
                    </w:rPr>
                    <w:t>S</w:t>
                  </w:r>
                  <w:r>
                    <w:rPr>
                      <w:sz w:val="21"/>
                    </w:rPr>
                    <w:t>含量产品规定的涂料、油墨、胶粘剂等，排放浓度稳定达标且排放速率满足相关规定的，相应生产工序可不要求建设末端治理设施。使用的原辅材料</w:t>
                  </w:r>
                  <w:r>
                    <w:rPr>
                      <w:rFonts w:hint="eastAsia"/>
                      <w:sz w:val="21"/>
                    </w:rPr>
                    <w:t>VOC</w:t>
                  </w:r>
                  <w:r>
                    <w:rPr>
                      <w:rFonts w:hint="eastAsia"/>
                      <w:sz w:val="21"/>
                      <w:vertAlign w:val="subscript"/>
                    </w:rPr>
                    <w:t>S</w:t>
                  </w:r>
                  <w:r>
                    <w:rPr>
                      <w:sz w:val="21"/>
                    </w:rPr>
                    <w:t>含量（质量比）均低于10%的工序，可不要求采取无组织排放收集和处理措施。</w:t>
                  </w:r>
                </w:p>
              </w:tc>
              <w:tc>
                <w:tcPr>
                  <w:tcW w:w="1312" w:type="pct"/>
                  <w:vMerge w:val="continue"/>
                  <w:tcBorders>
                    <w:tl2br w:val="nil"/>
                    <w:tr2bl w:val="nil"/>
                  </w:tcBorders>
                  <w:vAlign w:val="center"/>
                </w:tcPr>
                <w:p w14:paraId="4E3CC1EA">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p>
              </w:tc>
              <w:tc>
                <w:tcPr>
                  <w:tcW w:w="398" w:type="pct"/>
                  <w:tcBorders>
                    <w:tl2br w:val="nil"/>
                    <w:tr2bl w:val="nil"/>
                  </w:tcBorders>
                  <w:vAlign w:val="center"/>
                </w:tcPr>
                <w:p w14:paraId="35273405">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符合</w:t>
                  </w:r>
                </w:p>
              </w:tc>
            </w:tr>
            <w:tr w14:paraId="4A6BB0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vMerge w:val="restart"/>
                  <w:tcBorders>
                    <w:tl2br w:val="nil"/>
                    <w:tr2bl w:val="nil"/>
                  </w:tcBorders>
                  <w:vAlign w:val="center"/>
                </w:tcPr>
                <w:p w14:paraId="07061952">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《挥发性有机物无组织排放控制标准》（GB37822</w:t>
                  </w:r>
                  <w:r>
                    <w:rPr>
                      <w:rFonts w:hint="eastAsia"/>
                      <w:sz w:val="21"/>
                      <w:lang w:eastAsia="zh-CN"/>
                    </w:rPr>
                    <w:t>-</w:t>
                  </w:r>
                  <w:r>
                    <w:rPr>
                      <w:sz w:val="21"/>
                    </w:rPr>
                    <w:t>2019）</w:t>
                  </w:r>
                </w:p>
              </w:tc>
              <w:tc>
                <w:tcPr>
                  <w:tcW w:w="2245" w:type="pct"/>
                  <w:tcBorders>
                    <w:tl2br w:val="nil"/>
                    <w:tr2bl w:val="nil"/>
                  </w:tcBorders>
                  <w:vAlign w:val="center"/>
                </w:tcPr>
                <w:p w14:paraId="3DF56BE8">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rStyle w:val="32"/>
                      <w:rFonts w:ascii="Times New Roman" w:hAnsi="Times New Roman" w:eastAsia="宋体" w:cs="Times New Roman"/>
                      <w:color w:val="auto"/>
                      <w:sz w:val="21"/>
                      <w:szCs w:val="21"/>
                    </w:rPr>
                    <w:t>盛装</w:t>
                  </w:r>
                  <w:r>
                    <w:rPr>
                      <w:rFonts w:hint="eastAsia"/>
                      <w:sz w:val="21"/>
                    </w:rPr>
                    <w:t>VOC</w:t>
                  </w:r>
                  <w:r>
                    <w:rPr>
                      <w:rFonts w:hint="eastAsia"/>
                      <w:sz w:val="21"/>
                      <w:vertAlign w:val="subscript"/>
                    </w:rPr>
                    <w:t>S</w:t>
                  </w:r>
                  <w:r>
                    <w:rPr>
                      <w:rStyle w:val="32"/>
                      <w:rFonts w:ascii="Times New Roman" w:hAnsi="Times New Roman" w:eastAsia="宋体" w:cs="Times New Roman"/>
                      <w:color w:val="auto"/>
                      <w:sz w:val="21"/>
                      <w:szCs w:val="21"/>
                    </w:rPr>
                    <w:t>物料的容器或包装袋应存放于室内，或存放于设置有雨棚、遮阳和防渗设施的专用场地。盛装</w:t>
                  </w:r>
                  <w:r>
                    <w:rPr>
                      <w:rFonts w:hint="eastAsia"/>
                      <w:sz w:val="21"/>
                    </w:rPr>
                    <w:t>VOC</w:t>
                  </w:r>
                  <w:r>
                    <w:rPr>
                      <w:rFonts w:hint="eastAsia"/>
                      <w:sz w:val="21"/>
                      <w:vertAlign w:val="subscript"/>
                    </w:rPr>
                    <w:t>S</w:t>
                  </w:r>
                  <w:r>
                    <w:rPr>
                      <w:rStyle w:val="32"/>
                      <w:rFonts w:ascii="Times New Roman" w:hAnsi="Times New Roman" w:eastAsia="宋体" w:cs="Times New Roman"/>
                      <w:color w:val="auto"/>
                      <w:sz w:val="21"/>
                      <w:szCs w:val="21"/>
                    </w:rPr>
                    <w:t>物料的容器或包装袋在非取用状态时应加盖、封口，保持密闭</w:t>
                  </w:r>
                  <w:r>
                    <w:rPr>
                      <w:rStyle w:val="32"/>
                      <w:rFonts w:hint="eastAsia" w:cs="Times New Roman"/>
                      <w:color w:val="auto"/>
                      <w:sz w:val="21"/>
                      <w:szCs w:val="21"/>
                      <w:lang w:eastAsia="zh-CN"/>
                    </w:rPr>
                    <w:t>。</w:t>
                  </w:r>
                </w:p>
              </w:tc>
              <w:tc>
                <w:tcPr>
                  <w:tcW w:w="1312" w:type="pct"/>
                  <w:tcBorders>
                    <w:tl2br w:val="nil"/>
                    <w:tr2bl w:val="nil"/>
                  </w:tcBorders>
                  <w:vAlign w:val="center"/>
                </w:tcPr>
                <w:p w14:paraId="1D8CFE3B">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rStyle w:val="32"/>
                      <w:rFonts w:hint="eastAsia" w:asciiTheme="minorEastAsia" w:hAnsiTheme="minorEastAsia" w:eastAsiaTheme="minorEastAsia" w:cstheme="minorEastAsia"/>
                      <w:color w:val="auto"/>
                      <w:sz w:val="21"/>
                      <w:szCs w:val="21"/>
                      <w:lang w:eastAsia="zh-CN"/>
                    </w:rPr>
                    <w:t>本项目</w:t>
                  </w:r>
                  <w:r>
                    <w:rPr>
                      <w:rStyle w:val="32"/>
                      <w:rFonts w:hint="eastAsia" w:asciiTheme="minorEastAsia" w:hAnsiTheme="minorEastAsia" w:eastAsiaTheme="minorEastAsia" w:cstheme="minorEastAsia"/>
                      <w:color w:val="auto"/>
                      <w:sz w:val="21"/>
                      <w:szCs w:val="21"/>
                      <w:lang w:val="en-US" w:eastAsia="zh-CN"/>
                    </w:rPr>
                    <w:t>甲醇、切削液、液压油、淬火油、润滑油</w:t>
                  </w:r>
                  <w:r>
                    <w:rPr>
                      <w:rStyle w:val="32"/>
                      <w:rFonts w:hint="eastAsia" w:asciiTheme="minorEastAsia" w:hAnsiTheme="minorEastAsia" w:eastAsiaTheme="minorEastAsia" w:cstheme="minorEastAsia"/>
                      <w:color w:val="auto"/>
                      <w:sz w:val="21"/>
                      <w:szCs w:val="21"/>
                    </w:rPr>
                    <w:t>暂存于危险品库房，地面做好防渗设施，各危险品容器在非取用状态时加盖、封口，保持密闭</w:t>
                  </w:r>
                  <w:r>
                    <w:rPr>
                      <w:rStyle w:val="32"/>
                      <w:rFonts w:hint="eastAsia" w:ascii="Times New Roman" w:hAnsi="Times New Roman" w:eastAsia="宋体" w:cs="Times New Roman"/>
                      <w:color w:val="auto"/>
                      <w:sz w:val="21"/>
                      <w:szCs w:val="21"/>
                      <w:lang w:eastAsia="zh-CN"/>
                    </w:rPr>
                    <w:t>。</w:t>
                  </w:r>
                </w:p>
              </w:tc>
              <w:tc>
                <w:tcPr>
                  <w:tcW w:w="398" w:type="pct"/>
                  <w:vMerge w:val="restart"/>
                  <w:tcBorders>
                    <w:tl2br w:val="nil"/>
                    <w:tr2bl w:val="nil"/>
                  </w:tcBorders>
                  <w:vAlign w:val="center"/>
                </w:tcPr>
                <w:p w14:paraId="3679188A">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符合</w:t>
                  </w:r>
                </w:p>
              </w:tc>
            </w:tr>
            <w:tr w14:paraId="37AEF6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vMerge w:val="continue"/>
                  <w:tcBorders>
                    <w:tl2br w:val="nil"/>
                    <w:tr2bl w:val="nil"/>
                  </w:tcBorders>
                  <w:vAlign w:val="center"/>
                </w:tcPr>
                <w:p w14:paraId="4FE27DAD">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p>
              </w:tc>
              <w:tc>
                <w:tcPr>
                  <w:tcW w:w="2245" w:type="pct"/>
                  <w:tcBorders>
                    <w:tl2br w:val="nil"/>
                    <w:tr2bl w:val="nil"/>
                  </w:tcBorders>
                  <w:vAlign w:val="center"/>
                </w:tcPr>
                <w:p w14:paraId="02B4FAD2">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rFonts w:hint="eastAsia"/>
                      <w:sz w:val="21"/>
                    </w:rPr>
                    <w:t>VOC</w:t>
                  </w:r>
                  <w:r>
                    <w:rPr>
                      <w:rFonts w:hint="eastAsia"/>
                      <w:sz w:val="21"/>
                      <w:vertAlign w:val="subscript"/>
                    </w:rPr>
                    <w:t>S</w:t>
                  </w:r>
                  <w:r>
                    <w:rPr>
                      <w:rStyle w:val="32"/>
                      <w:rFonts w:ascii="Times New Roman" w:hAnsi="Times New Roman" w:eastAsia="宋体" w:cs="Times New Roman"/>
                      <w:color w:val="auto"/>
                      <w:sz w:val="21"/>
                      <w:szCs w:val="21"/>
                    </w:rPr>
                    <w:t>质量占比大于等于10%的含</w:t>
                  </w:r>
                  <w:r>
                    <w:rPr>
                      <w:rFonts w:hint="eastAsia"/>
                      <w:sz w:val="21"/>
                    </w:rPr>
                    <w:t>VOC</w:t>
                  </w:r>
                  <w:r>
                    <w:rPr>
                      <w:rFonts w:hint="eastAsia"/>
                      <w:sz w:val="21"/>
                      <w:vertAlign w:val="subscript"/>
                    </w:rPr>
                    <w:t>S</w:t>
                  </w:r>
                  <w:r>
                    <w:rPr>
                      <w:rStyle w:val="32"/>
                      <w:rFonts w:ascii="Times New Roman" w:hAnsi="Times New Roman" w:eastAsia="宋体" w:cs="Times New Roman"/>
                      <w:color w:val="auto"/>
                      <w:sz w:val="21"/>
                      <w:szCs w:val="21"/>
                    </w:rPr>
                    <w:t>产品，其使用过程应釆用密闭设备或在密闭空间内操作，废气应排至</w:t>
                  </w:r>
                  <w:r>
                    <w:rPr>
                      <w:rFonts w:hint="eastAsia"/>
                      <w:sz w:val="21"/>
                    </w:rPr>
                    <w:t>VOC</w:t>
                  </w:r>
                  <w:r>
                    <w:rPr>
                      <w:rFonts w:hint="eastAsia"/>
                      <w:sz w:val="21"/>
                      <w:vertAlign w:val="subscript"/>
                    </w:rPr>
                    <w:t>S</w:t>
                  </w:r>
                  <w:r>
                    <w:rPr>
                      <w:rStyle w:val="32"/>
                      <w:rFonts w:ascii="Times New Roman" w:hAnsi="Times New Roman" w:eastAsia="宋体" w:cs="Times New Roman"/>
                      <w:color w:val="auto"/>
                      <w:sz w:val="21"/>
                      <w:szCs w:val="21"/>
                    </w:rPr>
                    <w:t>废气收集处理系统；无法密闭的，应采取局部气体收集措施，废气应排至</w:t>
                  </w:r>
                  <w:r>
                    <w:rPr>
                      <w:rFonts w:hint="eastAsia"/>
                      <w:sz w:val="21"/>
                    </w:rPr>
                    <w:t>VOC</w:t>
                  </w:r>
                  <w:r>
                    <w:rPr>
                      <w:rFonts w:hint="eastAsia"/>
                      <w:sz w:val="21"/>
                      <w:vertAlign w:val="subscript"/>
                    </w:rPr>
                    <w:t>S</w:t>
                  </w:r>
                  <w:r>
                    <w:rPr>
                      <w:rStyle w:val="32"/>
                      <w:rFonts w:ascii="Times New Roman" w:hAnsi="Times New Roman" w:eastAsia="宋体" w:cs="Times New Roman"/>
                      <w:color w:val="auto"/>
                      <w:sz w:val="21"/>
                      <w:szCs w:val="21"/>
                    </w:rPr>
                    <w:t>废气收集处理系统</w:t>
                  </w:r>
                  <w:r>
                    <w:rPr>
                      <w:rStyle w:val="32"/>
                      <w:rFonts w:hint="eastAsia" w:cs="Times New Roman"/>
                      <w:color w:val="auto"/>
                      <w:sz w:val="21"/>
                      <w:szCs w:val="21"/>
                      <w:lang w:eastAsia="zh-CN"/>
                    </w:rPr>
                    <w:t>。</w:t>
                  </w:r>
                </w:p>
              </w:tc>
              <w:tc>
                <w:tcPr>
                  <w:tcW w:w="1312" w:type="pct"/>
                  <w:tcBorders>
                    <w:tl2br w:val="nil"/>
                    <w:tr2bl w:val="nil"/>
                  </w:tcBorders>
                  <w:vAlign w:val="center"/>
                </w:tcPr>
                <w:p w14:paraId="6EEE144A">
                  <w:pPr>
                    <w:pStyle w:val="31"/>
                    <w:keepNext w:val="0"/>
                    <w:keepLines w:val="0"/>
                    <w:pageBreakBefore w:val="0"/>
                    <w:kinsoku/>
                    <w:wordWrap/>
                    <w:overflowPunct/>
                    <w:topLinePunct w:val="0"/>
                    <w:autoSpaceDE/>
                    <w:autoSpaceDN/>
                    <w:bidi w:val="0"/>
                    <w:adjustRightInd/>
                    <w:snapToGrid/>
                    <w:spacing w:line="340" w:lineRule="exact"/>
                    <w:textAlignment w:val="auto"/>
                    <w:rPr>
                      <w:sz w:val="21"/>
                      <w:highlight w:val="none"/>
                    </w:rPr>
                  </w:pPr>
                  <w:r>
                    <w:rPr>
                      <w:rFonts w:hint="eastAsia"/>
                      <w:sz w:val="21"/>
                      <w:highlight w:val="none"/>
                    </w:rPr>
                    <w:t>本项目热处理过程渗碳采用环形燃烧器燃烧废气的方式，淬火/回火工序产生少量VOC</w:t>
                  </w:r>
                  <w:r>
                    <w:rPr>
                      <w:rFonts w:hint="eastAsia"/>
                      <w:sz w:val="21"/>
                      <w:highlight w:val="none"/>
                      <w:vertAlign w:val="subscript"/>
                    </w:rPr>
                    <w:t>S</w:t>
                  </w:r>
                  <w:r>
                    <w:rPr>
                      <w:rFonts w:hint="eastAsia"/>
                      <w:sz w:val="21"/>
                      <w:highlight w:val="none"/>
                    </w:rPr>
                    <w:t>和油雾，采用集气罩+静电式油烟净化器+活性炭吸附装置处理后，由1条15m排气筒排出。</w:t>
                  </w:r>
                </w:p>
              </w:tc>
              <w:tc>
                <w:tcPr>
                  <w:tcW w:w="398" w:type="pct"/>
                  <w:vMerge w:val="continue"/>
                  <w:tcBorders>
                    <w:tl2br w:val="nil"/>
                    <w:tr2bl w:val="nil"/>
                  </w:tcBorders>
                  <w:vAlign w:val="center"/>
                </w:tcPr>
                <w:p w14:paraId="014582CC">
                  <w:pPr>
                    <w:pStyle w:val="31"/>
                    <w:keepNext w:val="0"/>
                    <w:keepLines w:val="0"/>
                    <w:pageBreakBefore w:val="0"/>
                    <w:kinsoku/>
                    <w:wordWrap/>
                    <w:overflowPunct/>
                    <w:topLinePunct w:val="0"/>
                    <w:autoSpaceDE/>
                    <w:autoSpaceDN/>
                    <w:bidi w:val="0"/>
                    <w:adjustRightInd/>
                    <w:snapToGrid/>
                    <w:spacing w:line="340" w:lineRule="exact"/>
                    <w:textAlignment w:val="auto"/>
                    <w:rPr>
                      <w:sz w:val="21"/>
                      <w:highlight w:val="none"/>
                    </w:rPr>
                  </w:pPr>
                </w:p>
              </w:tc>
            </w:tr>
            <w:tr w14:paraId="3CDC00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vMerge w:val="restart"/>
                  <w:tcBorders>
                    <w:tl2br w:val="nil"/>
                    <w:tr2bl w:val="nil"/>
                  </w:tcBorders>
                  <w:vAlign w:val="center"/>
                </w:tcPr>
                <w:p w14:paraId="5BFA2ED6">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河北省挥发性有机物污染防治行动计划（2018-2020年）</w:t>
                  </w:r>
                </w:p>
              </w:tc>
              <w:tc>
                <w:tcPr>
                  <w:tcW w:w="2245" w:type="pct"/>
                  <w:tcBorders>
                    <w:tl2br w:val="nil"/>
                    <w:tr2bl w:val="nil"/>
                  </w:tcBorders>
                  <w:vAlign w:val="center"/>
                </w:tcPr>
                <w:p w14:paraId="418993EE">
                  <w:pPr>
                    <w:pStyle w:val="31"/>
                    <w:keepNext w:val="0"/>
                    <w:keepLines w:val="0"/>
                    <w:pageBreakBefore w:val="0"/>
                    <w:kinsoku/>
                    <w:wordWrap/>
                    <w:overflowPunct/>
                    <w:topLinePunct w:val="0"/>
                    <w:autoSpaceDE/>
                    <w:autoSpaceDN/>
                    <w:bidi w:val="0"/>
                    <w:adjustRightInd/>
                    <w:snapToGrid/>
                    <w:spacing w:line="340" w:lineRule="exact"/>
                    <w:textAlignment w:val="auto"/>
                    <w:rPr>
                      <w:rStyle w:val="33"/>
                      <w:rFonts w:ascii="Times New Roman" w:hAnsi="Times New Roman" w:eastAsia="宋体" w:cs="Times New Roman"/>
                      <w:color w:val="auto"/>
                      <w:sz w:val="21"/>
                      <w:szCs w:val="21"/>
                      <w:lang w:eastAsia="zh-CN"/>
                    </w:rPr>
                  </w:pPr>
                  <w:r>
                    <w:rPr>
                      <w:sz w:val="21"/>
                    </w:rPr>
                    <w:t>严守生态保护红线、环境质量底线、资源利用上限和环境准入负面清单，重点地区要严格限制石化、化工、包装印刷、工业涂装等高</w:t>
                  </w:r>
                  <w:r>
                    <w:rPr>
                      <w:rFonts w:hint="eastAsia"/>
                      <w:sz w:val="21"/>
                    </w:rPr>
                    <w:t>VOC</w:t>
                  </w:r>
                  <w:r>
                    <w:rPr>
                      <w:rFonts w:hint="eastAsia"/>
                      <w:sz w:val="21"/>
                      <w:vertAlign w:val="subscript"/>
                    </w:rPr>
                    <w:t>S</w:t>
                  </w:r>
                  <w:r>
                    <w:rPr>
                      <w:sz w:val="21"/>
                    </w:rPr>
                    <w:t>排放建设项目</w:t>
                  </w:r>
                  <w:r>
                    <w:rPr>
                      <w:rFonts w:hint="eastAsia"/>
                      <w:sz w:val="21"/>
                    </w:rPr>
                    <w:t>。</w:t>
                  </w:r>
                </w:p>
              </w:tc>
              <w:tc>
                <w:tcPr>
                  <w:tcW w:w="1312" w:type="pct"/>
                  <w:tcBorders>
                    <w:tl2br w:val="nil"/>
                    <w:tr2bl w:val="nil"/>
                  </w:tcBorders>
                  <w:vAlign w:val="center"/>
                </w:tcPr>
                <w:p w14:paraId="5241715F">
                  <w:pPr>
                    <w:pStyle w:val="31"/>
                    <w:keepNext w:val="0"/>
                    <w:keepLines w:val="0"/>
                    <w:pageBreakBefore w:val="0"/>
                    <w:kinsoku/>
                    <w:wordWrap/>
                    <w:overflowPunct/>
                    <w:topLinePunct w:val="0"/>
                    <w:autoSpaceDE/>
                    <w:autoSpaceDN/>
                    <w:bidi w:val="0"/>
                    <w:adjustRightInd/>
                    <w:snapToGrid/>
                    <w:spacing w:line="340" w:lineRule="exact"/>
                    <w:textAlignment w:val="auto"/>
                    <w:rPr>
                      <w:rStyle w:val="32"/>
                      <w:rFonts w:ascii="Times New Roman" w:hAnsi="Times New Roman" w:eastAsia="宋体" w:cs="Times New Roman"/>
                      <w:color w:val="auto"/>
                      <w:sz w:val="21"/>
                      <w:szCs w:val="21"/>
                    </w:rPr>
                  </w:pPr>
                  <w:r>
                    <w:rPr>
                      <w:sz w:val="21"/>
                    </w:rPr>
                    <w:t>本项目满足生态保护红线、环境质量底线、资源利用上线和环境准入负面清单要求，项目</w:t>
                  </w:r>
                  <w:r>
                    <w:rPr>
                      <w:rFonts w:hint="eastAsia"/>
                      <w:sz w:val="21"/>
                    </w:rPr>
                    <w:t>VOC</w:t>
                  </w:r>
                  <w:r>
                    <w:rPr>
                      <w:rFonts w:hint="eastAsia"/>
                      <w:sz w:val="21"/>
                      <w:vertAlign w:val="subscript"/>
                    </w:rPr>
                    <w:t>S</w:t>
                  </w:r>
                  <w:r>
                    <w:rPr>
                      <w:sz w:val="21"/>
                    </w:rPr>
                    <w:t>排放量较小。</w:t>
                  </w:r>
                </w:p>
              </w:tc>
              <w:tc>
                <w:tcPr>
                  <w:tcW w:w="398" w:type="pct"/>
                  <w:vMerge w:val="restart"/>
                  <w:tcBorders>
                    <w:tl2br w:val="nil"/>
                    <w:tr2bl w:val="nil"/>
                  </w:tcBorders>
                  <w:vAlign w:val="center"/>
                </w:tcPr>
                <w:p w14:paraId="3A307904">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符合</w:t>
                  </w:r>
                </w:p>
              </w:tc>
            </w:tr>
            <w:tr w14:paraId="703AED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vMerge w:val="continue"/>
                  <w:tcBorders>
                    <w:tl2br w:val="nil"/>
                    <w:tr2bl w:val="nil"/>
                  </w:tcBorders>
                  <w:vAlign w:val="center"/>
                </w:tcPr>
                <w:p w14:paraId="5BF8D614">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p>
              </w:tc>
              <w:tc>
                <w:tcPr>
                  <w:tcW w:w="2245" w:type="pct"/>
                  <w:tcBorders>
                    <w:tl2br w:val="nil"/>
                    <w:tr2bl w:val="nil"/>
                  </w:tcBorders>
                  <w:vAlign w:val="center"/>
                </w:tcPr>
                <w:p w14:paraId="18FCEDF9">
                  <w:pPr>
                    <w:pStyle w:val="31"/>
                    <w:keepNext w:val="0"/>
                    <w:keepLines w:val="0"/>
                    <w:pageBreakBefore w:val="0"/>
                    <w:kinsoku/>
                    <w:wordWrap/>
                    <w:overflowPunct/>
                    <w:topLinePunct w:val="0"/>
                    <w:autoSpaceDE/>
                    <w:autoSpaceDN/>
                    <w:bidi w:val="0"/>
                    <w:adjustRightInd/>
                    <w:snapToGrid/>
                    <w:spacing w:line="340" w:lineRule="exact"/>
                    <w:textAlignment w:val="auto"/>
                    <w:rPr>
                      <w:rStyle w:val="33"/>
                      <w:rFonts w:ascii="Times New Roman" w:hAnsi="Times New Roman" w:eastAsia="宋体" w:cs="Times New Roman"/>
                      <w:color w:val="auto"/>
                      <w:sz w:val="21"/>
                      <w:szCs w:val="21"/>
                      <w:lang w:eastAsia="zh-CN"/>
                    </w:rPr>
                  </w:pPr>
                  <w:r>
                    <w:rPr>
                      <w:sz w:val="21"/>
                    </w:rPr>
                    <w:t>新、改、扩建涉</w:t>
                  </w:r>
                  <w:r>
                    <w:rPr>
                      <w:rFonts w:hint="eastAsia"/>
                      <w:sz w:val="21"/>
                    </w:rPr>
                    <w:t>VOC</w:t>
                  </w:r>
                  <w:r>
                    <w:rPr>
                      <w:rFonts w:hint="eastAsia"/>
                      <w:sz w:val="21"/>
                      <w:vertAlign w:val="subscript"/>
                    </w:rPr>
                    <w:t>S</w:t>
                  </w:r>
                  <w:r>
                    <w:rPr>
                      <w:sz w:val="21"/>
                    </w:rPr>
                    <w:t>排放项目，应从源头加强控制，使用低（无）VOC</w:t>
                  </w:r>
                  <w:r>
                    <w:rPr>
                      <w:rFonts w:hint="eastAsia"/>
                      <w:sz w:val="21"/>
                      <w:vertAlign w:val="subscript"/>
                    </w:rPr>
                    <w:t>S</w:t>
                  </w:r>
                  <w:r>
                    <w:rPr>
                      <w:sz w:val="21"/>
                    </w:rPr>
                    <w:t>含量的原辅材料</w:t>
                  </w:r>
                  <w:r>
                    <w:rPr>
                      <w:rFonts w:hint="eastAsia"/>
                      <w:sz w:val="21"/>
                    </w:rPr>
                    <w:t>。</w:t>
                  </w:r>
                </w:p>
              </w:tc>
              <w:tc>
                <w:tcPr>
                  <w:tcW w:w="1312" w:type="pct"/>
                  <w:tcBorders>
                    <w:tl2br w:val="nil"/>
                    <w:tr2bl w:val="nil"/>
                  </w:tcBorders>
                  <w:vAlign w:val="center"/>
                </w:tcPr>
                <w:p w14:paraId="2BAC383F">
                  <w:pPr>
                    <w:pStyle w:val="31"/>
                    <w:keepNext w:val="0"/>
                    <w:keepLines w:val="0"/>
                    <w:pageBreakBefore w:val="0"/>
                    <w:kinsoku/>
                    <w:wordWrap/>
                    <w:overflowPunct/>
                    <w:topLinePunct w:val="0"/>
                    <w:autoSpaceDE/>
                    <w:autoSpaceDN/>
                    <w:bidi w:val="0"/>
                    <w:adjustRightInd/>
                    <w:snapToGrid/>
                    <w:spacing w:line="340" w:lineRule="exact"/>
                    <w:textAlignment w:val="auto"/>
                    <w:rPr>
                      <w:rStyle w:val="32"/>
                      <w:rFonts w:ascii="Times New Roman" w:hAnsi="Times New Roman" w:eastAsia="宋体" w:cs="Times New Roman"/>
                      <w:color w:val="auto"/>
                      <w:sz w:val="21"/>
                      <w:szCs w:val="21"/>
                    </w:rPr>
                  </w:pPr>
                  <w:r>
                    <w:rPr>
                      <w:rFonts w:hint="eastAsia"/>
                      <w:sz w:val="21"/>
                    </w:rPr>
                    <w:t>本项目采用低VOC</w:t>
                  </w:r>
                  <w:r>
                    <w:rPr>
                      <w:rFonts w:hint="eastAsia"/>
                      <w:sz w:val="21"/>
                      <w:vertAlign w:val="subscript"/>
                    </w:rPr>
                    <w:t>S</w:t>
                  </w:r>
                  <w:r>
                    <w:rPr>
                      <w:rFonts w:hint="eastAsia"/>
                      <w:sz w:val="21"/>
                    </w:rPr>
                    <w:t>含量的原料。</w:t>
                  </w:r>
                </w:p>
              </w:tc>
              <w:tc>
                <w:tcPr>
                  <w:tcW w:w="398" w:type="pct"/>
                  <w:vMerge w:val="continue"/>
                  <w:tcBorders>
                    <w:tl2br w:val="nil"/>
                    <w:tr2bl w:val="nil"/>
                  </w:tcBorders>
                  <w:vAlign w:val="center"/>
                </w:tcPr>
                <w:p w14:paraId="730990A5">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p>
              </w:tc>
            </w:tr>
            <w:tr w14:paraId="0771DE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43" w:type="pct"/>
                  <w:tcBorders>
                    <w:tl2br w:val="nil"/>
                    <w:tr2bl w:val="nil"/>
                  </w:tcBorders>
                  <w:vAlign w:val="center"/>
                </w:tcPr>
                <w:p w14:paraId="1521126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 w:val="21"/>
                      <w:szCs w:val="21"/>
                    </w:rPr>
                  </w:pPr>
                  <w:r>
                    <w:rPr>
                      <w:sz w:val="21"/>
                      <w:szCs w:val="21"/>
                    </w:rPr>
                    <w:t>《关于在重点行业开展推广替代使用低挥发性有机物含量用</w:t>
                  </w:r>
                  <w:r>
                    <w:rPr>
                      <w:rFonts w:hint="eastAsia" w:ascii="宋体" w:hAnsi="宋体" w:cs="宋体"/>
                      <w:sz w:val="21"/>
                      <w:szCs w:val="21"/>
                    </w:rPr>
                    <w:t>漆(涂料)</w:t>
                  </w:r>
                  <w:r>
                    <w:rPr>
                      <w:sz w:val="21"/>
                      <w:szCs w:val="21"/>
                    </w:rPr>
                    <w:t>工作的通知》</w:t>
                  </w:r>
                  <w:r>
                    <w:rPr>
                      <w:rFonts w:hint="eastAsia" w:ascii="宋体" w:hAnsi="宋体" w:cs="宋体"/>
                      <w:sz w:val="21"/>
                      <w:szCs w:val="21"/>
                    </w:rPr>
                    <w:t>(</w:t>
                  </w:r>
                  <w:r>
                    <w:rPr>
                      <w:sz w:val="21"/>
                      <w:szCs w:val="21"/>
                    </w:rPr>
                    <w:t>2020年3月27</w:t>
                  </w:r>
                  <w:r>
                    <w:rPr>
                      <w:rFonts w:hint="eastAsia" w:ascii="宋体" w:hAnsi="宋体" w:cs="宋体"/>
                      <w:sz w:val="21"/>
                      <w:szCs w:val="21"/>
                    </w:rPr>
                    <w:t>日)</w:t>
                  </w:r>
                </w:p>
              </w:tc>
              <w:tc>
                <w:tcPr>
                  <w:tcW w:w="2245" w:type="pct"/>
                  <w:tcBorders>
                    <w:tl2br w:val="nil"/>
                    <w:tr2bl w:val="nil"/>
                  </w:tcBorders>
                  <w:vAlign w:val="center"/>
                </w:tcPr>
                <w:p w14:paraId="05F4F52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 w:val="21"/>
                      <w:szCs w:val="21"/>
                    </w:rPr>
                  </w:pPr>
                  <w:r>
                    <w:rPr>
                      <w:sz w:val="21"/>
                      <w:szCs w:val="21"/>
                    </w:rPr>
                    <w:t>2020年5月底前，市区二环以内工业涂装、汽修、包装印刷等行业全部更换为水性</w:t>
                  </w:r>
                  <w:r>
                    <w:rPr>
                      <w:rFonts w:hint="eastAsia" w:ascii="宋体" w:hAnsi="宋体" w:cs="宋体"/>
                      <w:sz w:val="21"/>
                      <w:szCs w:val="21"/>
                    </w:rPr>
                    <w:t>漆(涂料)等</w:t>
                  </w:r>
                  <w:r>
                    <w:rPr>
                      <w:sz w:val="21"/>
                      <w:szCs w:val="21"/>
                    </w:rPr>
                    <w:t>低VOC</w:t>
                  </w:r>
                  <w:r>
                    <w:rPr>
                      <w:rFonts w:hint="eastAsia"/>
                      <w:sz w:val="21"/>
                      <w:szCs w:val="21"/>
                      <w:vertAlign w:val="subscript"/>
                    </w:rPr>
                    <w:t>S</w:t>
                  </w:r>
                  <w:r>
                    <w:rPr>
                      <w:sz w:val="21"/>
                      <w:szCs w:val="21"/>
                    </w:rPr>
                    <w:t>原辅料</w:t>
                  </w:r>
                  <w:r>
                    <w:rPr>
                      <w:rFonts w:hint="eastAsia"/>
                      <w:sz w:val="21"/>
                      <w:szCs w:val="21"/>
                    </w:rPr>
                    <w:t>。</w:t>
                  </w:r>
                </w:p>
              </w:tc>
              <w:tc>
                <w:tcPr>
                  <w:tcW w:w="1312" w:type="pct"/>
                  <w:tcBorders>
                    <w:tl2br w:val="nil"/>
                    <w:tr2bl w:val="nil"/>
                  </w:tcBorders>
                  <w:vAlign w:val="center"/>
                </w:tcPr>
                <w:p w14:paraId="105BD37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 w:val="21"/>
                      <w:szCs w:val="21"/>
                    </w:rPr>
                  </w:pPr>
                  <w:r>
                    <w:rPr>
                      <w:sz w:val="21"/>
                      <w:szCs w:val="21"/>
                    </w:rPr>
                    <w:t>本项目位于</w:t>
                  </w:r>
                  <w:r>
                    <w:rPr>
                      <w:rFonts w:hint="eastAsia"/>
                      <w:sz w:val="21"/>
                      <w:szCs w:val="21"/>
                    </w:rPr>
                    <w:t>京唐智慧港园区</w:t>
                  </w:r>
                  <w:r>
                    <w:rPr>
                      <w:sz w:val="21"/>
                      <w:szCs w:val="21"/>
                    </w:rPr>
                    <w:t>，</w:t>
                  </w:r>
                  <w:r>
                    <w:rPr>
                      <w:rFonts w:hint="eastAsia"/>
                      <w:sz w:val="21"/>
                      <w:szCs w:val="21"/>
                    </w:rPr>
                    <w:t>位于二环以外，且不使用用油漆、涂料。</w:t>
                  </w:r>
                </w:p>
              </w:tc>
              <w:tc>
                <w:tcPr>
                  <w:tcW w:w="398" w:type="pct"/>
                  <w:tcBorders>
                    <w:tl2br w:val="nil"/>
                    <w:tr2bl w:val="nil"/>
                  </w:tcBorders>
                  <w:vAlign w:val="center"/>
                </w:tcPr>
                <w:p w14:paraId="756CE0A1">
                  <w:pPr>
                    <w:pStyle w:val="31"/>
                    <w:keepNext w:val="0"/>
                    <w:keepLines w:val="0"/>
                    <w:pageBreakBefore w:val="0"/>
                    <w:kinsoku/>
                    <w:wordWrap/>
                    <w:overflowPunct/>
                    <w:topLinePunct w:val="0"/>
                    <w:autoSpaceDE/>
                    <w:autoSpaceDN/>
                    <w:bidi w:val="0"/>
                    <w:adjustRightInd/>
                    <w:snapToGrid/>
                    <w:spacing w:line="340" w:lineRule="exact"/>
                    <w:textAlignment w:val="auto"/>
                    <w:rPr>
                      <w:sz w:val="21"/>
                    </w:rPr>
                  </w:pPr>
                  <w:r>
                    <w:rPr>
                      <w:sz w:val="21"/>
                    </w:rPr>
                    <w:t>符合</w:t>
                  </w:r>
                </w:p>
              </w:tc>
            </w:tr>
          </w:tbl>
          <w:p w14:paraId="483AA6D3">
            <w:pPr>
              <w:pStyle w:val="13"/>
              <w:ind w:left="0" w:leftChars="0" w:right="1680" w:firstLine="480"/>
            </w:pPr>
            <w:r>
              <w:rPr>
                <w:rFonts w:hint="eastAsia"/>
              </w:rPr>
              <w:t>由上表可知，本项目符合VOC</w:t>
            </w:r>
            <w:r>
              <w:rPr>
                <w:rFonts w:hint="eastAsia"/>
                <w:vertAlign w:val="subscript"/>
              </w:rPr>
              <w:t>S</w:t>
            </w:r>
            <w:r>
              <w:rPr>
                <w:rFonts w:hint="eastAsia"/>
              </w:rPr>
              <w:t>环保政策要求。</w:t>
            </w:r>
          </w:p>
          <w:p w14:paraId="1EB34667">
            <w:pPr>
              <w:ind w:firstLine="480"/>
            </w:pPr>
          </w:p>
        </w:tc>
      </w:tr>
    </w:tbl>
    <w:p w14:paraId="41E962E7">
      <w:pPr>
        <w:pStyle w:val="20"/>
        <w:numPr>
          <w:ilvl w:val="0"/>
          <w:numId w:val="4"/>
        </w:numPr>
        <w:spacing w:line="240" w:lineRule="auto"/>
        <w:ind w:firstLine="0" w:firstLineChars="0"/>
        <w:jc w:val="center"/>
        <w:outlineLvl w:val="0"/>
        <w:rPr>
          <w:rFonts w:ascii="黑体" w:hAnsi="黑体" w:eastAsia="黑体"/>
          <w:snapToGrid w:val="0"/>
          <w:sz w:val="30"/>
          <w:szCs w:val="30"/>
        </w:rPr>
      </w:pPr>
      <w:r>
        <w:rPr>
          <w:rFonts w:hint="eastAsia" w:ascii="黑体" w:hAnsi="黑体" w:eastAsia="黑体"/>
          <w:snapToGrid w:val="0"/>
          <w:sz w:val="30"/>
          <w:szCs w:val="30"/>
        </w:rPr>
        <w:t>建设项目工程分析</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545"/>
      </w:tblGrid>
      <w:tr w14:paraId="56F2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115B9F4">
            <w:pPr>
              <w:pStyle w:val="20"/>
              <w:spacing w:line="240" w:lineRule="auto"/>
              <w:ind w:firstLine="0" w:firstLineChars="0"/>
              <w:jc w:val="center"/>
              <w:outlineLvl w:val="0"/>
              <w:rPr>
                <w:rFonts w:ascii="黑体" w:hAnsi="黑体" w:eastAsia="黑体"/>
                <w:snapToGrid w:val="0"/>
                <w:sz w:val="30"/>
                <w:szCs w:val="30"/>
              </w:rPr>
            </w:pPr>
            <w:r>
              <w:rPr>
                <w:rFonts w:hint="eastAsia"/>
                <w:szCs w:val="24"/>
              </w:rPr>
              <w:t>建设内容</w:t>
            </w:r>
          </w:p>
        </w:tc>
        <w:tc>
          <w:tcPr>
            <w:tcW w:w="8545" w:type="dxa"/>
          </w:tcPr>
          <w:p w14:paraId="6931603C">
            <w:pPr>
              <w:numPr>
                <w:ilvl w:val="0"/>
                <w:numId w:val="5"/>
              </w:numPr>
              <w:autoSpaceDE w:val="0"/>
              <w:autoSpaceDN w:val="0"/>
              <w:adjustRightInd w:val="0"/>
              <w:ind w:firstLine="0" w:firstLineChars="0"/>
              <w:rPr>
                <w:b/>
                <w:bCs/>
              </w:rPr>
            </w:pPr>
            <w:r>
              <w:rPr>
                <w:rFonts w:hint="eastAsia"/>
                <w:b/>
                <w:bCs/>
              </w:rPr>
              <w:t>项目由来</w:t>
            </w:r>
          </w:p>
          <w:p w14:paraId="7099A814">
            <w:pPr>
              <w:ind w:firstLine="480"/>
            </w:pPr>
            <w:r>
              <w:rPr>
                <w:rFonts w:hint="eastAsia"/>
              </w:rPr>
              <w:t>唐山爱特精密机械制造有限公司成立于2004年7月14日，原厂位于河北省唐山市路北区韩城镇西薛庄村南，根据市场需求，决定投资10300万元在河北省唐山市高新技术产业开发区京唐智慧港纬二路南侧经十五路西侧新建唐山爱特精密机器制造有限公司车用锁式差速器及四驱扭矩控制系统工厂项目，项目建成后年产车用锁式差速器及四驱扭矩控制系统10万台（套），产值10800万元。</w:t>
            </w:r>
          </w:p>
          <w:p w14:paraId="36221E1E">
            <w:pPr>
              <w:widowControl/>
              <w:ind w:firstLine="480"/>
              <w:jc w:val="left"/>
            </w:pPr>
            <w:r>
              <w:t>根据《中华人民共和国环境保护法》、《中华人民共和国环境影响评价法》、《建设项目环境保护管理条例》（国务院</w:t>
            </w:r>
            <w:r>
              <w:rPr>
                <w:rFonts w:hint="eastAsia"/>
              </w:rPr>
              <w:t>第</w:t>
            </w:r>
            <w:r>
              <w:t>682号令）的要求，</w:t>
            </w:r>
            <w:r>
              <w:rPr>
                <w:rFonts w:hint="eastAsia"/>
              </w:rPr>
              <w:t>以及</w:t>
            </w:r>
            <w:r>
              <w:t>《建设项目环境影响评价分类管理名录》（2021年版）（部令第16号）等环保法律法规的相关规定</w:t>
            </w:r>
            <w:r>
              <w:rPr>
                <w:rFonts w:hint="eastAsia"/>
              </w:rPr>
              <w:t>，</w:t>
            </w:r>
            <w:r>
              <w:t>该项目属于</w:t>
            </w:r>
            <w:r>
              <w:rPr>
                <w:rFonts w:hint="eastAsia"/>
              </w:rPr>
              <w:t>“三十三、汽车制造业36</w:t>
            </w:r>
            <w:r>
              <w:rPr>
                <w:rFonts w:hint="eastAsia"/>
                <w:lang w:eastAsia="zh-CN"/>
              </w:rPr>
              <w:t>-</w:t>
            </w:r>
            <w:r>
              <w:rPr>
                <w:rFonts w:hint="eastAsia"/>
              </w:rPr>
              <w:t>71.汽车零部件及配件制造367</w:t>
            </w:r>
            <w:r>
              <w:rPr>
                <w:rFonts w:hint="eastAsia"/>
                <w:lang w:eastAsia="zh-CN"/>
              </w:rPr>
              <w:t>-</w:t>
            </w:r>
            <w:r>
              <w:rPr>
                <w:rFonts w:hint="eastAsia"/>
              </w:rPr>
              <w:t>其他（年用非溶剂型低VOC</w:t>
            </w:r>
            <w:r>
              <w:rPr>
                <w:rFonts w:hint="eastAsia"/>
                <w:vertAlign w:val="subscript"/>
              </w:rPr>
              <w:t>S</w:t>
            </w:r>
            <w:r>
              <w:rPr>
                <w:rFonts w:hint="eastAsia"/>
              </w:rPr>
              <w:t>含量涂料10吨以下的除外）”之列，本项目</w:t>
            </w:r>
            <w:r>
              <w:t>应编制环境影响报告表。</w:t>
            </w:r>
            <w:r>
              <w:rPr>
                <w:rFonts w:hint="eastAsia"/>
              </w:rPr>
              <w:t>唐山爱特精密机器制造有限公司</w:t>
            </w:r>
            <w:r>
              <w:t>委托我公司承担该项目的环境影响报告表的编制工作，接受委托后，我单位立即开展了现场踏勘、资料收集等工作，</w:t>
            </w:r>
            <w:r>
              <w:rPr>
                <w:rFonts w:hint="eastAsia"/>
              </w:rPr>
              <w:t>并</w:t>
            </w:r>
            <w:r>
              <w:t>根据国家、省、市有关环保政策、法规及</w:t>
            </w:r>
            <w:r>
              <w:rPr>
                <w:rFonts w:hint="eastAsia"/>
              </w:rPr>
              <w:t>唐山市生态环境局高新区分局、唐山高新技术产业开发区行政审批局</w:t>
            </w:r>
            <w:r>
              <w:t>要求，从本项目及周边环境实际出发，分析项目建设与运营对环境的影响，</w:t>
            </w:r>
            <w:r>
              <w:rPr>
                <w:rFonts w:hint="eastAsia"/>
              </w:rPr>
              <w:t>编制完成了</w:t>
            </w:r>
            <w:r>
              <w:t>本项目环境影响报告表。</w:t>
            </w:r>
          </w:p>
          <w:p w14:paraId="2BF9EBF4">
            <w:pPr>
              <w:ind w:firstLine="0" w:firstLineChars="0"/>
              <w:rPr>
                <w:b/>
                <w:bCs/>
              </w:rPr>
            </w:pPr>
            <w:r>
              <w:rPr>
                <w:rFonts w:hint="eastAsia"/>
              </w:rPr>
              <w:t>二</w:t>
            </w:r>
            <w:r>
              <w:rPr>
                <w:rFonts w:hint="eastAsia"/>
                <w:b/>
                <w:bCs/>
              </w:rPr>
              <w:t>、本项目工程概况</w:t>
            </w:r>
          </w:p>
          <w:p w14:paraId="5B5D7DB8">
            <w:pPr>
              <w:ind w:firstLine="480"/>
              <w:rPr>
                <w:color w:val="000000" w:themeColor="text1"/>
                <w14:textFill>
                  <w14:solidFill>
                    <w14:schemeClr w14:val="tx1"/>
                  </w14:solidFill>
                </w14:textFill>
              </w:rPr>
            </w:pPr>
            <w:r>
              <w:rPr>
                <w:rFonts w:hint="eastAsia"/>
              </w:rPr>
              <w:t>1、</w:t>
            </w:r>
            <w:r>
              <w:rPr>
                <w:color w:val="000000" w:themeColor="text1"/>
                <w14:textFill>
                  <w14:solidFill>
                    <w14:schemeClr w14:val="tx1"/>
                  </w14:solidFill>
                </w14:textFill>
              </w:rPr>
              <w:t>项目名称：</w:t>
            </w:r>
            <w:r>
              <w:rPr>
                <w:rFonts w:hint="eastAsia"/>
              </w:rPr>
              <w:t>唐山爱特精密机器制造有限公司新建车用锁式差速器及四驱扭矩控制系统工厂建设项目。</w:t>
            </w:r>
          </w:p>
          <w:p w14:paraId="350063D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建设单位：</w:t>
            </w:r>
            <w:r>
              <w:rPr>
                <w:rFonts w:hint="eastAsia"/>
              </w:rPr>
              <w:t>唐山爱特精密机器制造有限公司</w:t>
            </w:r>
            <w:r>
              <w:rPr>
                <w:color w:val="000000" w:themeColor="text1"/>
                <w14:textFill>
                  <w14:solidFill>
                    <w14:schemeClr w14:val="tx1"/>
                  </w14:solidFill>
                </w14:textFill>
              </w:rPr>
              <w:t>。</w:t>
            </w:r>
          </w:p>
          <w:p w14:paraId="4FDDE88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建设性质：</w:t>
            </w:r>
            <w:r>
              <w:rPr>
                <w:rFonts w:hint="eastAsia"/>
                <w:color w:val="000000" w:themeColor="text1"/>
                <w14:textFill>
                  <w14:solidFill>
                    <w14:schemeClr w14:val="tx1"/>
                  </w14:solidFill>
                </w14:textFill>
              </w:rPr>
              <w:t>新建</w:t>
            </w:r>
            <w:r>
              <w:rPr>
                <w:color w:val="000000" w:themeColor="text1"/>
                <w14:textFill>
                  <w14:solidFill>
                    <w14:schemeClr w14:val="tx1"/>
                  </w14:solidFill>
                </w14:textFill>
              </w:rPr>
              <w:t>。</w:t>
            </w:r>
          </w:p>
          <w:p w14:paraId="4B649F06">
            <w:pPr>
              <w:ind w:firstLine="480"/>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建设地点：</w:t>
            </w:r>
            <w:r>
              <w:rPr>
                <w:rFonts w:hint="eastAsia"/>
              </w:rPr>
              <w:t>河北省唐山市高新技术产业开发区京唐智慧港纬二路南侧经十五路西侧。</w:t>
            </w:r>
          </w:p>
          <w:p w14:paraId="6D5B6C83">
            <w:pPr>
              <w:ind w:firstLine="480"/>
              <w:rPr>
                <w:rFonts w:ascii="黑体" w:hAnsi="黑体" w:eastAsia="黑体"/>
                <w:snapToGrid w:val="0"/>
                <w:sz w:val="30"/>
                <w:szCs w:val="30"/>
              </w:rPr>
            </w:pPr>
            <w:r>
              <w:rPr>
                <w:rFonts w:hint="eastAsia"/>
              </w:rPr>
              <w:t>5、建设规模及内容：项目占地13548.62平方米，总建筑面积10810.41平方米，建设2栋厂房，其中1#厂房建筑面积4767.69平方米，2#厂房建筑面积4987.3平方米，建设三层办公楼一栋，总建筑面积1030.92平方米，附属设施传达室1座，建筑面积24.5平方米。年产车用锁式差速器及四驱扭矩控制系统10万台套，</w:t>
            </w:r>
          </w:p>
        </w:tc>
      </w:tr>
    </w:tbl>
    <w:tbl>
      <w:tblPr>
        <w:tblStyle w:val="22"/>
        <w:tblW w:w="9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342"/>
      </w:tblGrid>
      <w:tr w14:paraId="1FC64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23" w:type="dxa"/>
            <w:vAlign w:val="center"/>
          </w:tcPr>
          <w:p w14:paraId="2551CF16">
            <w:pPr>
              <w:pStyle w:val="31"/>
              <w:rPr>
                <w:color w:val="0070C0"/>
                <w:szCs w:val="24"/>
              </w:rPr>
            </w:pPr>
          </w:p>
        </w:tc>
        <w:tc>
          <w:tcPr>
            <w:tcW w:w="8342" w:type="dxa"/>
          </w:tcPr>
          <w:p w14:paraId="137E2693">
            <w:pPr>
              <w:ind w:firstLine="0" w:firstLineChars="0"/>
              <w:rPr>
                <w:highlight w:val="none"/>
              </w:rPr>
            </w:pPr>
            <w:r>
              <w:rPr>
                <w:rFonts w:hint="eastAsia"/>
                <w:highlight w:val="none"/>
              </w:rPr>
              <w:t>产值10800万元。</w:t>
            </w:r>
            <w:r>
              <w:rPr>
                <w:highlight w:val="none"/>
              </w:rPr>
              <w:t>项目建设内容一览表见表</w:t>
            </w:r>
            <w:r>
              <w:rPr>
                <w:rFonts w:hint="eastAsia"/>
                <w:highlight w:val="none"/>
              </w:rPr>
              <w:t>2-1</w:t>
            </w:r>
            <w:r>
              <w:rPr>
                <w:highlight w:val="none"/>
              </w:rPr>
              <w:t>。</w:t>
            </w:r>
          </w:p>
          <w:p w14:paraId="365A5875">
            <w:pPr>
              <w:pStyle w:val="36"/>
              <w:rPr>
                <w:sz w:val="21"/>
                <w:szCs w:val="21"/>
                <w:highlight w:val="none"/>
              </w:rPr>
            </w:pPr>
            <w:r>
              <w:rPr>
                <w:sz w:val="21"/>
                <w:szCs w:val="21"/>
                <w:highlight w:val="none"/>
              </w:rPr>
              <w:t>表</w:t>
            </w:r>
            <w:r>
              <w:rPr>
                <w:rFonts w:hint="eastAsia"/>
                <w:sz w:val="21"/>
                <w:szCs w:val="21"/>
                <w:highlight w:val="none"/>
              </w:rPr>
              <w:t>2-1  本</w:t>
            </w:r>
            <w:r>
              <w:rPr>
                <w:sz w:val="21"/>
                <w:szCs w:val="21"/>
                <w:highlight w:val="none"/>
              </w:rPr>
              <w:t>项目建设内容一览表</w:t>
            </w:r>
          </w:p>
          <w:tbl>
            <w:tblPr>
              <w:tblStyle w:val="22"/>
              <w:tblW w:w="80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72"/>
              <w:gridCol w:w="5624"/>
            </w:tblGrid>
            <w:tr w14:paraId="5E556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tcBorders>
                    <w:tl2br w:val="nil"/>
                    <w:tr2bl w:val="nil"/>
                  </w:tcBorders>
                  <w:vAlign w:val="center"/>
                </w:tcPr>
                <w:p w14:paraId="247CAB2C">
                  <w:pPr>
                    <w:pStyle w:val="31"/>
                    <w:spacing w:line="340" w:lineRule="exact"/>
                    <w:rPr>
                      <w:sz w:val="21"/>
                      <w:highlight w:val="none"/>
                    </w:rPr>
                  </w:pPr>
                  <w:r>
                    <w:rPr>
                      <w:sz w:val="21"/>
                      <w:highlight w:val="none"/>
                    </w:rPr>
                    <w:t>工程类别</w:t>
                  </w:r>
                </w:p>
              </w:tc>
              <w:tc>
                <w:tcPr>
                  <w:tcW w:w="1272" w:type="dxa"/>
                  <w:tcBorders>
                    <w:tl2br w:val="nil"/>
                    <w:tr2bl w:val="nil"/>
                  </w:tcBorders>
                  <w:vAlign w:val="center"/>
                </w:tcPr>
                <w:p w14:paraId="67D07C0E">
                  <w:pPr>
                    <w:pStyle w:val="31"/>
                    <w:spacing w:line="340" w:lineRule="exact"/>
                    <w:rPr>
                      <w:sz w:val="21"/>
                      <w:highlight w:val="none"/>
                    </w:rPr>
                  </w:pPr>
                  <w:r>
                    <w:rPr>
                      <w:sz w:val="21"/>
                      <w:highlight w:val="none"/>
                    </w:rPr>
                    <w:t>项目名称</w:t>
                  </w:r>
                </w:p>
              </w:tc>
              <w:tc>
                <w:tcPr>
                  <w:tcW w:w="5624" w:type="dxa"/>
                  <w:tcBorders>
                    <w:tl2br w:val="nil"/>
                    <w:tr2bl w:val="nil"/>
                  </w:tcBorders>
                  <w:vAlign w:val="center"/>
                </w:tcPr>
                <w:p w14:paraId="5E45BAAE">
                  <w:pPr>
                    <w:pStyle w:val="31"/>
                    <w:spacing w:line="340" w:lineRule="exact"/>
                    <w:rPr>
                      <w:sz w:val="21"/>
                      <w:highlight w:val="none"/>
                    </w:rPr>
                  </w:pPr>
                  <w:r>
                    <w:rPr>
                      <w:sz w:val="21"/>
                      <w:highlight w:val="none"/>
                    </w:rPr>
                    <w:t>建设内容</w:t>
                  </w:r>
                </w:p>
              </w:tc>
            </w:tr>
            <w:tr w14:paraId="25A2E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restart"/>
                  <w:tcBorders>
                    <w:tl2br w:val="nil"/>
                    <w:tr2bl w:val="nil"/>
                  </w:tcBorders>
                  <w:vAlign w:val="center"/>
                </w:tcPr>
                <w:p w14:paraId="2A9ED195">
                  <w:pPr>
                    <w:pStyle w:val="31"/>
                    <w:spacing w:line="340" w:lineRule="exact"/>
                    <w:rPr>
                      <w:sz w:val="21"/>
                      <w:highlight w:val="none"/>
                    </w:rPr>
                  </w:pPr>
                  <w:r>
                    <w:rPr>
                      <w:sz w:val="21"/>
                      <w:highlight w:val="none"/>
                    </w:rPr>
                    <w:t>主体工程</w:t>
                  </w:r>
                </w:p>
              </w:tc>
              <w:tc>
                <w:tcPr>
                  <w:tcW w:w="1272" w:type="dxa"/>
                  <w:tcBorders>
                    <w:tl2br w:val="nil"/>
                    <w:tr2bl w:val="nil"/>
                  </w:tcBorders>
                  <w:vAlign w:val="center"/>
                </w:tcPr>
                <w:p w14:paraId="671D94C8">
                  <w:pPr>
                    <w:pStyle w:val="31"/>
                    <w:spacing w:line="340" w:lineRule="exact"/>
                    <w:rPr>
                      <w:sz w:val="21"/>
                      <w:highlight w:val="none"/>
                    </w:rPr>
                  </w:pPr>
                  <w:r>
                    <w:rPr>
                      <w:rFonts w:hint="eastAsia"/>
                      <w:sz w:val="21"/>
                      <w:highlight w:val="none"/>
                    </w:rPr>
                    <w:t>1#厂房</w:t>
                  </w:r>
                </w:p>
              </w:tc>
              <w:tc>
                <w:tcPr>
                  <w:tcW w:w="5624" w:type="dxa"/>
                  <w:tcBorders>
                    <w:tl2br w:val="nil"/>
                    <w:tr2bl w:val="nil"/>
                  </w:tcBorders>
                  <w:vAlign w:val="center"/>
                </w:tcPr>
                <w:p w14:paraId="049DB6CB">
                  <w:pPr>
                    <w:pStyle w:val="31"/>
                    <w:spacing w:line="340" w:lineRule="exact"/>
                    <w:rPr>
                      <w:sz w:val="21"/>
                      <w:highlight w:val="none"/>
                    </w:rPr>
                  </w:pPr>
                  <w:r>
                    <w:rPr>
                      <w:rFonts w:hint="eastAsia"/>
                      <w:sz w:val="21"/>
                      <w:highlight w:val="none"/>
                    </w:rPr>
                    <w:t>局部二层，墙体砖混+房顶彩钢结构，总建筑面积4767.69m</w:t>
                  </w:r>
                  <w:r>
                    <w:rPr>
                      <w:rFonts w:hint="eastAsia"/>
                      <w:sz w:val="21"/>
                      <w:highlight w:val="none"/>
                      <w:vertAlign w:val="superscript"/>
                    </w:rPr>
                    <w:t>2</w:t>
                  </w:r>
                  <w:r>
                    <w:rPr>
                      <w:rFonts w:hint="eastAsia"/>
                      <w:sz w:val="21"/>
                      <w:highlight w:val="none"/>
                    </w:rPr>
                    <w:t>，一层建筑面积4272.94m</w:t>
                  </w:r>
                  <w:r>
                    <w:rPr>
                      <w:rFonts w:hint="eastAsia"/>
                      <w:sz w:val="21"/>
                      <w:highlight w:val="none"/>
                      <w:vertAlign w:val="superscript"/>
                    </w:rPr>
                    <w:t>2</w:t>
                  </w:r>
                  <w:r>
                    <w:rPr>
                      <w:rFonts w:hint="eastAsia"/>
                      <w:sz w:val="21"/>
                      <w:highlight w:val="none"/>
                    </w:rPr>
                    <w:t>，内设抛丸间、热处理区、数控车床区、齿形区、加工中心区、电加热锅炉区、检验室、食堂和3个车库；二层建筑面积494.75m</w:t>
                  </w:r>
                  <w:r>
                    <w:rPr>
                      <w:rFonts w:hint="eastAsia"/>
                      <w:sz w:val="21"/>
                      <w:highlight w:val="none"/>
                      <w:vertAlign w:val="superscript"/>
                    </w:rPr>
                    <w:t>2</w:t>
                  </w:r>
                  <w:r>
                    <w:rPr>
                      <w:rFonts w:hint="eastAsia"/>
                      <w:sz w:val="21"/>
                      <w:highlight w:val="none"/>
                    </w:rPr>
                    <w:t xml:space="preserve">为仓储区。                                                                                                                                                                                                                                                                                                                                                                                                                                                                                                                                                                                                                                                                                                                                                                                                                                                                                                                                                                                                                                                                                                                                                                                                                                                                                                                                                                                                                                                                                                                                                                                                                                                                                                                                                                                                                                                                                                                                                                                                                                                                                                                                                                                                                                                                                      </w:t>
                  </w:r>
                </w:p>
              </w:tc>
            </w:tr>
            <w:tr w14:paraId="1F6D0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39EA132F">
                  <w:pPr>
                    <w:pStyle w:val="31"/>
                    <w:spacing w:line="340" w:lineRule="exact"/>
                    <w:rPr>
                      <w:sz w:val="21"/>
                      <w:highlight w:val="none"/>
                    </w:rPr>
                  </w:pPr>
                </w:p>
              </w:tc>
              <w:tc>
                <w:tcPr>
                  <w:tcW w:w="1272" w:type="dxa"/>
                  <w:tcBorders>
                    <w:tl2br w:val="nil"/>
                    <w:tr2bl w:val="nil"/>
                  </w:tcBorders>
                  <w:vAlign w:val="center"/>
                </w:tcPr>
                <w:p w14:paraId="349F66C4">
                  <w:pPr>
                    <w:pStyle w:val="31"/>
                    <w:spacing w:line="340" w:lineRule="exact"/>
                    <w:rPr>
                      <w:sz w:val="21"/>
                      <w:highlight w:val="none"/>
                    </w:rPr>
                  </w:pPr>
                  <w:r>
                    <w:rPr>
                      <w:rFonts w:hint="eastAsia"/>
                      <w:sz w:val="21"/>
                      <w:highlight w:val="none"/>
                    </w:rPr>
                    <w:t>2#厂房</w:t>
                  </w:r>
                </w:p>
              </w:tc>
              <w:tc>
                <w:tcPr>
                  <w:tcW w:w="5624" w:type="dxa"/>
                  <w:tcBorders>
                    <w:tl2br w:val="nil"/>
                    <w:tr2bl w:val="nil"/>
                  </w:tcBorders>
                  <w:vAlign w:val="center"/>
                </w:tcPr>
                <w:p w14:paraId="244644DF">
                  <w:pPr>
                    <w:pStyle w:val="31"/>
                    <w:spacing w:line="340" w:lineRule="exact"/>
                    <w:rPr>
                      <w:sz w:val="21"/>
                      <w:highlight w:val="none"/>
                    </w:rPr>
                  </w:pPr>
                  <w:r>
                    <w:rPr>
                      <w:rFonts w:hint="eastAsia"/>
                      <w:sz w:val="21"/>
                      <w:highlight w:val="none"/>
                    </w:rPr>
                    <w:t>局部二层，墙体砖混+房顶彩钢结构，总建筑面积4987.30m</w:t>
                  </w:r>
                  <w:r>
                    <w:rPr>
                      <w:rFonts w:hint="eastAsia"/>
                      <w:sz w:val="21"/>
                      <w:highlight w:val="none"/>
                      <w:vertAlign w:val="superscript"/>
                    </w:rPr>
                    <w:t>2</w:t>
                  </w:r>
                  <w:r>
                    <w:rPr>
                      <w:rFonts w:hint="eastAsia"/>
                      <w:sz w:val="21"/>
                      <w:highlight w:val="none"/>
                    </w:rPr>
                    <w:t>，一层建筑面积3144.86m</w:t>
                  </w:r>
                  <w:r>
                    <w:rPr>
                      <w:rFonts w:hint="eastAsia"/>
                      <w:sz w:val="21"/>
                      <w:highlight w:val="none"/>
                      <w:vertAlign w:val="superscript"/>
                    </w:rPr>
                    <w:t>2</w:t>
                  </w:r>
                  <w:r>
                    <w:rPr>
                      <w:rFonts w:hint="eastAsia"/>
                      <w:sz w:val="21"/>
                      <w:highlight w:val="none"/>
                    </w:rPr>
                    <w:t>，主要设有组装区、原材料区、成品区、垃圾站、危废暂存间、一般固废间、危险品库房、电加热炉区；二层建筑面积1842.44m</w:t>
                  </w:r>
                  <w:r>
                    <w:rPr>
                      <w:rFonts w:hint="eastAsia"/>
                      <w:sz w:val="21"/>
                      <w:highlight w:val="none"/>
                      <w:vertAlign w:val="superscript"/>
                    </w:rPr>
                    <w:t>2</w:t>
                  </w:r>
                  <w:r>
                    <w:rPr>
                      <w:rFonts w:hint="eastAsia"/>
                      <w:sz w:val="21"/>
                      <w:highlight w:val="none"/>
                    </w:rPr>
                    <w:t>，设为仓储区。</w:t>
                  </w:r>
                </w:p>
              </w:tc>
            </w:tr>
            <w:tr w14:paraId="1A431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restart"/>
                  <w:tcBorders>
                    <w:tl2br w:val="nil"/>
                    <w:tr2bl w:val="nil"/>
                  </w:tcBorders>
                  <w:vAlign w:val="center"/>
                </w:tcPr>
                <w:p w14:paraId="3F4A7220">
                  <w:pPr>
                    <w:pStyle w:val="31"/>
                    <w:spacing w:line="340" w:lineRule="exact"/>
                    <w:rPr>
                      <w:sz w:val="21"/>
                      <w:highlight w:val="none"/>
                    </w:rPr>
                  </w:pPr>
                  <w:r>
                    <w:rPr>
                      <w:rFonts w:hint="eastAsia"/>
                      <w:sz w:val="21"/>
                      <w:highlight w:val="none"/>
                    </w:rPr>
                    <w:t>辅助</w:t>
                  </w:r>
                  <w:r>
                    <w:rPr>
                      <w:sz w:val="21"/>
                      <w:highlight w:val="none"/>
                    </w:rPr>
                    <w:t>工程</w:t>
                  </w:r>
                </w:p>
              </w:tc>
              <w:tc>
                <w:tcPr>
                  <w:tcW w:w="1272" w:type="dxa"/>
                  <w:tcBorders>
                    <w:tl2br w:val="nil"/>
                    <w:tr2bl w:val="nil"/>
                  </w:tcBorders>
                  <w:vAlign w:val="center"/>
                </w:tcPr>
                <w:p w14:paraId="6F513A4E">
                  <w:pPr>
                    <w:pStyle w:val="31"/>
                    <w:spacing w:line="340" w:lineRule="exact"/>
                    <w:rPr>
                      <w:sz w:val="21"/>
                      <w:highlight w:val="none"/>
                    </w:rPr>
                  </w:pPr>
                  <w:r>
                    <w:rPr>
                      <w:rFonts w:hint="eastAsia"/>
                      <w:sz w:val="21"/>
                      <w:highlight w:val="none"/>
                    </w:rPr>
                    <w:t>办公楼</w:t>
                  </w:r>
                </w:p>
              </w:tc>
              <w:tc>
                <w:tcPr>
                  <w:tcW w:w="5624" w:type="dxa"/>
                  <w:tcBorders>
                    <w:tl2br w:val="nil"/>
                    <w:tr2bl w:val="nil"/>
                  </w:tcBorders>
                  <w:vAlign w:val="center"/>
                </w:tcPr>
                <w:p w14:paraId="6163C6EA">
                  <w:pPr>
                    <w:pStyle w:val="31"/>
                    <w:spacing w:line="340" w:lineRule="exact"/>
                    <w:rPr>
                      <w:sz w:val="21"/>
                      <w:highlight w:val="none"/>
                    </w:rPr>
                  </w:pPr>
                  <w:r>
                    <w:rPr>
                      <w:rFonts w:hint="eastAsia"/>
                      <w:color w:val="000000" w:themeColor="text1"/>
                      <w:sz w:val="21"/>
                      <w:highlight w:val="none"/>
                      <w14:textFill>
                        <w14:solidFill>
                          <w14:schemeClr w14:val="tx1"/>
                        </w14:solidFill>
                      </w14:textFill>
                    </w:rPr>
                    <w:t>三层，砖混结构，</w:t>
                  </w:r>
                  <w:r>
                    <w:rPr>
                      <w:rFonts w:hint="eastAsia"/>
                      <w:sz w:val="21"/>
                      <w:highlight w:val="none"/>
                    </w:rPr>
                    <w:t>总建筑面积1030.92m</w:t>
                  </w:r>
                  <w:r>
                    <w:rPr>
                      <w:rFonts w:hint="eastAsia"/>
                      <w:sz w:val="21"/>
                      <w:highlight w:val="none"/>
                      <w:vertAlign w:val="superscript"/>
                    </w:rPr>
                    <w:t>2</w:t>
                  </w:r>
                  <w:r>
                    <w:rPr>
                      <w:rFonts w:hint="eastAsia"/>
                      <w:sz w:val="21"/>
                      <w:highlight w:val="none"/>
                    </w:rPr>
                    <w:t>，一二层</w:t>
                  </w:r>
                  <w:r>
                    <w:rPr>
                      <w:rFonts w:hint="eastAsia"/>
                      <w:color w:val="000000" w:themeColor="text1"/>
                      <w:sz w:val="21"/>
                      <w:highlight w:val="none"/>
                      <w14:textFill>
                        <w14:solidFill>
                          <w14:schemeClr w14:val="tx1"/>
                        </w14:solidFill>
                      </w14:textFill>
                    </w:rPr>
                    <w:t>用于办公，三层用于员工宿舍、淋浴房。</w:t>
                  </w:r>
                </w:p>
              </w:tc>
            </w:tr>
            <w:tr w14:paraId="0CF4A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0A313A47">
                  <w:pPr>
                    <w:pStyle w:val="31"/>
                    <w:spacing w:line="340" w:lineRule="exact"/>
                    <w:rPr>
                      <w:sz w:val="21"/>
                      <w:highlight w:val="none"/>
                    </w:rPr>
                  </w:pPr>
                </w:p>
              </w:tc>
              <w:tc>
                <w:tcPr>
                  <w:tcW w:w="1272" w:type="dxa"/>
                  <w:tcBorders>
                    <w:tl2br w:val="nil"/>
                    <w:tr2bl w:val="nil"/>
                  </w:tcBorders>
                  <w:vAlign w:val="center"/>
                </w:tcPr>
                <w:p w14:paraId="7D02AF2E">
                  <w:pPr>
                    <w:pStyle w:val="31"/>
                    <w:spacing w:line="340" w:lineRule="exact"/>
                    <w:rPr>
                      <w:sz w:val="21"/>
                      <w:highlight w:val="none"/>
                    </w:rPr>
                  </w:pPr>
                  <w:r>
                    <w:rPr>
                      <w:rFonts w:hint="eastAsia"/>
                      <w:sz w:val="21"/>
                      <w:highlight w:val="none"/>
                    </w:rPr>
                    <w:t>传达室</w:t>
                  </w:r>
                </w:p>
              </w:tc>
              <w:tc>
                <w:tcPr>
                  <w:tcW w:w="5624" w:type="dxa"/>
                  <w:tcBorders>
                    <w:tl2br w:val="nil"/>
                    <w:tr2bl w:val="nil"/>
                  </w:tcBorders>
                  <w:vAlign w:val="center"/>
                </w:tcPr>
                <w:p w14:paraId="7BE2E2FF">
                  <w:pPr>
                    <w:pStyle w:val="31"/>
                    <w:spacing w:line="340" w:lineRule="exact"/>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一层，砖混结构，</w:t>
                  </w:r>
                  <w:r>
                    <w:rPr>
                      <w:rFonts w:hint="eastAsia"/>
                      <w:sz w:val="21"/>
                      <w:highlight w:val="none"/>
                    </w:rPr>
                    <w:t>总建筑面积24.5m</w:t>
                  </w:r>
                  <w:r>
                    <w:rPr>
                      <w:rFonts w:hint="eastAsia"/>
                      <w:sz w:val="21"/>
                      <w:highlight w:val="none"/>
                      <w:vertAlign w:val="superscript"/>
                    </w:rPr>
                    <w:t>2</w:t>
                  </w:r>
                  <w:r>
                    <w:rPr>
                      <w:rFonts w:hint="eastAsia"/>
                      <w:sz w:val="21"/>
                      <w:highlight w:val="none"/>
                    </w:rPr>
                    <w:t>，位于厂区东侧入口旁</w:t>
                  </w:r>
                  <w:r>
                    <w:rPr>
                      <w:rFonts w:hint="eastAsia"/>
                      <w:color w:val="000000" w:themeColor="text1"/>
                      <w:sz w:val="21"/>
                      <w:highlight w:val="none"/>
                      <w14:textFill>
                        <w14:solidFill>
                          <w14:schemeClr w14:val="tx1"/>
                        </w14:solidFill>
                      </w14:textFill>
                    </w:rPr>
                    <w:t>。</w:t>
                  </w:r>
                </w:p>
              </w:tc>
            </w:tr>
            <w:tr w14:paraId="4B303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1AEC817B">
                  <w:pPr>
                    <w:pStyle w:val="31"/>
                    <w:spacing w:line="340" w:lineRule="exact"/>
                    <w:rPr>
                      <w:sz w:val="21"/>
                      <w:highlight w:val="none"/>
                    </w:rPr>
                  </w:pPr>
                </w:p>
              </w:tc>
              <w:tc>
                <w:tcPr>
                  <w:tcW w:w="1272" w:type="dxa"/>
                  <w:tcBorders>
                    <w:tl2br w:val="nil"/>
                    <w:tr2bl w:val="nil"/>
                  </w:tcBorders>
                  <w:vAlign w:val="center"/>
                </w:tcPr>
                <w:p w14:paraId="55B44228">
                  <w:pPr>
                    <w:pStyle w:val="31"/>
                    <w:spacing w:line="340" w:lineRule="exact"/>
                    <w:rPr>
                      <w:sz w:val="21"/>
                      <w:highlight w:val="none"/>
                    </w:rPr>
                  </w:pPr>
                  <w:r>
                    <w:rPr>
                      <w:rFonts w:hint="eastAsia"/>
                      <w:sz w:val="21"/>
                      <w:highlight w:val="none"/>
                    </w:rPr>
                    <w:t>危废暂存间</w:t>
                  </w:r>
                </w:p>
              </w:tc>
              <w:tc>
                <w:tcPr>
                  <w:tcW w:w="5624" w:type="dxa"/>
                  <w:tcBorders>
                    <w:tl2br w:val="nil"/>
                    <w:tr2bl w:val="nil"/>
                  </w:tcBorders>
                  <w:vAlign w:val="center"/>
                </w:tcPr>
                <w:p w14:paraId="3FEC9B0F">
                  <w:pPr>
                    <w:pStyle w:val="31"/>
                    <w:spacing w:line="340" w:lineRule="exact"/>
                    <w:rPr>
                      <w:sz w:val="21"/>
                      <w:highlight w:val="none"/>
                    </w:rPr>
                  </w:pPr>
                  <w:r>
                    <w:rPr>
                      <w:rFonts w:hint="eastAsia"/>
                      <w:sz w:val="21"/>
                      <w:highlight w:val="none"/>
                      <w:lang w:val="en-US" w:eastAsia="zh-CN"/>
                    </w:rPr>
                    <w:t>2座，</w:t>
                  </w:r>
                  <w:r>
                    <w:rPr>
                      <w:rFonts w:hint="eastAsia"/>
                      <w:sz w:val="21"/>
                      <w:highlight w:val="none"/>
                    </w:rPr>
                    <w:t>一层，钢结构，位于2#厂房一层东侧，</w:t>
                  </w:r>
                  <w:r>
                    <w:rPr>
                      <w:rFonts w:hint="eastAsia"/>
                      <w:sz w:val="21"/>
                      <w:highlight w:val="none"/>
                      <w:lang w:eastAsia="zh-CN"/>
                    </w:rPr>
                    <w:t>每座</w:t>
                  </w:r>
                  <w:r>
                    <w:rPr>
                      <w:rFonts w:hint="eastAsia"/>
                      <w:sz w:val="21"/>
                      <w:highlight w:val="none"/>
                    </w:rPr>
                    <w:t>建筑面积</w:t>
                  </w:r>
                  <w:r>
                    <w:rPr>
                      <w:rFonts w:hint="eastAsia"/>
                      <w:color w:val="000000" w:themeColor="text1"/>
                      <w:sz w:val="21"/>
                      <w:highlight w:val="none"/>
                      <w:lang w:val="en-US" w:eastAsia="zh-CN"/>
                      <w14:textFill>
                        <w14:solidFill>
                          <w14:schemeClr w14:val="tx1"/>
                        </w14:solidFill>
                      </w14:textFill>
                    </w:rPr>
                    <w:t>20</w:t>
                  </w:r>
                  <w:r>
                    <w:rPr>
                      <w:rFonts w:hint="eastAsia"/>
                      <w:color w:val="000000" w:themeColor="text1"/>
                      <w:sz w:val="21"/>
                      <w:highlight w:val="none"/>
                      <w14:textFill>
                        <w14:solidFill>
                          <w14:schemeClr w14:val="tx1"/>
                        </w14:solidFill>
                      </w14:textFill>
                    </w:rPr>
                    <w:t>m</w:t>
                  </w:r>
                  <w:r>
                    <w:rPr>
                      <w:rFonts w:hint="eastAsia"/>
                      <w:color w:val="000000" w:themeColor="text1"/>
                      <w:sz w:val="21"/>
                      <w:highlight w:val="none"/>
                      <w:vertAlign w:val="superscript"/>
                      <w14:textFill>
                        <w14:solidFill>
                          <w14:schemeClr w14:val="tx1"/>
                        </w14:solidFill>
                      </w14:textFill>
                    </w:rPr>
                    <w:t>2</w:t>
                  </w:r>
                  <w:r>
                    <w:rPr>
                      <w:rFonts w:hint="eastAsia"/>
                      <w:sz w:val="21"/>
                      <w:highlight w:val="none"/>
                    </w:rPr>
                    <w:t>，主要用于存放生产过程产生的危险废物，地面及裙角防腐防渗。</w:t>
                  </w:r>
                </w:p>
              </w:tc>
            </w:tr>
            <w:tr w14:paraId="77EC4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25A5089F">
                  <w:pPr>
                    <w:pStyle w:val="31"/>
                    <w:spacing w:line="340" w:lineRule="exact"/>
                    <w:rPr>
                      <w:sz w:val="21"/>
                      <w:highlight w:val="none"/>
                    </w:rPr>
                  </w:pPr>
                </w:p>
              </w:tc>
              <w:tc>
                <w:tcPr>
                  <w:tcW w:w="1272" w:type="dxa"/>
                  <w:tcBorders>
                    <w:tl2br w:val="nil"/>
                    <w:tr2bl w:val="nil"/>
                  </w:tcBorders>
                  <w:vAlign w:val="center"/>
                </w:tcPr>
                <w:p w14:paraId="2A9FB00D">
                  <w:pPr>
                    <w:pStyle w:val="31"/>
                    <w:spacing w:line="340" w:lineRule="exact"/>
                    <w:rPr>
                      <w:sz w:val="21"/>
                      <w:highlight w:val="none"/>
                    </w:rPr>
                  </w:pPr>
                  <w:r>
                    <w:rPr>
                      <w:rFonts w:hint="eastAsia"/>
                      <w:sz w:val="21"/>
                      <w:highlight w:val="none"/>
                    </w:rPr>
                    <w:t>一般工业固废暂存间</w:t>
                  </w:r>
                </w:p>
              </w:tc>
              <w:tc>
                <w:tcPr>
                  <w:tcW w:w="5624" w:type="dxa"/>
                  <w:tcBorders>
                    <w:tl2br w:val="nil"/>
                    <w:tr2bl w:val="nil"/>
                  </w:tcBorders>
                  <w:vAlign w:val="center"/>
                </w:tcPr>
                <w:p w14:paraId="4F5AAD2B">
                  <w:pPr>
                    <w:pStyle w:val="31"/>
                    <w:spacing w:line="340" w:lineRule="exact"/>
                    <w:rPr>
                      <w:sz w:val="21"/>
                      <w:highlight w:val="none"/>
                    </w:rPr>
                  </w:pPr>
                  <w:r>
                    <w:rPr>
                      <w:rFonts w:hint="eastAsia"/>
                      <w:sz w:val="21"/>
                      <w:highlight w:val="none"/>
                    </w:rPr>
                    <w:t>一层，钢结构，位于2#厂房一层东侧，建筑面积</w:t>
                  </w:r>
                  <w:r>
                    <w:rPr>
                      <w:rFonts w:hint="eastAsia"/>
                      <w:color w:val="000000" w:themeColor="text1"/>
                      <w:sz w:val="21"/>
                      <w:highlight w:val="none"/>
                      <w14:textFill>
                        <w14:solidFill>
                          <w14:schemeClr w14:val="tx1"/>
                        </w14:solidFill>
                      </w14:textFill>
                    </w:rPr>
                    <w:t>30m</w:t>
                  </w:r>
                  <w:r>
                    <w:rPr>
                      <w:rFonts w:hint="eastAsia"/>
                      <w:color w:val="000000" w:themeColor="text1"/>
                      <w:sz w:val="21"/>
                      <w:highlight w:val="none"/>
                      <w:vertAlign w:val="superscript"/>
                      <w14:textFill>
                        <w14:solidFill>
                          <w14:schemeClr w14:val="tx1"/>
                        </w14:solidFill>
                      </w14:textFill>
                    </w:rPr>
                    <w:t>2</w:t>
                  </w:r>
                  <w:r>
                    <w:rPr>
                      <w:rFonts w:hint="eastAsia"/>
                      <w:sz w:val="21"/>
                      <w:highlight w:val="none"/>
                    </w:rPr>
                    <w:t>，主要用于存放生产过程产生的一般固体废物。</w:t>
                  </w:r>
                </w:p>
              </w:tc>
            </w:tr>
            <w:tr w14:paraId="5BDD4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779C05F1">
                  <w:pPr>
                    <w:pStyle w:val="31"/>
                    <w:spacing w:line="340" w:lineRule="exact"/>
                    <w:rPr>
                      <w:sz w:val="21"/>
                      <w:highlight w:val="none"/>
                    </w:rPr>
                  </w:pPr>
                </w:p>
              </w:tc>
              <w:tc>
                <w:tcPr>
                  <w:tcW w:w="1272" w:type="dxa"/>
                  <w:tcBorders>
                    <w:tl2br w:val="nil"/>
                    <w:tr2bl w:val="nil"/>
                  </w:tcBorders>
                  <w:vAlign w:val="center"/>
                </w:tcPr>
                <w:p w14:paraId="709C3073">
                  <w:pPr>
                    <w:pStyle w:val="31"/>
                    <w:spacing w:line="340" w:lineRule="exact"/>
                    <w:rPr>
                      <w:sz w:val="21"/>
                      <w:highlight w:val="none"/>
                    </w:rPr>
                  </w:pPr>
                  <w:r>
                    <w:rPr>
                      <w:rFonts w:hint="eastAsia"/>
                      <w:sz w:val="21"/>
                      <w:highlight w:val="none"/>
                    </w:rPr>
                    <w:t>垃圾站</w:t>
                  </w:r>
                </w:p>
              </w:tc>
              <w:tc>
                <w:tcPr>
                  <w:tcW w:w="5624" w:type="dxa"/>
                  <w:tcBorders>
                    <w:tl2br w:val="nil"/>
                    <w:tr2bl w:val="nil"/>
                  </w:tcBorders>
                  <w:vAlign w:val="center"/>
                </w:tcPr>
                <w:p w14:paraId="2FDA9CF7">
                  <w:pPr>
                    <w:pStyle w:val="31"/>
                    <w:spacing w:line="340" w:lineRule="exact"/>
                    <w:rPr>
                      <w:sz w:val="21"/>
                      <w:highlight w:val="none"/>
                    </w:rPr>
                  </w:pPr>
                  <w:r>
                    <w:rPr>
                      <w:rFonts w:hint="eastAsia"/>
                      <w:sz w:val="21"/>
                      <w:highlight w:val="none"/>
                    </w:rPr>
                    <w:t>一层，钢结构，位于2#厂房一层东侧，建筑面积</w:t>
                  </w:r>
                  <w:r>
                    <w:rPr>
                      <w:rFonts w:hint="eastAsia"/>
                      <w:color w:val="000000" w:themeColor="text1"/>
                      <w:sz w:val="21"/>
                      <w:highlight w:val="none"/>
                      <w14:textFill>
                        <w14:solidFill>
                          <w14:schemeClr w14:val="tx1"/>
                        </w14:solidFill>
                      </w14:textFill>
                    </w:rPr>
                    <w:t>30m</w:t>
                  </w:r>
                  <w:r>
                    <w:rPr>
                      <w:rFonts w:hint="eastAsia"/>
                      <w:color w:val="000000" w:themeColor="text1"/>
                      <w:sz w:val="21"/>
                      <w:highlight w:val="none"/>
                      <w:vertAlign w:val="superscript"/>
                      <w14:textFill>
                        <w14:solidFill>
                          <w14:schemeClr w14:val="tx1"/>
                        </w14:solidFill>
                      </w14:textFill>
                    </w:rPr>
                    <w:t>2</w:t>
                  </w:r>
                  <w:r>
                    <w:rPr>
                      <w:rFonts w:hint="eastAsia"/>
                      <w:sz w:val="21"/>
                      <w:highlight w:val="none"/>
                    </w:rPr>
                    <w:t>，主要用于存放废包装箱、生活垃圾等。</w:t>
                  </w:r>
                </w:p>
              </w:tc>
            </w:tr>
            <w:tr w14:paraId="282CE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restart"/>
                  <w:tcBorders>
                    <w:tl2br w:val="nil"/>
                    <w:tr2bl w:val="nil"/>
                  </w:tcBorders>
                  <w:vAlign w:val="center"/>
                </w:tcPr>
                <w:p w14:paraId="66228408">
                  <w:pPr>
                    <w:pStyle w:val="31"/>
                    <w:spacing w:line="340" w:lineRule="exact"/>
                    <w:rPr>
                      <w:sz w:val="21"/>
                      <w:highlight w:val="none"/>
                    </w:rPr>
                  </w:pPr>
                  <w:r>
                    <w:rPr>
                      <w:rFonts w:hint="eastAsia"/>
                      <w:sz w:val="21"/>
                      <w:highlight w:val="none"/>
                    </w:rPr>
                    <w:t>公用</w:t>
                  </w:r>
                  <w:r>
                    <w:rPr>
                      <w:sz w:val="21"/>
                      <w:highlight w:val="none"/>
                    </w:rPr>
                    <w:t>工程</w:t>
                  </w:r>
                </w:p>
              </w:tc>
              <w:tc>
                <w:tcPr>
                  <w:tcW w:w="1272" w:type="dxa"/>
                  <w:tcBorders>
                    <w:tl2br w:val="nil"/>
                    <w:tr2bl w:val="nil"/>
                  </w:tcBorders>
                  <w:vAlign w:val="center"/>
                </w:tcPr>
                <w:p w14:paraId="496E2D67">
                  <w:pPr>
                    <w:spacing w:line="340" w:lineRule="exact"/>
                    <w:ind w:firstLine="0" w:firstLineChars="0"/>
                    <w:jc w:val="center"/>
                    <w:rPr>
                      <w:color w:val="0070C0"/>
                      <w:sz w:val="21"/>
                      <w:szCs w:val="21"/>
                      <w:highlight w:val="none"/>
                    </w:rPr>
                  </w:pPr>
                  <w:r>
                    <w:rPr>
                      <w:sz w:val="21"/>
                      <w:szCs w:val="21"/>
                      <w:highlight w:val="none"/>
                    </w:rPr>
                    <w:t>取暖</w:t>
                  </w:r>
                </w:p>
              </w:tc>
              <w:tc>
                <w:tcPr>
                  <w:tcW w:w="5624" w:type="dxa"/>
                  <w:tcBorders>
                    <w:tl2br w:val="nil"/>
                    <w:tr2bl w:val="nil"/>
                  </w:tcBorders>
                  <w:vAlign w:val="center"/>
                </w:tcPr>
                <w:p w14:paraId="3EA44558">
                  <w:pPr>
                    <w:spacing w:line="34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sz w:val="21"/>
                      <w:szCs w:val="21"/>
                      <w:highlight w:val="none"/>
                    </w:rPr>
                    <w:t>厂房</w:t>
                  </w:r>
                  <w:r>
                    <w:rPr>
                      <w:rFonts w:hint="eastAsia"/>
                      <w:color w:val="000000" w:themeColor="text1"/>
                      <w:sz w:val="21"/>
                      <w:szCs w:val="21"/>
                      <w:highlight w:val="none"/>
                      <w14:textFill>
                        <w14:solidFill>
                          <w14:schemeClr w14:val="tx1"/>
                        </w14:solidFill>
                      </w14:textFill>
                    </w:rPr>
                    <w:t>、2#</w:t>
                  </w:r>
                  <w:r>
                    <w:rPr>
                      <w:rFonts w:hint="eastAsia"/>
                      <w:sz w:val="21"/>
                      <w:szCs w:val="21"/>
                      <w:highlight w:val="none"/>
                    </w:rPr>
                    <w:t>厂房</w:t>
                  </w:r>
                  <w:r>
                    <w:rPr>
                      <w:rFonts w:hint="eastAsia"/>
                      <w:color w:val="000000" w:themeColor="text1"/>
                      <w:sz w:val="21"/>
                      <w:szCs w:val="21"/>
                      <w:highlight w:val="none"/>
                      <w14:textFill>
                        <w14:solidFill>
                          <w14:schemeClr w14:val="tx1"/>
                        </w14:solidFill>
                      </w14:textFill>
                    </w:rPr>
                    <w:t>各设一台蓄热式电锅炉，加热功率均为120KW，均配备20m³的储水箱，其中1#</w:t>
                  </w:r>
                  <w:r>
                    <w:rPr>
                      <w:rFonts w:hint="eastAsia"/>
                      <w:sz w:val="21"/>
                      <w:szCs w:val="21"/>
                      <w:highlight w:val="none"/>
                    </w:rPr>
                    <w:t>厂房</w:t>
                  </w:r>
                  <w:r>
                    <w:rPr>
                      <w:rFonts w:hint="eastAsia"/>
                      <w:color w:val="000000" w:themeColor="text1"/>
                      <w:sz w:val="21"/>
                      <w:szCs w:val="21"/>
                      <w:highlight w:val="none"/>
                      <w14:textFill>
                        <w14:solidFill>
                          <w14:schemeClr w14:val="tx1"/>
                        </w14:solidFill>
                      </w14:textFill>
                    </w:rPr>
                    <w:t>的蓄热式电锅炉为食堂和1#</w:t>
                  </w:r>
                  <w:r>
                    <w:rPr>
                      <w:rFonts w:hint="eastAsia"/>
                      <w:sz w:val="21"/>
                      <w:szCs w:val="21"/>
                      <w:highlight w:val="none"/>
                    </w:rPr>
                    <w:t>厂房</w:t>
                  </w:r>
                  <w:r>
                    <w:rPr>
                      <w:rFonts w:hint="eastAsia"/>
                      <w:color w:val="000000" w:themeColor="text1"/>
                      <w:sz w:val="21"/>
                      <w:szCs w:val="21"/>
                      <w:highlight w:val="none"/>
                      <w14:textFill>
                        <w14:solidFill>
                          <w14:schemeClr w14:val="tx1"/>
                        </w14:solidFill>
                      </w14:textFill>
                    </w:rPr>
                    <w:t>采暖，2#</w:t>
                  </w:r>
                  <w:r>
                    <w:rPr>
                      <w:rFonts w:hint="eastAsia"/>
                      <w:sz w:val="21"/>
                      <w:szCs w:val="21"/>
                      <w:highlight w:val="none"/>
                    </w:rPr>
                    <w:t>厂房</w:t>
                  </w:r>
                  <w:r>
                    <w:rPr>
                      <w:rFonts w:hint="eastAsia"/>
                      <w:color w:val="000000" w:themeColor="text1"/>
                      <w:sz w:val="21"/>
                      <w:szCs w:val="21"/>
                      <w:highlight w:val="none"/>
                      <w14:textFill>
                        <w14:solidFill>
                          <w14:schemeClr w14:val="tx1"/>
                        </w14:solidFill>
                      </w14:textFill>
                    </w:rPr>
                    <w:t>的蓄热式电锅炉为办公楼和2#</w:t>
                  </w:r>
                  <w:r>
                    <w:rPr>
                      <w:rFonts w:hint="eastAsia"/>
                      <w:sz w:val="21"/>
                      <w:szCs w:val="21"/>
                      <w:highlight w:val="none"/>
                    </w:rPr>
                    <w:t>厂房</w:t>
                  </w:r>
                  <w:r>
                    <w:rPr>
                      <w:rFonts w:hint="eastAsia"/>
                      <w:color w:val="000000" w:themeColor="text1"/>
                      <w:sz w:val="21"/>
                      <w:szCs w:val="21"/>
                      <w:highlight w:val="none"/>
                      <w14:textFill>
                        <w14:solidFill>
                          <w14:schemeClr w14:val="tx1"/>
                        </w14:solidFill>
                      </w14:textFill>
                    </w:rPr>
                    <w:t>及厕所采暖，。</w:t>
                  </w:r>
                </w:p>
              </w:tc>
            </w:tr>
            <w:tr w14:paraId="25472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1D96E9B7">
                  <w:pPr>
                    <w:pStyle w:val="31"/>
                    <w:spacing w:line="340" w:lineRule="exact"/>
                    <w:rPr>
                      <w:sz w:val="21"/>
                      <w:highlight w:val="none"/>
                    </w:rPr>
                  </w:pPr>
                </w:p>
              </w:tc>
              <w:tc>
                <w:tcPr>
                  <w:tcW w:w="1272" w:type="dxa"/>
                  <w:tcBorders>
                    <w:tl2br w:val="nil"/>
                    <w:tr2bl w:val="nil"/>
                  </w:tcBorders>
                  <w:vAlign w:val="center"/>
                </w:tcPr>
                <w:p w14:paraId="2A11CE8C">
                  <w:pPr>
                    <w:spacing w:line="340" w:lineRule="exact"/>
                    <w:ind w:firstLine="0" w:firstLineChars="0"/>
                    <w:jc w:val="center"/>
                    <w:rPr>
                      <w:sz w:val="21"/>
                      <w:szCs w:val="21"/>
                      <w:highlight w:val="none"/>
                    </w:rPr>
                  </w:pPr>
                  <w:r>
                    <w:rPr>
                      <w:sz w:val="21"/>
                      <w:szCs w:val="21"/>
                      <w:highlight w:val="none"/>
                    </w:rPr>
                    <w:t>给水</w:t>
                  </w:r>
                </w:p>
              </w:tc>
              <w:tc>
                <w:tcPr>
                  <w:tcW w:w="5624" w:type="dxa"/>
                  <w:tcBorders>
                    <w:tl2br w:val="nil"/>
                    <w:tr2bl w:val="nil"/>
                  </w:tcBorders>
                  <w:vAlign w:val="center"/>
                </w:tcPr>
                <w:p w14:paraId="45ADF416">
                  <w:pPr>
                    <w:spacing w:line="340" w:lineRule="exact"/>
                    <w:ind w:firstLine="0" w:firstLineChars="0"/>
                    <w:jc w:val="center"/>
                    <w:rPr>
                      <w:sz w:val="21"/>
                      <w:szCs w:val="21"/>
                      <w:highlight w:val="none"/>
                    </w:rPr>
                  </w:pPr>
                  <w:r>
                    <w:rPr>
                      <w:rFonts w:hint="eastAsia"/>
                      <w:sz w:val="21"/>
                      <w:szCs w:val="21"/>
                      <w:highlight w:val="none"/>
                    </w:rPr>
                    <w:t>引自京唐智慧港园区供水管网。</w:t>
                  </w:r>
                </w:p>
              </w:tc>
            </w:tr>
            <w:tr w14:paraId="029E2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3B666F71">
                  <w:pPr>
                    <w:pStyle w:val="31"/>
                    <w:spacing w:line="340" w:lineRule="exact"/>
                    <w:rPr>
                      <w:sz w:val="21"/>
                      <w:highlight w:val="none"/>
                    </w:rPr>
                  </w:pPr>
                </w:p>
              </w:tc>
              <w:tc>
                <w:tcPr>
                  <w:tcW w:w="1272" w:type="dxa"/>
                  <w:tcBorders>
                    <w:tl2br w:val="nil"/>
                    <w:tr2bl w:val="nil"/>
                  </w:tcBorders>
                  <w:vAlign w:val="center"/>
                </w:tcPr>
                <w:p w14:paraId="6CEDED41">
                  <w:pPr>
                    <w:spacing w:line="340" w:lineRule="exact"/>
                    <w:ind w:firstLine="0" w:firstLineChars="0"/>
                    <w:jc w:val="center"/>
                    <w:rPr>
                      <w:sz w:val="21"/>
                      <w:szCs w:val="21"/>
                      <w:highlight w:val="none"/>
                    </w:rPr>
                  </w:pPr>
                  <w:r>
                    <w:rPr>
                      <w:sz w:val="21"/>
                      <w:szCs w:val="21"/>
                      <w:highlight w:val="none"/>
                    </w:rPr>
                    <w:t>供电</w:t>
                  </w:r>
                </w:p>
              </w:tc>
              <w:tc>
                <w:tcPr>
                  <w:tcW w:w="5624" w:type="dxa"/>
                  <w:tcBorders>
                    <w:tl2br w:val="nil"/>
                    <w:tr2bl w:val="nil"/>
                  </w:tcBorders>
                  <w:vAlign w:val="center"/>
                </w:tcPr>
                <w:p w14:paraId="06880A8C">
                  <w:pPr>
                    <w:spacing w:line="340" w:lineRule="exact"/>
                    <w:ind w:firstLine="0" w:firstLineChars="0"/>
                    <w:jc w:val="center"/>
                    <w:rPr>
                      <w:sz w:val="21"/>
                      <w:szCs w:val="21"/>
                      <w:highlight w:val="none"/>
                    </w:rPr>
                  </w:pPr>
                  <w:r>
                    <w:rPr>
                      <w:rFonts w:hint="eastAsia"/>
                      <w:sz w:val="21"/>
                      <w:szCs w:val="21"/>
                      <w:highlight w:val="none"/>
                    </w:rPr>
                    <w:t>引自京唐智慧港园区供电管网。</w:t>
                  </w:r>
                </w:p>
              </w:tc>
            </w:tr>
            <w:tr w14:paraId="1A811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restart"/>
                  <w:tcBorders>
                    <w:tl2br w:val="nil"/>
                    <w:tr2bl w:val="nil"/>
                  </w:tcBorders>
                  <w:vAlign w:val="center"/>
                </w:tcPr>
                <w:p w14:paraId="70E34765">
                  <w:pPr>
                    <w:pStyle w:val="31"/>
                    <w:spacing w:line="340" w:lineRule="exact"/>
                    <w:rPr>
                      <w:sz w:val="21"/>
                      <w:highlight w:val="none"/>
                    </w:rPr>
                  </w:pPr>
                  <w:r>
                    <w:rPr>
                      <w:sz w:val="21"/>
                      <w:highlight w:val="none"/>
                    </w:rPr>
                    <w:t>储运工程</w:t>
                  </w:r>
                </w:p>
              </w:tc>
              <w:tc>
                <w:tcPr>
                  <w:tcW w:w="1272" w:type="dxa"/>
                  <w:tcBorders>
                    <w:tl2br w:val="nil"/>
                    <w:tr2bl w:val="nil"/>
                  </w:tcBorders>
                  <w:vAlign w:val="center"/>
                </w:tcPr>
                <w:p w14:paraId="132B41FE">
                  <w:pPr>
                    <w:pStyle w:val="31"/>
                    <w:spacing w:line="340" w:lineRule="exact"/>
                    <w:rPr>
                      <w:sz w:val="21"/>
                      <w:highlight w:val="none"/>
                    </w:rPr>
                  </w:pPr>
                  <w:r>
                    <w:rPr>
                      <w:rFonts w:hint="eastAsia"/>
                      <w:sz w:val="21"/>
                      <w:highlight w:val="none"/>
                    </w:rPr>
                    <w:t>原料区</w:t>
                  </w:r>
                </w:p>
              </w:tc>
              <w:tc>
                <w:tcPr>
                  <w:tcW w:w="5624" w:type="dxa"/>
                  <w:tcBorders>
                    <w:tl2br w:val="nil"/>
                    <w:tr2bl w:val="nil"/>
                  </w:tcBorders>
                  <w:vAlign w:val="center"/>
                </w:tcPr>
                <w:p w14:paraId="7DE45C06">
                  <w:pPr>
                    <w:pStyle w:val="31"/>
                    <w:spacing w:line="340" w:lineRule="exact"/>
                    <w:rPr>
                      <w:sz w:val="21"/>
                      <w:highlight w:val="none"/>
                    </w:rPr>
                  </w:pPr>
                  <w:r>
                    <w:rPr>
                      <w:rFonts w:hint="eastAsia"/>
                      <w:sz w:val="21"/>
                      <w:highlight w:val="none"/>
                    </w:rPr>
                    <w:t>用于圆钢、外购工件的存储。</w:t>
                  </w:r>
                </w:p>
              </w:tc>
            </w:tr>
            <w:tr w14:paraId="1011C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6F98C973">
                  <w:pPr>
                    <w:pStyle w:val="31"/>
                    <w:spacing w:line="340" w:lineRule="exact"/>
                    <w:rPr>
                      <w:sz w:val="21"/>
                      <w:highlight w:val="none"/>
                    </w:rPr>
                  </w:pPr>
                </w:p>
              </w:tc>
              <w:tc>
                <w:tcPr>
                  <w:tcW w:w="1272" w:type="dxa"/>
                  <w:tcBorders>
                    <w:tl2br w:val="nil"/>
                    <w:tr2bl w:val="nil"/>
                  </w:tcBorders>
                  <w:vAlign w:val="center"/>
                </w:tcPr>
                <w:p w14:paraId="78071F3C">
                  <w:pPr>
                    <w:pStyle w:val="31"/>
                    <w:spacing w:line="340" w:lineRule="exact"/>
                    <w:rPr>
                      <w:sz w:val="21"/>
                      <w:highlight w:val="none"/>
                    </w:rPr>
                  </w:pPr>
                  <w:r>
                    <w:rPr>
                      <w:rFonts w:hint="eastAsia"/>
                      <w:sz w:val="21"/>
                      <w:highlight w:val="none"/>
                    </w:rPr>
                    <w:t>成品区</w:t>
                  </w:r>
                </w:p>
              </w:tc>
              <w:tc>
                <w:tcPr>
                  <w:tcW w:w="5624" w:type="dxa"/>
                  <w:tcBorders>
                    <w:tl2br w:val="nil"/>
                    <w:tr2bl w:val="nil"/>
                  </w:tcBorders>
                  <w:vAlign w:val="center"/>
                </w:tcPr>
                <w:p w14:paraId="0ABA1C1B">
                  <w:pPr>
                    <w:pStyle w:val="31"/>
                    <w:spacing w:line="340" w:lineRule="exact"/>
                    <w:rPr>
                      <w:sz w:val="21"/>
                      <w:highlight w:val="none"/>
                    </w:rPr>
                  </w:pPr>
                  <w:r>
                    <w:rPr>
                      <w:rFonts w:hint="eastAsia"/>
                      <w:sz w:val="21"/>
                      <w:highlight w:val="none"/>
                    </w:rPr>
                    <w:t>存放成品的区域。</w:t>
                  </w:r>
                </w:p>
              </w:tc>
            </w:tr>
            <w:tr w14:paraId="51463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3F82767F">
                  <w:pPr>
                    <w:pStyle w:val="31"/>
                    <w:spacing w:line="340" w:lineRule="exact"/>
                    <w:rPr>
                      <w:sz w:val="21"/>
                      <w:highlight w:val="none"/>
                    </w:rPr>
                  </w:pPr>
                </w:p>
              </w:tc>
              <w:tc>
                <w:tcPr>
                  <w:tcW w:w="1272" w:type="dxa"/>
                  <w:tcBorders>
                    <w:tl2br w:val="nil"/>
                    <w:tr2bl w:val="nil"/>
                  </w:tcBorders>
                  <w:vAlign w:val="center"/>
                </w:tcPr>
                <w:p w14:paraId="19CD1A41">
                  <w:pPr>
                    <w:pStyle w:val="31"/>
                    <w:spacing w:line="340" w:lineRule="exact"/>
                    <w:rPr>
                      <w:sz w:val="21"/>
                      <w:highlight w:val="none"/>
                    </w:rPr>
                  </w:pPr>
                  <w:r>
                    <w:rPr>
                      <w:rFonts w:hint="eastAsia"/>
                      <w:sz w:val="21"/>
                      <w:highlight w:val="none"/>
                    </w:rPr>
                    <w:t>仓储区</w:t>
                  </w:r>
                </w:p>
              </w:tc>
              <w:tc>
                <w:tcPr>
                  <w:tcW w:w="5624" w:type="dxa"/>
                  <w:tcBorders>
                    <w:tl2br w:val="nil"/>
                    <w:tr2bl w:val="nil"/>
                  </w:tcBorders>
                  <w:vAlign w:val="center"/>
                </w:tcPr>
                <w:p w14:paraId="13BF4FA3">
                  <w:pPr>
                    <w:pStyle w:val="31"/>
                    <w:spacing w:line="340" w:lineRule="exact"/>
                    <w:rPr>
                      <w:sz w:val="21"/>
                      <w:highlight w:val="none"/>
                    </w:rPr>
                  </w:pPr>
                  <w:r>
                    <w:rPr>
                      <w:rFonts w:hint="eastAsia"/>
                      <w:sz w:val="21"/>
                      <w:highlight w:val="none"/>
                    </w:rPr>
                    <w:t>用于存放泡沫、包装箱的区域，位于</w:t>
                  </w:r>
                  <w:r>
                    <w:rPr>
                      <w:rFonts w:hint="eastAsia"/>
                      <w:color w:val="000000" w:themeColor="text1"/>
                      <w:sz w:val="21"/>
                      <w:highlight w:val="none"/>
                      <w14:textFill>
                        <w14:solidFill>
                          <w14:schemeClr w14:val="tx1"/>
                        </w14:solidFill>
                      </w14:textFill>
                    </w:rPr>
                    <w:t>1#</w:t>
                  </w:r>
                  <w:r>
                    <w:rPr>
                      <w:rFonts w:hint="eastAsia"/>
                      <w:sz w:val="21"/>
                      <w:highlight w:val="none"/>
                    </w:rPr>
                    <w:t>厂房</w:t>
                  </w:r>
                  <w:r>
                    <w:rPr>
                      <w:rFonts w:hint="eastAsia"/>
                      <w:color w:val="000000" w:themeColor="text1"/>
                      <w:sz w:val="21"/>
                      <w:highlight w:val="none"/>
                      <w14:textFill>
                        <w14:solidFill>
                          <w14:schemeClr w14:val="tx1"/>
                        </w14:solidFill>
                      </w14:textFill>
                    </w:rPr>
                    <w:t>和2#</w:t>
                  </w:r>
                  <w:r>
                    <w:rPr>
                      <w:rFonts w:hint="eastAsia"/>
                      <w:sz w:val="21"/>
                      <w:highlight w:val="none"/>
                    </w:rPr>
                    <w:t>厂房</w:t>
                  </w:r>
                  <w:r>
                    <w:rPr>
                      <w:rFonts w:hint="eastAsia"/>
                      <w:color w:val="000000" w:themeColor="text1"/>
                      <w:sz w:val="21"/>
                      <w:highlight w:val="none"/>
                      <w14:textFill>
                        <w14:solidFill>
                          <w14:schemeClr w14:val="tx1"/>
                        </w14:solidFill>
                      </w14:textFill>
                    </w:rPr>
                    <w:t>的二层。</w:t>
                  </w:r>
                </w:p>
              </w:tc>
            </w:tr>
            <w:tr w14:paraId="7EA94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0DD80F45">
                  <w:pPr>
                    <w:pStyle w:val="31"/>
                    <w:spacing w:line="340" w:lineRule="exact"/>
                    <w:rPr>
                      <w:sz w:val="21"/>
                      <w:highlight w:val="none"/>
                    </w:rPr>
                  </w:pPr>
                </w:p>
              </w:tc>
              <w:tc>
                <w:tcPr>
                  <w:tcW w:w="1272" w:type="dxa"/>
                  <w:tcBorders>
                    <w:tl2br w:val="nil"/>
                    <w:tr2bl w:val="nil"/>
                  </w:tcBorders>
                  <w:vAlign w:val="center"/>
                </w:tcPr>
                <w:p w14:paraId="0AF39F67">
                  <w:pPr>
                    <w:pStyle w:val="31"/>
                    <w:spacing w:line="340" w:lineRule="exact"/>
                    <w:rPr>
                      <w:sz w:val="21"/>
                      <w:highlight w:val="none"/>
                    </w:rPr>
                  </w:pPr>
                  <w:r>
                    <w:rPr>
                      <w:rFonts w:hint="eastAsia"/>
                      <w:sz w:val="21"/>
                      <w:highlight w:val="none"/>
                    </w:rPr>
                    <w:t>危险品库房</w:t>
                  </w:r>
                </w:p>
              </w:tc>
              <w:tc>
                <w:tcPr>
                  <w:tcW w:w="5624" w:type="dxa"/>
                  <w:tcBorders>
                    <w:tl2br w:val="nil"/>
                    <w:tr2bl w:val="nil"/>
                  </w:tcBorders>
                  <w:vAlign w:val="center"/>
                </w:tcPr>
                <w:p w14:paraId="7383E7FD">
                  <w:pPr>
                    <w:pStyle w:val="31"/>
                    <w:spacing w:line="340" w:lineRule="exact"/>
                    <w:rPr>
                      <w:sz w:val="21"/>
                      <w:highlight w:val="none"/>
                    </w:rPr>
                  </w:pPr>
                  <w:r>
                    <w:rPr>
                      <w:rFonts w:hint="eastAsia"/>
                      <w:sz w:val="21"/>
                      <w:highlight w:val="none"/>
                    </w:rPr>
                    <w:t>一层，钢结构，位于2#厂房一层东侧，建筑面积</w:t>
                  </w:r>
                  <w:r>
                    <w:rPr>
                      <w:rFonts w:hint="eastAsia"/>
                      <w:color w:val="000000" w:themeColor="text1"/>
                      <w:sz w:val="21"/>
                      <w:highlight w:val="none"/>
                      <w14:textFill>
                        <w14:solidFill>
                          <w14:schemeClr w14:val="tx1"/>
                        </w14:solidFill>
                      </w14:textFill>
                    </w:rPr>
                    <w:t>30m</w:t>
                  </w:r>
                  <w:r>
                    <w:rPr>
                      <w:rFonts w:hint="eastAsia"/>
                      <w:color w:val="000000" w:themeColor="text1"/>
                      <w:sz w:val="21"/>
                      <w:highlight w:val="none"/>
                      <w:vertAlign w:val="superscript"/>
                      <w14:textFill>
                        <w14:solidFill>
                          <w14:schemeClr w14:val="tx1"/>
                        </w14:solidFill>
                      </w14:textFill>
                    </w:rPr>
                    <w:t>2</w:t>
                  </w:r>
                  <w:r>
                    <w:rPr>
                      <w:rFonts w:hint="eastAsia"/>
                      <w:sz w:val="21"/>
                      <w:highlight w:val="none"/>
                    </w:rPr>
                    <w:t>，主要用于存储切削液、液压油、</w:t>
                  </w:r>
                  <w:r>
                    <w:rPr>
                      <w:rFonts w:hint="eastAsia"/>
                      <w:sz w:val="21"/>
                      <w:highlight w:val="none"/>
                      <w:lang w:eastAsia="zh-CN"/>
                    </w:rPr>
                    <w:t>淬火油</w:t>
                  </w:r>
                  <w:r>
                    <w:rPr>
                      <w:rFonts w:hint="eastAsia"/>
                      <w:sz w:val="21"/>
                      <w:highlight w:val="none"/>
                    </w:rPr>
                    <w:t>、润滑油、甲醇、丙烷等危险物品，地面及裙角进行防腐防渗。</w:t>
                  </w:r>
                </w:p>
              </w:tc>
            </w:tr>
            <w:tr w14:paraId="6A316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restart"/>
                  <w:tcBorders>
                    <w:tl2br w:val="nil"/>
                    <w:tr2bl w:val="nil"/>
                  </w:tcBorders>
                  <w:vAlign w:val="center"/>
                </w:tcPr>
                <w:p w14:paraId="173AAC21">
                  <w:pPr>
                    <w:pStyle w:val="31"/>
                    <w:spacing w:line="340" w:lineRule="exact"/>
                    <w:rPr>
                      <w:sz w:val="21"/>
                      <w:highlight w:val="none"/>
                    </w:rPr>
                  </w:pPr>
                  <w:r>
                    <w:rPr>
                      <w:sz w:val="21"/>
                      <w:highlight w:val="none"/>
                    </w:rPr>
                    <w:t>环保工程</w:t>
                  </w:r>
                </w:p>
              </w:tc>
              <w:tc>
                <w:tcPr>
                  <w:tcW w:w="1272" w:type="dxa"/>
                  <w:tcBorders>
                    <w:tl2br w:val="nil"/>
                    <w:tr2bl w:val="nil"/>
                  </w:tcBorders>
                  <w:vAlign w:val="center"/>
                </w:tcPr>
                <w:p w14:paraId="6A11AE3F">
                  <w:pPr>
                    <w:pStyle w:val="31"/>
                    <w:spacing w:line="340" w:lineRule="exact"/>
                    <w:rPr>
                      <w:sz w:val="21"/>
                      <w:highlight w:val="none"/>
                    </w:rPr>
                  </w:pPr>
                  <w:r>
                    <w:rPr>
                      <w:sz w:val="21"/>
                      <w:highlight w:val="none"/>
                    </w:rPr>
                    <w:t>废气</w:t>
                  </w:r>
                </w:p>
              </w:tc>
              <w:tc>
                <w:tcPr>
                  <w:tcW w:w="5624" w:type="dxa"/>
                  <w:tcBorders>
                    <w:tl2br w:val="nil"/>
                    <w:tr2bl w:val="nil"/>
                  </w:tcBorders>
                  <w:vAlign w:val="center"/>
                </w:tcPr>
                <w:p w14:paraId="3FF4766E">
                  <w:pPr>
                    <w:numPr>
                      <w:ilvl w:val="0"/>
                      <w:numId w:val="6"/>
                    </w:numPr>
                    <w:spacing w:line="340" w:lineRule="exact"/>
                    <w:ind w:firstLine="0" w:firstLineChars="0"/>
                    <w:jc w:val="left"/>
                    <w:rPr>
                      <w:sz w:val="21"/>
                      <w:szCs w:val="21"/>
                      <w:highlight w:val="none"/>
                    </w:rPr>
                  </w:pPr>
                  <w:r>
                    <w:rPr>
                      <w:rFonts w:hint="eastAsia"/>
                      <w:sz w:val="21"/>
                      <w:szCs w:val="21"/>
                      <w:highlight w:val="none"/>
                    </w:rPr>
                    <w:t>数控滚齿机（高速运转）产生的油雾通过工业油烟净化器处理</w:t>
                  </w:r>
                  <w:r>
                    <w:rPr>
                      <w:rFonts w:hint="eastAsia"/>
                      <w:sz w:val="21"/>
                      <w:szCs w:val="21"/>
                      <w:highlight w:val="none"/>
                      <w:lang w:eastAsia="zh-CN"/>
                    </w:rPr>
                    <w:t>。</w:t>
                  </w:r>
                </w:p>
                <w:p w14:paraId="69E0D0F2">
                  <w:pPr>
                    <w:spacing w:line="340" w:lineRule="exact"/>
                    <w:ind w:firstLine="0" w:firstLineChars="0"/>
                    <w:jc w:val="left"/>
                    <w:rPr>
                      <w:rFonts w:hint="eastAsia" w:eastAsia="宋体"/>
                      <w:highlight w:val="none"/>
                      <w:lang w:eastAsia="zh-CN"/>
                    </w:rPr>
                  </w:pPr>
                  <w:r>
                    <w:rPr>
                      <w:sz w:val="21"/>
                      <w:szCs w:val="21"/>
                      <w:highlight w:val="none"/>
                    </w:rPr>
                    <w:t>（</w:t>
                  </w:r>
                  <w:r>
                    <w:rPr>
                      <w:rFonts w:hint="eastAsia"/>
                      <w:sz w:val="21"/>
                      <w:szCs w:val="21"/>
                      <w:highlight w:val="none"/>
                    </w:rPr>
                    <w:t>2</w:t>
                  </w:r>
                  <w:r>
                    <w:rPr>
                      <w:sz w:val="21"/>
                      <w:szCs w:val="21"/>
                      <w:highlight w:val="none"/>
                    </w:rPr>
                    <w:t>）</w:t>
                  </w:r>
                  <w:r>
                    <w:rPr>
                      <w:rFonts w:hint="eastAsia"/>
                      <w:sz w:val="21"/>
                      <w:szCs w:val="21"/>
                      <w:highlight w:val="none"/>
                    </w:rPr>
                    <w:t>渗碳产生的废气通过渗碳多用炉防爆口设置环形燃烧器（渗碳多用炉自带）燃烧处理</w:t>
                  </w:r>
                  <w:r>
                    <w:rPr>
                      <w:rFonts w:hint="eastAsia"/>
                      <w:sz w:val="21"/>
                      <w:szCs w:val="21"/>
                      <w:highlight w:val="none"/>
                      <w:lang w:eastAsia="zh-CN"/>
                    </w:rPr>
                    <w:t>。</w:t>
                  </w:r>
                </w:p>
                <w:p w14:paraId="51E16189">
                  <w:pPr>
                    <w:spacing w:line="340" w:lineRule="exact"/>
                    <w:ind w:firstLine="0" w:firstLineChars="0"/>
                    <w:jc w:val="left"/>
                    <w:rPr>
                      <w:rFonts w:hint="eastAsia" w:eastAsia="宋体"/>
                      <w:sz w:val="21"/>
                      <w:szCs w:val="21"/>
                      <w:highlight w:val="none"/>
                      <w:lang w:eastAsia="zh-CN"/>
                    </w:rPr>
                  </w:pPr>
                  <w:r>
                    <w:rPr>
                      <w:sz w:val="21"/>
                      <w:szCs w:val="21"/>
                      <w:highlight w:val="none"/>
                    </w:rPr>
                    <w:t>（</w:t>
                  </w:r>
                  <w:r>
                    <w:rPr>
                      <w:rFonts w:hint="eastAsia"/>
                      <w:sz w:val="21"/>
                      <w:szCs w:val="21"/>
                      <w:highlight w:val="none"/>
                    </w:rPr>
                    <w:t>3</w:t>
                  </w:r>
                  <w:r>
                    <w:rPr>
                      <w:sz w:val="21"/>
                      <w:szCs w:val="21"/>
                      <w:highlight w:val="none"/>
                    </w:rPr>
                    <w:t>）</w:t>
                  </w:r>
                  <w:r>
                    <w:rPr>
                      <w:rFonts w:hint="eastAsia"/>
                      <w:sz w:val="21"/>
                      <w:szCs w:val="21"/>
                      <w:highlight w:val="none"/>
                    </w:rPr>
                    <w:t>淬火</w:t>
                  </w:r>
                  <w:r>
                    <w:rPr>
                      <w:rFonts w:hint="eastAsia"/>
                      <w:sz w:val="21"/>
                      <w:szCs w:val="21"/>
                      <w:highlight w:val="none"/>
                      <w:lang w:eastAsia="zh-CN"/>
                    </w:rPr>
                    <w:t>、</w:t>
                  </w:r>
                  <w:r>
                    <w:rPr>
                      <w:rFonts w:hint="eastAsia"/>
                      <w:sz w:val="21"/>
                      <w:szCs w:val="21"/>
                      <w:highlight w:val="none"/>
                    </w:rPr>
                    <w:t>回火产生的废气通过集气罩+静电式油烟净化器+活性炭吸附装置处理后，经1根15m高排气筒排出</w:t>
                  </w:r>
                  <w:r>
                    <w:rPr>
                      <w:rFonts w:hint="eastAsia"/>
                      <w:sz w:val="21"/>
                      <w:szCs w:val="21"/>
                      <w:highlight w:val="none"/>
                      <w:lang w:eastAsia="zh-CN"/>
                    </w:rPr>
                    <w:t>。</w:t>
                  </w:r>
                </w:p>
                <w:p w14:paraId="69F3F68C">
                  <w:pPr>
                    <w:spacing w:line="340" w:lineRule="exact"/>
                    <w:ind w:firstLine="0" w:firstLineChars="0"/>
                    <w:jc w:val="left"/>
                    <w:rPr>
                      <w:rFonts w:hint="eastAsia" w:eastAsia="宋体"/>
                      <w:sz w:val="21"/>
                      <w:szCs w:val="21"/>
                      <w:highlight w:val="none"/>
                      <w:lang w:eastAsia="zh-CN"/>
                    </w:rPr>
                  </w:pPr>
                  <w:r>
                    <w:rPr>
                      <w:sz w:val="21"/>
                      <w:szCs w:val="21"/>
                      <w:highlight w:val="none"/>
                    </w:rPr>
                    <w:t>（</w:t>
                  </w:r>
                  <w:r>
                    <w:rPr>
                      <w:rFonts w:hint="eastAsia"/>
                      <w:sz w:val="21"/>
                      <w:szCs w:val="21"/>
                      <w:highlight w:val="none"/>
                    </w:rPr>
                    <w:t>4</w:t>
                  </w:r>
                  <w:r>
                    <w:rPr>
                      <w:sz w:val="21"/>
                      <w:szCs w:val="21"/>
                      <w:highlight w:val="none"/>
                    </w:rPr>
                    <w:t>）</w:t>
                  </w:r>
                  <w:r>
                    <w:rPr>
                      <w:rFonts w:hint="eastAsia"/>
                      <w:sz w:val="21"/>
                      <w:szCs w:val="21"/>
                      <w:highlight w:val="none"/>
                    </w:rPr>
                    <w:t>抛丸过程产生的颗粒物经脉冲布袋除尘器处理后，经1根15m高排气筒排放</w:t>
                  </w:r>
                  <w:r>
                    <w:rPr>
                      <w:rFonts w:hint="eastAsia"/>
                      <w:sz w:val="21"/>
                      <w:szCs w:val="21"/>
                      <w:highlight w:val="none"/>
                      <w:lang w:eastAsia="zh-CN"/>
                    </w:rPr>
                    <w:t>。</w:t>
                  </w:r>
                </w:p>
                <w:p w14:paraId="49E93C26">
                  <w:pPr>
                    <w:pStyle w:val="13"/>
                    <w:spacing w:line="340" w:lineRule="exact"/>
                    <w:ind w:left="0" w:leftChars="0" w:right="127" w:rightChars="53" w:firstLine="0" w:firstLineChars="0"/>
                    <w:rPr>
                      <w:highlight w:val="none"/>
                    </w:rPr>
                  </w:pPr>
                  <w:r>
                    <w:rPr>
                      <w:sz w:val="21"/>
                      <w:szCs w:val="21"/>
                      <w:highlight w:val="none"/>
                    </w:rPr>
                    <w:t>（</w:t>
                  </w:r>
                  <w:r>
                    <w:rPr>
                      <w:rFonts w:hint="eastAsia"/>
                      <w:sz w:val="21"/>
                      <w:szCs w:val="21"/>
                      <w:highlight w:val="none"/>
                    </w:rPr>
                    <w:t>5</w:t>
                  </w:r>
                  <w:r>
                    <w:rPr>
                      <w:sz w:val="21"/>
                      <w:szCs w:val="21"/>
                      <w:highlight w:val="none"/>
                    </w:rPr>
                    <w:t>）</w:t>
                  </w:r>
                  <w:r>
                    <w:rPr>
                      <w:rFonts w:hint="eastAsia"/>
                      <w:sz w:val="21"/>
                      <w:szCs w:val="21"/>
                      <w:highlight w:val="none"/>
                    </w:rPr>
                    <w:t>食堂油烟经食堂油烟净化器处理后，通过排气筒引至楼顶排放。</w:t>
                  </w:r>
                </w:p>
              </w:tc>
            </w:tr>
            <w:tr w14:paraId="18AB4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26A48CFF">
                  <w:pPr>
                    <w:pStyle w:val="31"/>
                    <w:spacing w:line="340" w:lineRule="exact"/>
                    <w:rPr>
                      <w:color w:val="0070C0"/>
                      <w:sz w:val="21"/>
                      <w:highlight w:val="none"/>
                    </w:rPr>
                  </w:pPr>
                </w:p>
              </w:tc>
              <w:tc>
                <w:tcPr>
                  <w:tcW w:w="1272" w:type="dxa"/>
                  <w:tcBorders>
                    <w:tl2br w:val="nil"/>
                    <w:tr2bl w:val="nil"/>
                  </w:tcBorders>
                  <w:vAlign w:val="center"/>
                </w:tcPr>
                <w:p w14:paraId="7CE7D4F7">
                  <w:pPr>
                    <w:pStyle w:val="31"/>
                    <w:spacing w:line="340" w:lineRule="exact"/>
                    <w:rPr>
                      <w:sz w:val="21"/>
                      <w:highlight w:val="none"/>
                    </w:rPr>
                  </w:pPr>
                  <w:r>
                    <w:rPr>
                      <w:sz w:val="21"/>
                      <w:highlight w:val="none"/>
                    </w:rPr>
                    <w:t>废水</w:t>
                  </w:r>
                </w:p>
              </w:tc>
              <w:tc>
                <w:tcPr>
                  <w:tcW w:w="5624" w:type="dxa"/>
                  <w:tcBorders>
                    <w:tl2br w:val="nil"/>
                    <w:tr2bl w:val="nil"/>
                  </w:tcBorders>
                  <w:vAlign w:val="center"/>
                </w:tcPr>
                <w:p w14:paraId="43FFE48B">
                  <w:pPr>
                    <w:pStyle w:val="31"/>
                    <w:spacing w:line="340" w:lineRule="exact"/>
                    <w:jc w:val="left"/>
                    <w:rPr>
                      <w:rFonts w:ascii="宋体" w:hAnsi="宋体" w:cs="宋体"/>
                      <w:sz w:val="21"/>
                      <w:highlight w:val="none"/>
                    </w:rPr>
                  </w:pPr>
                  <w:r>
                    <w:rPr>
                      <w:rFonts w:hint="eastAsia" w:ascii="宋体" w:hAnsi="宋体" w:cs="宋体"/>
                      <w:sz w:val="21"/>
                      <w:highlight w:val="none"/>
                    </w:rPr>
                    <w:t>本项目废水主要为</w:t>
                  </w:r>
                  <w:r>
                    <w:rPr>
                      <w:rFonts w:hint="eastAsia" w:ascii="宋体" w:hAnsi="宋体" w:cs="宋体"/>
                      <w:sz w:val="21"/>
                      <w:highlight w:val="none"/>
                      <w:lang w:eastAsia="zh-CN"/>
                    </w:rPr>
                    <w:t>热处理过程</w:t>
                  </w:r>
                  <w:r>
                    <w:rPr>
                      <w:rFonts w:hint="eastAsia" w:ascii="宋体" w:hAnsi="宋体" w:cs="宋体"/>
                      <w:sz w:val="21"/>
                      <w:highlight w:val="none"/>
                    </w:rPr>
                    <w:t>清洗机定期清理产生的废水</w:t>
                  </w:r>
                  <w:r>
                    <w:rPr>
                      <w:rFonts w:hint="eastAsia" w:ascii="宋体" w:hAnsi="宋体" w:cs="宋体"/>
                      <w:sz w:val="21"/>
                      <w:highlight w:val="none"/>
                      <w:lang w:eastAsia="zh-CN"/>
                    </w:rPr>
                    <w:t>、抛丸后</w:t>
                  </w:r>
                  <w:r>
                    <w:rPr>
                      <w:rFonts w:hint="eastAsia" w:ascii="宋体" w:hAnsi="宋体" w:cs="宋体"/>
                      <w:sz w:val="21"/>
                      <w:highlight w:val="none"/>
                    </w:rPr>
                    <w:t>清洗机定期清理产生的废水</w:t>
                  </w:r>
                  <w:r>
                    <w:rPr>
                      <w:rFonts w:hint="eastAsia" w:ascii="宋体" w:hAnsi="宋体" w:cs="宋体"/>
                      <w:sz w:val="21"/>
                      <w:highlight w:val="none"/>
                      <w:lang w:eastAsia="zh-CN"/>
                    </w:rPr>
                    <w:t>、</w:t>
                  </w:r>
                  <w:r>
                    <w:rPr>
                      <w:rFonts w:hint="eastAsia"/>
                      <w:sz w:val="21"/>
                      <w:szCs w:val="21"/>
                      <w:highlight w:val="none"/>
                    </w:rPr>
                    <w:t>软化水装置产生的浓盐水、蓄热式电锅炉排污水</w:t>
                  </w:r>
                  <w:r>
                    <w:rPr>
                      <w:rFonts w:hint="eastAsia" w:ascii="宋体" w:hAnsi="宋体" w:cs="宋体"/>
                      <w:sz w:val="21"/>
                      <w:highlight w:val="none"/>
                      <w:lang w:eastAsia="zh-CN"/>
                    </w:rPr>
                    <w:t>、</w:t>
                  </w:r>
                  <w:r>
                    <w:rPr>
                      <w:rFonts w:hint="eastAsia" w:ascii="宋体" w:hAnsi="宋体" w:cs="宋体"/>
                      <w:sz w:val="21"/>
                      <w:highlight w:val="none"/>
                    </w:rPr>
                    <w:t>生活废水。</w:t>
                  </w:r>
                  <w:r>
                    <w:rPr>
                      <w:rFonts w:hint="eastAsia"/>
                      <w:sz w:val="21"/>
                      <w:szCs w:val="21"/>
                      <w:highlight w:val="none"/>
                      <w:lang w:eastAsia="zh-CN"/>
                    </w:rPr>
                    <w:t>热处理过程</w:t>
                  </w:r>
                  <w:r>
                    <w:rPr>
                      <w:rFonts w:hint="eastAsia"/>
                      <w:sz w:val="21"/>
                      <w:szCs w:val="21"/>
                      <w:highlight w:val="none"/>
                    </w:rPr>
                    <w:t>清洗机定期清理产生的废水经自带油水分离器</w:t>
                  </w:r>
                  <w:r>
                    <w:rPr>
                      <w:rFonts w:hint="eastAsia"/>
                      <w:sz w:val="21"/>
                      <w:szCs w:val="21"/>
                      <w:highlight w:val="none"/>
                      <w:lang w:val="en-US" w:eastAsia="zh-CN"/>
                    </w:rPr>
                    <w:t>分离</w:t>
                  </w:r>
                  <w:r>
                    <w:rPr>
                      <w:rFonts w:hint="eastAsia"/>
                      <w:sz w:val="21"/>
                      <w:szCs w:val="21"/>
                      <w:highlight w:val="none"/>
                      <w:lang w:eastAsia="zh-CN"/>
                    </w:rPr>
                    <w:t>后与抛丸后清洗机清理废水排入厂区</w:t>
                  </w:r>
                  <w:r>
                    <w:rPr>
                      <w:rFonts w:hint="eastAsia"/>
                      <w:sz w:val="21"/>
                      <w:szCs w:val="21"/>
                      <w:highlight w:val="none"/>
                      <w:lang w:val="en-US" w:eastAsia="zh-CN"/>
                    </w:rPr>
                    <w:t>污水处理设施处理</w:t>
                  </w:r>
                  <w:r>
                    <w:rPr>
                      <w:rFonts w:hint="eastAsia"/>
                      <w:sz w:val="21"/>
                      <w:szCs w:val="21"/>
                      <w:highlight w:val="none"/>
                    </w:rPr>
                    <w:t>，</w:t>
                  </w:r>
                  <w:r>
                    <w:rPr>
                      <w:rFonts w:hint="eastAsia"/>
                      <w:sz w:val="21"/>
                      <w:szCs w:val="21"/>
                      <w:highlight w:val="none"/>
                      <w:lang w:eastAsia="zh-CN"/>
                    </w:rPr>
                    <w:t>经园区污水管网汇入园区污水处理厂</w:t>
                  </w:r>
                  <w:r>
                    <w:rPr>
                      <w:rFonts w:hint="eastAsia"/>
                      <w:sz w:val="21"/>
                      <w:szCs w:val="21"/>
                      <w:highlight w:val="none"/>
                    </w:rPr>
                    <w:t>；软化水装置产生的浓盐水</w:t>
                  </w:r>
                  <w:r>
                    <w:rPr>
                      <w:rFonts w:hint="eastAsia"/>
                      <w:sz w:val="21"/>
                      <w:szCs w:val="21"/>
                      <w:highlight w:val="none"/>
                      <w:lang w:eastAsia="zh-CN"/>
                    </w:rPr>
                    <w:t>、</w:t>
                  </w:r>
                  <w:r>
                    <w:rPr>
                      <w:rFonts w:hint="eastAsia"/>
                      <w:sz w:val="21"/>
                      <w:szCs w:val="21"/>
                      <w:highlight w:val="none"/>
                    </w:rPr>
                    <w:t>蓄热式电锅炉排污水</w:t>
                  </w:r>
                  <w:r>
                    <w:rPr>
                      <w:rFonts w:hint="eastAsia"/>
                      <w:sz w:val="21"/>
                      <w:szCs w:val="21"/>
                      <w:highlight w:val="none"/>
                      <w:lang w:eastAsia="zh-CN"/>
                    </w:rPr>
                    <w:t>经园区污水管网排入园区污水处理厂；生活废水中食堂废水经隔油池处理后与其它生活废水经园区污水管网排入园区污水处理厂。</w:t>
                  </w:r>
                </w:p>
              </w:tc>
            </w:tr>
            <w:tr w14:paraId="4A65A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5278B945">
                  <w:pPr>
                    <w:pStyle w:val="31"/>
                    <w:spacing w:line="340" w:lineRule="exact"/>
                    <w:rPr>
                      <w:color w:val="0070C0"/>
                      <w:sz w:val="21"/>
                      <w:highlight w:val="none"/>
                    </w:rPr>
                  </w:pPr>
                </w:p>
              </w:tc>
              <w:tc>
                <w:tcPr>
                  <w:tcW w:w="1272" w:type="dxa"/>
                  <w:tcBorders>
                    <w:tl2br w:val="nil"/>
                    <w:tr2bl w:val="nil"/>
                  </w:tcBorders>
                  <w:vAlign w:val="center"/>
                </w:tcPr>
                <w:p w14:paraId="4674DD7B">
                  <w:pPr>
                    <w:pStyle w:val="31"/>
                    <w:spacing w:line="340" w:lineRule="exact"/>
                    <w:rPr>
                      <w:sz w:val="21"/>
                      <w:highlight w:val="none"/>
                    </w:rPr>
                  </w:pPr>
                  <w:r>
                    <w:rPr>
                      <w:sz w:val="21"/>
                      <w:highlight w:val="none"/>
                    </w:rPr>
                    <w:t>噪声</w:t>
                  </w:r>
                </w:p>
              </w:tc>
              <w:tc>
                <w:tcPr>
                  <w:tcW w:w="5624" w:type="dxa"/>
                  <w:tcBorders>
                    <w:tl2br w:val="nil"/>
                    <w:tr2bl w:val="nil"/>
                  </w:tcBorders>
                  <w:vAlign w:val="center"/>
                </w:tcPr>
                <w:p w14:paraId="4CF49650">
                  <w:pPr>
                    <w:pStyle w:val="31"/>
                    <w:spacing w:line="340" w:lineRule="exact"/>
                    <w:jc w:val="left"/>
                    <w:rPr>
                      <w:rFonts w:ascii="宋体" w:hAnsi="宋体" w:cs="宋体"/>
                      <w:sz w:val="21"/>
                      <w:highlight w:val="none"/>
                    </w:rPr>
                  </w:pPr>
                  <w:r>
                    <w:rPr>
                      <w:rFonts w:hint="eastAsia" w:ascii="宋体" w:hAnsi="宋体" w:cs="宋体"/>
                      <w:sz w:val="21"/>
                      <w:highlight w:val="none"/>
                    </w:rPr>
                    <w:t>生产设备均置于封闭的生产车间内，基础加装减振垫及距离衰减等。</w:t>
                  </w:r>
                </w:p>
              </w:tc>
            </w:tr>
            <w:tr w14:paraId="06CEA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561EA198">
                  <w:pPr>
                    <w:pStyle w:val="31"/>
                    <w:spacing w:line="340" w:lineRule="exact"/>
                    <w:rPr>
                      <w:color w:val="0070C0"/>
                      <w:sz w:val="21"/>
                      <w:highlight w:val="none"/>
                    </w:rPr>
                  </w:pPr>
                </w:p>
              </w:tc>
              <w:tc>
                <w:tcPr>
                  <w:tcW w:w="1272" w:type="dxa"/>
                  <w:tcBorders>
                    <w:tl2br w:val="nil"/>
                    <w:tr2bl w:val="nil"/>
                  </w:tcBorders>
                  <w:vAlign w:val="center"/>
                </w:tcPr>
                <w:p w14:paraId="735DD472">
                  <w:pPr>
                    <w:pStyle w:val="31"/>
                    <w:spacing w:line="340" w:lineRule="exact"/>
                    <w:rPr>
                      <w:sz w:val="21"/>
                      <w:highlight w:val="none"/>
                    </w:rPr>
                  </w:pPr>
                  <w:r>
                    <w:rPr>
                      <w:sz w:val="21"/>
                      <w:highlight w:val="none"/>
                    </w:rPr>
                    <w:t>固废</w:t>
                  </w:r>
                </w:p>
              </w:tc>
              <w:tc>
                <w:tcPr>
                  <w:tcW w:w="5624" w:type="dxa"/>
                  <w:tcBorders>
                    <w:tl2br w:val="nil"/>
                    <w:tr2bl w:val="nil"/>
                  </w:tcBorders>
                  <w:vAlign w:val="center"/>
                </w:tcPr>
                <w:p w14:paraId="2A8D79BC">
                  <w:pPr>
                    <w:pStyle w:val="31"/>
                    <w:spacing w:line="340" w:lineRule="exact"/>
                    <w:jc w:val="left"/>
                    <w:rPr>
                      <w:rFonts w:ascii="宋体" w:hAnsi="宋体" w:cs="宋体"/>
                      <w:sz w:val="21"/>
                      <w:highlight w:val="none"/>
                    </w:rPr>
                  </w:pPr>
                  <w:r>
                    <w:rPr>
                      <w:rFonts w:hint="eastAsia" w:ascii="宋体" w:hAnsi="宋体" w:cs="宋体"/>
                      <w:sz w:val="21"/>
                      <w:highlight w:val="none"/>
                    </w:rPr>
                    <w:t>一般固体废物、职工生活垃圾集中收集，外售相关企业或者送当地环卫部门指定地点统一处理；危险废物暂存于危险废物暂存间，分区存放，定期交有资质的公司进行处置或</w:t>
                  </w:r>
                  <w:r>
                    <w:rPr>
                      <w:color w:val="000000"/>
                      <w:kern w:val="0"/>
                      <w:sz w:val="21"/>
                      <w:highlight w:val="none"/>
                    </w:rPr>
                    <w:t>外售钢铁企业作为冶炼原料</w:t>
                  </w:r>
                  <w:r>
                    <w:rPr>
                      <w:rFonts w:hint="eastAsia" w:ascii="宋体" w:hAnsi="宋体" w:cs="宋体"/>
                      <w:sz w:val="21"/>
                      <w:highlight w:val="none"/>
                    </w:rPr>
                    <w:t>。</w:t>
                  </w:r>
                </w:p>
              </w:tc>
            </w:tr>
            <w:tr w14:paraId="3A881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Merge w:val="continue"/>
                  <w:tcBorders>
                    <w:tl2br w:val="nil"/>
                    <w:tr2bl w:val="nil"/>
                  </w:tcBorders>
                  <w:vAlign w:val="center"/>
                </w:tcPr>
                <w:p w14:paraId="2D816E23">
                  <w:pPr>
                    <w:pStyle w:val="31"/>
                    <w:spacing w:line="340" w:lineRule="exact"/>
                    <w:rPr>
                      <w:color w:val="0070C0"/>
                      <w:sz w:val="21"/>
                      <w:highlight w:val="none"/>
                    </w:rPr>
                  </w:pPr>
                </w:p>
              </w:tc>
              <w:tc>
                <w:tcPr>
                  <w:tcW w:w="1272" w:type="dxa"/>
                  <w:tcBorders>
                    <w:tl2br w:val="nil"/>
                    <w:tr2bl w:val="nil"/>
                  </w:tcBorders>
                  <w:vAlign w:val="center"/>
                </w:tcPr>
                <w:p w14:paraId="691138E5">
                  <w:pPr>
                    <w:pStyle w:val="31"/>
                    <w:spacing w:line="340" w:lineRule="exact"/>
                    <w:rPr>
                      <w:sz w:val="21"/>
                      <w:highlight w:val="none"/>
                    </w:rPr>
                  </w:pPr>
                  <w:r>
                    <w:rPr>
                      <w:rFonts w:hint="eastAsia"/>
                      <w:sz w:val="21"/>
                      <w:highlight w:val="none"/>
                    </w:rPr>
                    <w:t>防渗</w:t>
                  </w:r>
                </w:p>
              </w:tc>
              <w:tc>
                <w:tcPr>
                  <w:tcW w:w="5624" w:type="dxa"/>
                  <w:tcBorders>
                    <w:tl2br w:val="nil"/>
                    <w:tr2bl w:val="nil"/>
                  </w:tcBorders>
                  <w:vAlign w:val="center"/>
                </w:tcPr>
                <w:p w14:paraId="72CE37D8">
                  <w:pPr>
                    <w:pStyle w:val="31"/>
                    <w:spacing w:line="340" w:lineRule="exact"/>
                    <w:jc w:val="both"/>
                    <w:rPr>
                      <w:sz w:val="21"/>
                      <w:highlight w:val="none"/>
                    </w:rPr>
                  </w:pPr>
                  <w:r>
                    <w:rPr>
                      <w:sz w:val="21"/>
                      <w:highlight w:val="none"/>
                    </w:rPr>
                    <w:t>①重点防渗区：危险品库房、危废暂存间地面和裙角做好防渗处理，防渗层为至少1m厚粘土层（渗透系数≤1.0×10</w:t>
                  </w:r>
                  <w:r>
                    <w:rPr>
                      <w:sz w:val="21"/>
                      <w:highlight w:val="none"/>
                      <w:vertAlign w:val="superscript"/>
                    </w:rPr>
                    <w:t>-7</w:t>
                  </w:r>
                  <w:r>
                    <w:rPr>
                      <w:sz w:val="21"/>
                      <w:highlight w:val="none"/>
                    </w:rPr>
                    <w:t>cm/s），或2mm厚高密度聚乙烯，或至少2mm厚的其它人工材料，渗透系数≤1.0×10</w:t>
                  </w:r>
                  <w:r>
                    <w:rPr>
                      <w:sz w:val="21"/>
                      <w:highlight w:val="none"/>
                      <w:vertAlign w:val="superscript"/>
                    </w:rPr>
                    <w:t>-10</w:t>
                  </w:r>
                  <w:r>
                    <w:rPr>
                      <w:sz w:val="21"/>
                      <w:highlight w:val="none"/>
                    </w:rPr>
                    <w:t>cm/s。</w:t>
                  </w:r>
                </w:p>
                <w:p w14:paraId="711BB3C2">
                  <w:pPr>
                    <w:pStyle w:val="31"/>
                    <w:spacing w:line="340" w:lineRule="exact"/>
                    <w:jc w:val="both"/>
                    <w:rPr>
                      <w:sz w:val="21"/>
                      <w:highlight w:val="none"/>
                    </w:rPr>
                  </w:pPr>
                  <w:r>
                    <w:rPr>
                      <w:sz w:val="21"/>
                      <w:highlight w:val="none"/>
                    </w:rPr>
                    <w:t>②一般防渗区：车间等其他生产区域建设进行基础防渗处理，需满足等效黏土防渗层Mb≥6.0m，K≤1.0×10</w:t>
                  </w:r>
                  <w:r>
                    <w:rPr>
                      <w:sz w:val="21"/>
                      <w:highlight w:val="none"/>
                      <w:vertAlign w:val="superscript"/>
                    </w:rPr>
                    <w:t>-7</w:t>
                  </w:r>
                  <w:r>
                    <w:rPr>
                      <w:sz w:val="21"/>
                      <w:highlight w:val="none"/>
                    </w:rPr>
                    <w:t>cm/s。</w:t>
                  </w:r>
                </w:p>
                <w:p w14:paraId="53123979">
                  <w:pPr>
                    <w:pStyle w:val="31"/>
                    <w:spacing w:line="340" w:lineRule="exact"/>
                    <w:jc w:val="both"/>
                    <w:rPr>
                      <w:rFonts w:ascii="宋体" w:hAnsi="宋体" w:cs="宋体"/>
                      <w:sz w:val="21"/>
                      <w:highlight w:val="none"/>
                    </w:rPr>
                  </w:pPr>
                  <w:r>
                    <w:rPr>
                      <w:sz w:val="21"/>
                      <w:highlight w:val="none"/>
                    </w:rPr>
                    <w:t>③简单防渗区：厂区地面（除绿化用地）全部进行硬化处理。</w:t>
                  </w:r>
                </w:p>
              </w:tc>
            </w:tr>
          </w:tbl>
          <w:p w14:paraId="77AB6186">
            <w:pPr>
              <w:ind w:firstLine="480"/>
              <w:rPr>
                <w:highlight w:val="none"/>
              </w:rPr>
            </w:pPr>
            <w:r>
              <w:rPr>
                <w:rFonts w:hint="eastAsia"/>
                <w:highlight w:val="none"/>
              </w:rPr>
              <w:t>6、主要产品及产能</w:t>
            </w:r>
            <w:r>
              <w:rPr>
                <w:highlight w:val="none"/>
              </w:rPr>
              <w:t>：</w:t>
            </w:r>
            <w:r>
              <w:rPr>
                <w:rFonts w:hint="eastAsia"/>
                <w:highlight w:val="none"/>
              </w:rPr>
              <w:t>本项目主要进行车用锁式差速器及四驱扭矩控制器生产，年产10万台（套），主要产品方案如表2-2。</w:t>
            </w:r>
          </w:p>
          <w:p w14:paraId="27CC96F1">
            <w:pPr>
              <w:pStyle w:val="36"/>
              <w:rPr>
                <w:highlight w:val="none"/>
              </w:rPr>
            </w:pPr>
            <w:r>
              <w:rPr>
                <w:sz w:val="21"/>
                <w:szCs w:val="21"/>
                <w:highlight w:val="none"/>
              </w:rPr>
              <w:t>表</w:t>
            </w:r>
            <w:r>
              <w:rPr>
                <w:rFonts w:hint="eastAsia"/>
                <w:sz w:val="21"/>
                <w:szCs w:val="21"/>
                <w:highlight w:val="none"/>
              </w:rPr>
              <w:t>2-2  本项目主要产品方案一览</w:t>
            </w:r>
            <w:r>
              <w:rPr>
                <w:sz w:val="21"/>
                <w:szCs w:val="21"/>
                <w:highlight w:val="none"/>
              </w:rPr>
              <w:t>表</w:t>
            </w:r>
          </w:p>
          <w:tbl>
            <w:tblPr>
              <w:tblStyle w:val="22"/>
              <w:tblW w:w="81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97"/>
              <w:gridCol w:w="2550"/>
              <w:gridCol w:w="1524"/>
              <w:gridCol w:w="2960"/>
            </w:tblGrid>
            <w:tr w14:paraId="6E7CC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7" w:type="dxa"/>
                  <w:tcBorders>
                    <w:tl2br w:val="nil"/>
                    <w:tr2bl w:val="nil"/>
                  </w:tcBorders>
                  <w:vAlign w:val="center"/>
                </w:tcPr>
                <w:p w14:paraId="355E0630">
                  <w:pPr>
                    <w:pStyle w:val="31"/>
                    <w:rPr>
                      <w:sz w:val="21"/>
                      <w:highlight w:val="none"/>
                    </w:rPr>
                  </w:pPr>
                  <w:r>
                    <w:rPr>
                      <w:sz w:val="21"/>
                      <w:highlight w:val="none"/>
                    </w:rPr>
                    <w:t>序号</w:t>
                  </w:r>
                </w:p>
              </w:tc>
              <w:tc>
                <w:tcPr>
                  <w:tcW w:w="2550" w:type="dxa"/>
                  <w:tcBorders>
                    <w:tl2br w:val="nil"/>
                    <w:tr2bl w:val="nil"/>
                  </w:tcBorders>
                  <w:vAlign w:val="center"/>
                </w:tcPr>
                <w:p w14:paraId="5D620B24">
                  <w:pPr>
                    <w:pStyle w:val="31"/>
                    <w:rPr>
                      <w:sz w:val="21"/>
                      <w:highlight w:val="none"/>
                    </w:rPr>
                  </w:pPr>
                  <w:r>
                    <w:rPr>
                      <w:sz w:val="21"/>
                      <w:highlight w:val="none"/>
                    </w:rPr>
                    <w:t>名称</w:t>
                  </w:r>
                </w:p>
              </w:tc>
              <w:tc>
                <w:tcPr>
                  <w:tcW w:w="1524" w:type="dxa"/>
                  <w:tcBorders>
                    <w:tl2br w:val="nil"/>
                    <w:tr2bl w:val="nil"/>
                  </w:tcBorders>
                  <w:vAlign w:val="center"/>
                </w:tcPr>
                <w:p w14:paraId="20D8B3E1">
                  <w:pPr>
                    <w:pStyle w:val="31"/>
                    <w:rPr>
                      <w:sz w:val="21"/>
                      <w:highlight w:val="none"/>
                    </w:rPr>
                  </w:pPr>
                  <w:r>
                    <w:rPr>
                      <w:sz w:val="21"/>
                      <w:highlight w:val="none"/>
                    </w:rPr>
                    <w:t>单位</w:t>
                  </w:r>
                </w:p>
              </w:tc>
              <w:tc>
                <w:tcPr>
                  <w:tcW w:w="2960" w:type="dxa"/>
                  <w:tcBorders>
                    <w:tl2br w:val="nil"/>
                    <w:tr2bl w:val="nil"/>
                  </w:tcBorders>
                  <w:vAlign w:val="center"/>
                </w:tcPr>
                <w:p w14:paraId="76EB44D4">
                  <w:pPr>
                    <w:pStyle w:val="31"/>
                    <w:rPr>
                      <w:sz w:val="21"/>
                      <w:highlight w:val="none"/>
                    </w:rPr>
                  </w:pPr>
                  <w:r>
                    <w:rPr>
                      <w:rFonts w:hint="eastAsia"/>
                      <w:sz w:val="21"/>
                      <w:highlight w:val="none"/>
                    </w:rPr>
                    <w:t>产品产量</w:t>
                  </w:r>
                </w:p>
              </w:tc>
            </w:tr>
            <w:tr w14:paraId="52AEC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7" w:type="dxa"/>
                  <w:tcBorders>
                    <w:tl2br w:val="nil"/>
                    <w:tr2bl w:val="nil"/>
                  </w:tcBorders>
                  <w:vAlign w:val="center"/>
                </w:tcPr>
                <w:p w14:paraId="0DD4BB4E">
                  <w:pPr>
                    <w:pStyle w:val="31"/>
                    <w:rPr>
                      <w:sz w:val="21"/>
                      <w:highlight w:val="none"/>
                    </w:rPr>
                  </w:pPr>
                  <w:r>
                    <w:rPr>
                      <w:sz w:val="21"/>
                      <w:highlight w:val="none"/>
                    </w:rPr>
                    <w:t>1</w:t>
                  </w:r>
                </w:p>
              </w:tc>
              <w:tc>
                <w:tcPr>
                  <w:tcW w:w="2550" w:type="dxa"/>
                  <w:tcBorders>
                    <w:tl2br w:val="nil"/>
                    <w:tr2bl w:val="nil"/>
                  </w:tcBorders>
                  <w:vAlign w:val="center"/>
                </w:tcPr>
                <w:p w14:paraId="618B8B70">
                  <w:pPr>
                    <w:spacing w:line="240" w:lineRule="auto"/>
                    <w:ind w:firstLine="0" w:firstLineChars="0"/>
                    <w:jc w:val="center"/>
                    <w:rPr>
                      <w:bCs/>
                      <w:kern w:val="24"/>
                      <w:sz w:val="21"/>
                      <w:szCs w:val="21"/>
                      <w:highlight w:val="none"/>
                    </w:rPr>
                  </w:pPr>
                  <w:r>
                    <w:rPr>
                      <w:rFonts w:hint="eastAsia"/>
                      <w:bCs/>
                      <w:kern w:val="24"/>
                      <w:sz w:val="21"/>
                      <w:szCs w:val="21"/>
                      <w:highlight w:val="none"/>
                    </w:rPr>
                    <w:t>锁式差速器</w:t>
                  </w:r>
                </w:p>
              </w:tc>
              <w:tc>
                <w:tcPr>
                  <w:tcW w:w="1524" w:type="dxa"/>
                  <w:tcBorders>
                    <w:tl2br w:val="nil"/>
                    <w:tr2bl w:val="nil"/>
                  </w:tcBorders>
                  <w:vAlign w:val="center"/>
                </w:tcPr>
                <w:p w14:paraId="6E066421">
                  <w:pPr>
                    <w:spacing w:line="240" w:lineRule="auto"/>
                    <w:ind w:firstLine="0" w:firstLineChars="0"/>
                    <w:jc w:val="center"/>
                    <w:rPr>
                      <w:bCs/>
                      <w:kern w:val="24"/>
                      <w:sz w:val="21"/>
                      <w:szCs w:val="21"/>
                      <w:highlight w:val="none"/>
                    </w:rPr>
                  </w:pPr>
                  <w:r>
                    <w:rPr>
                      <w:rFonts w:hint="eastAsia"/>
                      <w:bCs/>
                      <w:kern w:val="24"/>
                      <w:sz w:val="21"/>
                      <w:szCs w:val="21"/>
                      <w:highlight w:val="none"/>
                    </w:rPr>
                    <w:t>台</w:t>
                  </w:r>
                </w:p>
              </w:tc>
              <w:tc>
                <w:tcPr>
                  <w:tcW w:w="2960" w:type="dxa"/>
                  <w:tcBorders>
                    <w:tl2br w:val="nil"/>
                    <w:tr2bl w:val="nil"/>
                  </w:tcBorders>
                  <w:vAlign w:val="center"/>
                </w:tcPr>
                <w:p w14:paraId="023E9148">
                  <w:pPr>
                    <w:spacing w:line="240" w:lineRule="auto"/>
                    <w:ind w:firstLine="0" w:firstLineChars="0"/>
                    <w:jc w:val="center"/>
                    <w:rPr>
                      <w:bCs/>
                      <w:kern w:val="24"/>
                      <w:sz w:val="21"/>
                      <w:szCs w:val="21"/>
                      <w:highlight w:val="none"/>
                    </w:rPr>
                  </w:pPr>
                  <w:r>
                    <w:rPr>
                      <w:rFonts w:hint="eastAsia"/>
                      <w:bCs/>
                      <w:kern w:val="24"/>
                      <w:sz w:val="21"/>
                      <w:szCs w:val="21"/>
                      <w:highlight w:val="none"/>
                    </w:rPr>
                    <w:t>80000</w:t>
                  </w:r>
                </w:p>
              </w:tc>
            </w:tr>
            <w:tr w14:paraId="1DEB6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97" w:type="dxa"/>
                  <w:tcBorders>
                    <w:tl2br w:val="nil"/>
                    <w:tr2bl w:val="nil"/>
                  </w:tcBorders>
                  <w:vAlign w:val="center"/>
                </w:tcPr>
                <w:p w14:paraId="3C0039D2">
                  <w:pPr>
                    <w:pStyle w:val="31"/>
                    <w:rPr>
                      <w:sz w:val="21"/>
                      <w:highlight w:val="none"/>
                    </w:rPr>
                  </w:pPr>
                  <w:r>
                    <w:rPr>
                      <w:sz w:val="21"/>
                      <w:highlight w:val="none"/>
                    </w:rPr>
                    <w:t>2</w:t>
                  </w:r>
                </w:p>
              </w:tc>
              <w:tc>
                <w:tcPr>
                  <w:tcW w:w="2550" w:type="dxa"/>
                  <w:tcBorders>
                    <w:tl2br w:val="nil"/>
                    <w:tr2bl w:val="nil"/>
                  </w:tcBorders>
                  <w:vAlign w:val="center"/>
                </w:tcPr>
                <w:p w14:paraId="2F044A3E">
                  <w:pPr>
                    <w:spacing w:line="240" w:lineRule="auto"/>
                    <w:ind w:firstLine="0" w:firstLineChars="0"/>
                    <w:jc w:val="center"/>
                    <w:rPr>
                      <w:bCs/>
                      <w:kern w:val="24"/>
                      <w:sz w:val="21"/>
                      <w:szCs w:val="21"/>
                      <w:highlight w:val="none"/>
                    </w:rPr>
                  </w:pPr>
                  <w:r>
                    <w:rPr>
                      <w:rFonts w:hint="eastAsia"/>
                      <w:bCs/>
                      <w:kern w:val="24"/>
                      <w:sz w:val="21"/>
                      <w:szCs w:val="21"/>
                      <w:highlight w:val="none"/>
                    </w:rPr>
                    <w:t>扭矩控制器</w:t>
                  </w:r>
                </w:p>
              </w:tc>
              <w:tc>
                <w:tcPr>
                  <w:tcW w:w="1524" w:type="dxa"/>
                  <w:tcBorders>
                    <w:tl2br w:val="nil"/>
                    <w:tr2bl w:val="nil"/>
                  </w:tcBorders>
                  <w:vAlign w:val="center"/>
                </w:tcPr>
                <w:p w14:paraId="44096377">
                  <w:pPr>
                    <w:spacing w:line="240" w:lineRule="auto"/>
                    <w:ind w:firstLine="0" w:firstLineChars="0"/>
                    <w:jc w:val="center"/>
                    <w:rPr>
                      <w:bCs/>
                      <w:kern w:val="24"/>
                      <w:sz w:val="21"/>
                      <w:szCs w:val="21"/>
                      <w:highlight w:val="none"/>
                    </w:rPr>
                  </w:pPr>
                  <w:r>
                    <w:rPr>
                      <w:rFonts w:hint="eastAsia"/>
                      <w:bCs/>
                      <w:kern w:val="24"/>
                      <w:sz w:val="21"/>
                      <w:szCs w:val="21"/>
                      <w:highlight w:val="none"/>
                    </w:rPr>
                    <w:t>台</w:t>
                  </w:r>
                </w:p>
              </w:tc>
              <w:tc>
                <w:tcPr>
                  <w:tcW w:w="2960" w:type="dxa"/>
                  <w:tcBorders>
                    <w:tl2br w:val="nil"/>
                    <w:tr2bl w:val="nil"/>
                  </w:tcBorders>
                  <w:vAlign w:val="center"/>
                </w:tcPr>
                <w:p w14:paraId="3D171A33">
                  <w:pPr>
                    <w:spacing w:line="240" w:lineRule="auto"/>
                    <w:ind w:firstLine="0" w:firstLineChars="0"/>
                    <w:jc w:val="center"/>
                    <w:rPr>
                      <w:bCs/>
                      <w:kern w:val="24"/>
                      <w:sz w:val="21"/>
                      <w:szCs w:val="21"/>
                      <w:highlight w:val="none"/>
                    </w:rPr>
                  </w:pPr>
                  <w:r>
                    <w:rPr>
                      <w:rFonts w:hint="eastAsia"/>
                      <w:bCs/>
                      <w:kern w:val="24"/>
                      <w:sz w:val="21"/>
                      <w:szCs w:val="21"/>
                      <w:highlight w:val="none"/>
                    </w:rPr>
                    <w:t>20</w:t>
                  </w:r>
                  <w:r>
                    <w:rPr>
                      <w:rFonts w:hint="eastAsia"/>
                      <w:bCs/>
                      <w:kern w:val="24"/>
                      <w:sz w:val="21"/>
                      <w:szCs w:val="21"/>
                      <w:highlight w:val="none"/>
                      <w:lang w:val="zh-CN"/>
                    </w:rPr>
                    <w:t>000</w:t>
                  </w:r>
                </w:p>
              </w:tc>
            </w:tr>
          </w:tbl>
          <w:p w14:paraId="6A1B99A6">
            <w:pPr>
              <w:adjustRightInd w:val="0"/>
              <w:snapToGrid w:val="0"/>
              <w:spacing w:line="400" w:lineRule="exact"/>
              <w:ind w:firstLine="420" w:firstLineChars="0"/>
              <w:jc w:val="left"/>
              <w:rPr>
                <w:highlight w:val="none"/>
              </w:rPr>
            </w:pPr>
            <w:r>
              <w:rPr>
                <w:rFonts w:hint="eastAsia"/>
                <w:highlight w:val="none"/>
              </w:rPr>
              <w:t>7、</w:t>
            </w:r>
            <w:r>
              <w:rPr>
                <w:highlight w:val="none"/>
              </w:rPr>
              <w:t>主要</w:t>
            </w:r>
            <w:r>
              <w:rPr>
                <w:rFonts w:hint="eastAsia"/>
                <w:highlight w:val="none"/>
              </w:rPr>
              <w:t>建构筑物</w:t>
            </w:r>
          </w:p>
          <w:p w14:paraId="3D14A232">
            <w:pPr>
              <w:adjustRightInd w:val="0"/>
              <w:snapToGrid w:val="0"/>
              <w:spacing w:line="400" w:lineRule="exact"/>
              <w:ind w:firstLine="420" w:firstLineChars="0"/>
              <w:jc w:val="left"/>
              <w:rPr>
                <w:highlight w:val="none"/>
              </w:rPr>
            </w:pPr>
            <w:r>
              <w:rPr>
                <w:highlight w:val="none"/>
              </w:rPr>
              <w:t>本项目</w:t>
            </w:r>
            <w:r>
              <w:rPr>
                <w:rFonts w:hint="eastAsia"/>
                <w:highlight w:val="none"/>
              </w:rPr>
              <w:t>新增建构筑物情况如下表2-3。</w:t>
            </w:r>
          </w:p>
          <w:p w14:paraId="474639B9">
            <w:pPr>
              <w:pStyle w:val="36"/>
              <w:rPr>
                <w:highlight w:val="none"/>
              </w:rPr>
            </w:pPr>
            <w:r>
              <w:rPr>
                <w:sz w:val="21"/>
                <w:szCs w:val="21"/>
                <w:highlight w:val="none"/>
              </w:rPr>
              <w:t>表</w:t>
            </w:r>
            <w:r>
              <w:rPr>
                <w:rFonts w:hint="eastAsia"/>
                <w:sz w:val="21"/>
                <w:szCs w:val="21"/>
                <w:highlight w:val="none"/>
              </w:rPr>
              <w:t>2-3</w:t>
            </w:r>
            <w:r>
              <w:rPr>
                <w:sz w:val="21"/>
                <w:szCs w:val="21"/>
                <w:highlight w:val="none"/>
              </w:rPr>
              <w:t xml:space="preserve">  </w:t>
            </w:r>
            <w:r>
              <w:rPr>
                <w:rFonts w:hint="eastAsia"/>
                <w:sz w:val="21"/>
                <w:szCs w:val="21"/>
                <w:highlight w:val="none"/>
              </w:rPr>
              <w:t>本项目</w:t>
            </w:r>
            <w:r>
              <w:rPr>
                <w:sz w:val="21"/>
                <w:szCs w:val="21"/>
                <w:highlight w:val="none"/>
              </w:rPr>
              <w:t>主要建构筑物一览表</w:t>
            </w:r>
          </w:p>
          <w:tbl>
            <w:tblPr>
              <w:tblStyle w:val="23"/>
              <w:tblW w:w="81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24"/>
              <w:gridCol w:w="992"/>
              <w:gridCol w:w="851"/>
              <w:gridCol w:w="1275"/>
              <w:gridCol w:w="3427"/>
            </w:tblGrid>
            <w:tr w14:paraId="5DE18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2" w:type="dxa"/>
                  <w:tcBorders>
                    <w:tl2br w:val="nil"/>
                    <w:tr2bl w:val="nil"/>
                  </w:tcBorders>
                  <w:vAlign w:val="center"/>
                </w:tcPr>
                <w:p w14:paraId="2F0D68C3">
                  <w:pPr>
                    <w:pStyle w:val="31"/>
                    <w:rPr>
                      <w:sz w:val="21"/>
                      <w:highlight w:val="none"/>
                    </w:rPr>
                  </w:pPr>
                  <w:r>
                    <w:rPr>
                      <w:sz w:val="21"/>
                      <w:highlight w:val="none"/>
                    </w:rPr>
                    <w:t>序号</w:t>
                  </w:r>
                </w:p>
              </w:tc>
              <w:tc>
                <w:tcPr>
                  <w:tcW w:w="924" w:type="dxa"/>
                  <w:tcBorders>
                    <w:tl2br w:val="nil"/>
                    <w:tr2bl w:val="nil"/>
                  </w:tcBorders>
                  <w:vAlign w:val="center"/>
                </w:tcPr>
                <w:p w14:paraId="5BF85480">
                  <w:pPr>
                    <w:pStyle w:val="31"/>
                    <w:rPr>
                      <w:sz w:val="21"/>
                      <w:highlight w:val="none"/>
                    </w:rPr>
                  </w:pPr>
                  <w:r>
                    <w:rPr>
                      <w:sz w:val="21"/>
                      <w:highlight w:val="none"/>
                    </w:rPr>
                    <w:t>名称</w:t>
                  </w:r>
                </w:p>
              </w:tc>
              <w:tc>
                <w:tcPr>
                  <w:tcW w:w="992" w:type="dxa"/>
                  <w:tcBorders>
                    <w:tl2br w:val="nil"/>
                    <w:tr2bl w:val="nil"/>
                  </w:tcBorders>
                  <w:vAlign w:val="center"/>
                </w:tcPr>
                <w:p w14:paraId="4B6FF370">
                  <w:pPr>
                    <w:pStyle w:val="31"/>
                    <w:rPr>
                      <w:sz w:val="21"/>
                      <w:highlight w:val="none"/>
                    </w:rPr>
                  </w:pPr>
                  <w:r>
                    <w:rPr>
                      <w:sz w:val="21"/>
                      <w:highlight w:val="none"/>
                    </w:rPr>
                    <w:t>建筑面积（m</w:t>
                  </w:r>
                  <w:r>
                    <w:rPr>
                      <w:sz w:val="21"/>
                      <w:highlight w:val="none"/>
                      <w:vertAlign w:val="superscript"/>
                    </w:rPr>
                    <w:t>2</w:t>
                  </w:r>
                  <w:r>
                    <w:rPr>
                      <w:sz w:val="21"/>
                      <w:highlight w:val="none"/>
                    </w:rPr>
                    <w:t>）</w:t>
                  </w:r>
                </w:p>
              </w:tc>
              <w:tc>
                <w:tcPr>
                  <w:tcW w:w="851" w:type="dxa"/>
                  <w:tcBorders>
                    <w:tl2br w:val="nil"/>
                    <w:tr2bl w:val="nil"/>
                  </w:tcBorders>
                  <w:vAlign w:val="center"/>
                </w:tcPr>
                <w:p w14:paraId="309428E1">
                  <w:pPr>
                    <w:pStyle w:val="31"/>
                    <w:rPr>
                      <w:sz w:val="21"/>
                      <w:highlight w:val="none"/>
                    </w:rPr>
                  </w:pPr>
                  <w:r>
                    <w:rPr>
                      <w:rFonts w:hint="eastAsia"/>
                      <w:sz w:val="21"/>
                      <w:highlight w:val="none"/>
                    </w:rPr>
                    <w:t>层数</w:t>
                  </w:r>
                </w:p>
              </w:tc>
              <w:tc>
                <w:tcPr>
                  <w:tcW w:w="1275" w:type="dxa"/>
                  <w:tcBorders>
                    <w:tl2br w:val="nil"/>
                    <w:tr2bl w:val="nil"/>
                  </w:tcBorders>
                  <w:vAlign w:val="center"/>
                </w:tcPr>
                <w:p w14:paraId="1C42BB84">
                  <w:pPr>
                    <w:pStyle w:val="31"/>
                    <w:rPr>
                      <w:sz w:val="21"/>
                      <w:highlight w:val="none"/>
                    </w:rPr>
                  </w:pPr>
                  <w:r>
                    <w:rPr>
                      <w:rFonts w:hint="eastAsia"/>
                      <w:sz w:val="21"/>
                      <w:highlight w:val="none"/>
                    </w:rPr>
                    <w:t>结构形式</w:t>
                  </w:r>
                </w:p>
              </w:tc>
              <w:tc>
                <w:tcPr>
                  <w:tcW w:w="3427" w:type="dxa"/>
                  <w:tcBorders>
                    <w:tl2br w:val="nil"/>
                    <w:tr2bl w:val="nil"/>
                  </w:tcBorders>
                  <w:vAlign w:val="center"/>
                </w:tcPr>
                <w:p w14:paraId="3D826CD9">
                  <w:pPr>
                    <w:pStyle w:val="31"/>
                    <w:rPr>
                      <w:sz w:val="21"/>
                      <w:highlight w:val="none"/>
                    </w:rPr>
                  </w:pPr>
                  <w:r>
                    <w:rPr>
                      <w:sz w:val="21"/>
                      <w:highlight w:val="none"/>
                    </w:rPr>
                    <w:t>备注</w:t>
                  </w:r>
                </w:p>
              </w:tc>
            </w:tr>
            <w:tr w14:paraId="38BC5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681A3553">
                  <w:pPr>
                    <w:pStyle w:val="31"/>
                    <w:numPr>
                      <w:ilvl w:val="0"/>
                      <w:numId w:val="7"/>
                    </w:numPr>
                    <w:rPr>
                      <w:sz w:val="21"/>
                      <w:highlight w:val="none"/>
                    </w:rPr>
                  </w:pPr>
                </w:p>
              </w:tc>
              <w:tc>
                <w:tcPr>
                  <w:tcW w:w="924" w:type="dxa"/>
                  <w:tcBorders>
                    <w:tl2br w:val="nil"/>
                    <w:tr2bl w:val="nil"/>
                  </w:tcBorders>
                  <w:vAlign w:val="center"/>
                </w:tcPr>
                <w:p w14:paraId="23CCC41B">
                  <w:pPr>
                    <w:pStyle w:val="31"/>
                    <w:rPr>
                      <w:sz w:val="21"/>
                      <w:highlight w:val="none"/>
                    </w:rPr>
                  </w:pPr>
                  <w:r>
                    <w:rPr>
                      <w:rFonts w:hint="eastAsia"/>
                      <w:sz w:val="21"/>
                      <w:highlight w:val="none"/>
                    </w:rPr>
                    <w:t>1#厂房</w:t>
                  </w:r>
                </w:p>
              </w:tc>
              <w:tc>
                <w:tcPr>
                  <w:tcW w:w="992" w:type="dxa"/>
                  <w:tcBorders>
                    <w:tl2br w:val="nil"/>
                    <w:tr2bl w:val="nil"/>
                  </w:tcBorders>
                  <w:vAlign w:val="center"/>
                </w:tcPr>
                <w:p w14:paraId="46789243">
                  <w:pPr>
                    <w:pStyle w:val="31"/>
                    <w:rPr>
                      <w:sz w:val="21"/>
                      <w:highlight w:val="none"/>
                    </w:rPr>
                  </w:pPr>
                  <w:r>
                    <w:rPr>
                      <w:rFonts w:hint="eastAsia"/>
                      <w:sz w:val="21"/>
                      <w:highlight w:val="none"/>
                    </w:rPr>
                    <w:t>4767.69</w:t>
                  </w:r>
                </w:p>
              </w:tc>
              <w:tc>
                <w:tcPr>
                  <w:tcW w:w="851" w:type="dxa"/>
                  <w:tcBorders>
                    <w:tl2br w:val="nil"/>
                    <w:tr2bl w:val="nil"/>
                  </w:tcBorders>
                  <w:vAlign w:val="center"/>
                </w:tcPr>
                <w:p w14:paraId="4A47FD18">
                  <w:pPr>
                    <w:pStyle w:val="31"/>
                    <w:rPr>
                      <w:sz w:val="21"/>
                      <w:highlight w:val="none"/>
                    </w:rPr>
                  </w:pPr>
                  <w:r>
                    <w:rPr>
                      <w:rFonts w:hint="eastAsia"/>
                      <w:sz w:val="21"/>
                      <w:highlight w:val="none"/>
                    </w:rPr>
                    <w:t>局部</w:t>
                  </w:r>
                </w:p>
                <w:p w14:paraId="48FA340B">
                  <w:pPr>
                    <w:pStyle w:val="31"/>
                    <w:rPr>
                      <w:sz w:val="21"/>
                      <w:highlight w:val="none"/>
                    </w:rPr>
                  </w:pPr>
                  <w:r>
                    <w:rPr>
                      <w:rFonts w:hint="eastAsia"/>
                      <w:sz w:val="21"/>
                      <w:highlight w:val="none"/>
                    </w:rPr>
                    <w:t>二层</w:t>
                  </w:r>
                </w:p>
              </w:tc>
              <w:tc>
                <w:tcPr>
                  <w:tcW w:w="1275" w:type="dxa"/>
                  <w:tcBorders>
                    <w:tl2br w:val="nil"/>
                    <w:tr2bl w:val="nil"/>
                  </w:tcBorders>
                  <w:vAlign w:val="center"/>
                </w:tcPr>
                <w:p w14:paraId="0A225864">
                  <w:pPr>
                    <w:pStyle w:val="31"/>
                    <w:rPr>
                      <w:sz w:val="21"/>
                      <w:highlight w:val="none"/>
                    </w:rPr>
                  </w:pPr>
                  <w:r>
                    <w:rPr>
                      <w:rFonts w:hint="eastAsia"/>
                      <w:sz w:val="21"/>
                      <w:highlight w:val="none"/>
                    </w:rPr>
                    <w:t>墙体砖混+房顶彩钢</w:t>
                  </w:r>
                </w:p>
              </w:tc>
              <w:tc>
                <w:tcPr>
                  <w:tcW w:w="3427" w:type="dxa"/>
                  <w:tcBorders>
                    <w:tl2br w:val="nil"/>
                    <w:tr2bl w:val="nil"/>
                  </w:tcBorders>
                  <w:vAlign w:val="center"/>
                </w:tcPr>
                <w:p w14:paraId="4FC605EE">
                  <w:pPr>
                    <w:pStyle w:val="31"/>
                    <w:rPr>
                      <w:sz w:val="21"/>
                      <w:highlight w:val="none"/>
                    </w:rPr>
                  </w:pPr>
                  <w:r>
                    <w:rPr>
                      <w:rFonts w:hint="eastAsia"/>
                      <w:sz w:val="21"/>
                      <w:highlight w:val="none"/>
                    </w:rPr>
                    <w:t>建筑总高10.5m，一层建筑面积4272.92</w:t>
                  </w:r>
                  <w:r>
                    <w:rPr>
                      <w:sz w:val="21"/>
                      <w:highlight w:val="none"/>
                    </w:rPr>
                    <w:t>m</w:t>
                  </w:r>
                  <w:r>
                    <w:rPr>
                      <w:sz w:val="21"/>
                      <w:highlight w:val="none"/>
                      <w:vertAlign w:val="superscript"/>
                    </w:rPr>
                    <w:t>2</w:t>
                  </w:r>
                  <w:r>
                    <w:rPr>
                      <w:rFonts w:hint="eastAsia"/>
                      <w:sz w:val="21"/>
                      <w:highlight w:val="none"/>
                    </w:rPr>
                    <w:t>，内设抛丸间、热处理区、数控车床区、齿形区、加工中心、铁屑池、电加热锅炉区、检验室、食堂、车库；二层建筑面积494.75</w:t>
                  </w:r>
                  <w:r>
                    <w:rPr>
                      <w:sz w:val="21"/>
                      <w:highlight w:val="none"/>
                    </w:rPr>
                    <w:t>m</w:t>
                  </w:r>
                  <w:r>
                    <w:rPr>
                      <w:sz w:val="21"/>
                      <w:highlight w:val="none"/>
                      <w:vertAlign w:val="superscript"/>
                    </w:rPr>
                    <w:t>2</w:t>
                  </w:r>
                  <w:r>
                    <w:rPr>
                      <w:rFonts w:hint="eastAsia"/>
                      <w:sz w:val="21"/>
                      <w:highlight w:val="none"/>
                      <w:vertAlign w:val="baseline"/>
                    </w:rPr>
                    <w:t>，</w:t>
                  </w:r>
                  <w:r>
                    <w:rPr>
                      <w:rFonts w:hint="eastAsia"/>
                      <w:sz w:val="21"/>
                      <w:highlight w:val="none"/>
                    </w:rPr>
                    <w:t>设为仓储区。</w:t>
                  </w:r>
                </w:p>
              </w:tc>
            </w:tr>
            <w:tr w14:paraId="7E037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17B20A48">
                  <w:pPr>
                    <w:pStyle w:val="31"/>
                    <w:numPr>
                      <w:ilvl w:val="0"/>
                      <w:numId w:val="7"/>
                    </w:numPr>
                    <w:rPr>
                      <w:sz w:val="21"/>
                      <w:highlight w:val="none"/>
                    </w:rPr>
                  </w:pPr>
                </w:p>
              </w:tc>
              <w:tc>
                <w:tcPr>
                  <w:tcW w:w="924" w:type="dxa"/>
                  <w:tcBorders>
                    <w:tl2br w:val="nil"/>
                    <w:tr2bl w:val="nil"/>
                  </w:tcBorders>
                  <w:vAlign w:val="center"/>
                </w:tcPr>
                <w:p w14:paraId="7D32F8B8">
                  <w:pPr>
                    <w:pStyle w:val="31"/>
                    <w:rPr>
                      <w:sz w:val="21"/>
                      <w:highlight w:val="none"/>
                    </w:rPr>
                  </w:pPr>
                  <w:r>
                    <w:rPr>
                      <w:rFonts w:hint="eastAsia"/>
                      <w:sz w:val="21"/>
                      <w:highlight w:val="none"/>
                    </w:rPr>
                    <w:t>2#厂房</w:t>
                  </w:r>
                </w:p>
              </w:tc>
              <w:tc>
                <w:tcPr>
                  <w:tcW w:w="992" w:type="dxa"/>
                  <w:tcBorders>
                    <w:tl2br w:val="nil"/>
                    <w:tr2bl w:val="nil"/>
                  </w:tcBorders>
                  <w:vAlign w:val="center"/>
                </w:tcPr>
                <w:p w14:paraId="4A869DA9">
                  <w:pPr>
                    <w:pStyle w:val="31"/>
                    <w:rPr>
                      <w:sz w:val="21"/>
                      <w:highlight w:val="none"/>
                    </w:rPr>
                  </w:pPr>
                  <w:r>
                    <w:rPr>
                      <w:rFonts w:hint="eastAsia"/>
                      <w:sz w:val="21"/>
                      <w:highlight w:val="none"/>
                    </w:rPr>
                    <w:t>4987.30</w:t>
                  </w:r>
                </w:p>
              </w:tc>
              <w:tc>
                <w:tcPr>
                  <w:tcW w:w="851" w:type="dxa"/>
                  <w:tcBorders>
                    <w:tl2br w:val="nil"/>
                    <w:tr2bl w:val="nil"/>
                  </w:tcBorders>
                  <w:vAlign w:val="center"/>
                </w:tcPr>
                <w:p w14:paraId="56D368E8">
                  <w:pPr>
                    <w:pStyle w:val="31"/>
                    <w:rPr>
                      <w:sz w:val="21"/>
                      <w:highlight w:val="none"/>
                    </w:rPr>
                  </w:pPr>
                  <w:r>
                    <w:rPr>
                      <w:rFonts w:hint="eastAsia"/>
                      <w:sz w:val="21"/>
                      <w:highlight w:val="none"/>
                    </w:rPr>
                    <w:t>局部</w:t>
                  </w:r>
                </w:p>
                <w:p w14:paraId="3046ABD5">
                  <w:pPr>
                    <w:pStyle w:val="31"/>
                    <w:rPr>
                      <w:sz w:val="21"/>
                      <w:highlight w:val="none"/>
                    </w:rPr>
                  </w:pPr>
                  <w:r>
                    <w:rPr>
                      <w:rFonts w:hint="eastAsia"/>
                      <w:sz w:val="21"/>
                      <w:highlight w:val="none"/>
                    </w:rPr>
                    <w:t>二层</w:t>
                  </w:r>
                </w:p>
              </w:tc>
              <w:tc>
                <w:tcPr>
                  <w:tcW w:w="1275" w:type="dxa"/>
                  <w:tcBorders>
                    <w:tl2br w:val="nil"/>
                    <w:tr2bl w:val="nil"/>
                  </w:tcBorders>
                  <w:vAlign w:val="center"/>
                </w:tcPr>
                <w:p w14:paraId="0A706363">
                  <w:pPr>
                    <w:pStyle w:val="31"/>
                    <w:rPr>
                      <w:sz w:val="21"/>
                      <w:highlight w:val="none"/>
                    </w:rPr>
                  </w:pPr>
                  <w:r>
                    <w:rPr>
                      <w:rFonts w:hint="eastAsia"/>
                      <w:sz w:val="21"/>
                      <w:highlight w:val="none"/>
                    </w:rPr>
                    <w:t>墙体砖混+房顶彩钢</w:t>
                  </w:r>
                </w:p>
              </w:tc>
              <w:tc>
                <w:tcPr>
                  <w:tcW w:w="3427" w:type="dxa"/>
                  <w:tcBorders>
                    <w:tl2br w:val="nil"/>
                    <w:tr2bl w:val="nil"/>
                  </w:tcBorders>
                  <w:vAlign w:val="center"/>
                </w:tcPr>
                <w:p w14:paraId="35A80F19">
                  <w:pPr>
                    <w:pStyle w:val="31"/>
                    <w:rPr>
                      <w:sz w:val="21"/>
                      <w:highlight w:val="none"/>
                    </w:rPr>
                  </w:pPr>
                  <w:r>
                    <w:rPr>
                      <w:rFonts w:hint="eastAsia"/>
                      <w:sz w:val="21"/>
                      <w:highlight w:val="none"/>
                    </w:rPr>
                    <w:t>建筑总高10.5m，一层建筑面积3144.86</w:t>
                  </w:r>
                  <w:r>
                    <w:rPr>
                      <w:sz w:val="21"/>
                      <w:highlight w:val="none"/>
                    </w:rPr>
                    <w:t>m</w:t>
                  </w:r>
                  <w:r>
                    <w:rPr>
                      <w:sz w:val="21"/>
                      <w:highlight w:val="none"/>
                      <w:vertAlign w:val="superscript"/>
                    </w:rPr>
                    <w:t>2</w:t>
                  </w:r>
                  <w:r>
                    <w:rPr>
                      <w:rFonts w:hint="eastAsia"/>
                      <w:sz w:val="21"/>
                      <w:highlight w:val="none"/>
                    </w:rPr>
                    <w:t>，设有组装区、原材料区、成品区、垃圾站、危废暂存间、一般固废区、危险品库房、电加热炉区；二层建筑面积1842.44</w:t>
                  </w:r>
                  <w:r>
                    <w:rPr>
                      <w:sz w:val="21"/>
                      <w:highlight w:val="none"/>
                    </w:rPr>
                    <w:t>m</w:t>
                  </w:r>
                  <w:r>
                    <w:rPr>
                      <w:sz w:val="21"/>
                      <w:highlight w:val="none"/>
                      <w:vertAlign w:val="superscript"/>
                    </w:rPr>
                    <w:t>2</w:t>
                  </w:r>
                  <w:r>
                    <w:rPr>
                      <w:rFonts w:hint="eastAsia"/>
                      <w:sz w:val="21"/>
                      <w:highlight w:val="none"/>
                    </w:rPr>
                    <w:t>，设为仓储区。</w:t>
                  </w:r>
                </w:p>
              </w:tc>
            </w:tr>
            <w:tr w14:paraId="62AA9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1DBA6721">
                  <w:pPr>
                    <w:pStyle w:val="31"/>
                    <w:numPr>
                      <w:ilvl w:val="0"/>
                      <w:numId w:val="7"/>
                    </w:numPr>
                    <w:rPr>
                      <w:sz w:val="21"/>
                      <w:highlight w:val="none"/>
                    </w:rPr>
                  </w:pPr>
                </w:p>
              </w:tc>
              <w:tc>
                <w:tcPr>
                  <w:tcW w:w="924" w:type="dxa"/>
                  <w:tcBorders>
                    <w:tl2br w:val="nil"/>
                    <w:tr2bl w:val="nil"/>
                  </w:tcBorders>
                  <w:vAlign w:val="center"/>
                </w:tcPr>
                <w:p w14:paraId="7AA94886">
                  <w:pPr>
                    <w:pStyle w:val="31"/>
                    <w:rPr>
                      <w:sz w:val="21"/>
                      <w:highlight w:val="none"/>
                    </w:rPr>
                  </w:pPr>
                  <w:r>
                    <w:rPr>
                      <w:rFonts w:hint="eastAsia"/>
                      <w:sz w:val="21"/>
                      <w:highlight w:val="none"/>
                    </w:rPr>
                    <w:t>办公室</w:t>
                  </w:r>
                </w:p>
              </w:tc>
              <w:tc>
                <w:tcPr>
                  <w:tcW w:w="992" w:type="dxa"/>
                  <w:tcBorders>
                    <w:tl2br w:val="nil"/>
                    <w:tr2bl w:val="nil"/>
                  </w:tcBorders>
                  <w:vAlign w:val="center"/>
                </w:tcPr>
                <w:p w14:paraId="724526CA">
                  <w:pPr>
                    <w:pStyle w:val="31"/>
                    <w:rPr>
                      <w:sz w:val="21"/>
                      <w:highlight w:val="none"/>
                    </w:rPr>
                  </w:pPr>
                  <w:r>
                    <w:rPr>
                      <w:rFonts w:hint="eastAsia"/>
                      <w:sz w:val="21"/>
                      <w:highlight w:val="none"/>
                    </w:rPr>
                    <w:t>1030.92</w:t>
                  </w:r>
                </w:p>
              </w:tc>
              <w:tc>
                <w:tcPr>
                  <w:tcW w:w="851" w:type="dxa"/>
                  <w:tcBorders>
                    <w:tl2br w:val="nil"/>
                    <w:tr2bl w:val="nil"/>
                  </w:tcBorders>
                  <w:vAlign w:val="center"/>
                </w:tcPr>
                <w:p w14:paraId="67A1F39F">
                  <w:pPr>
                    <w:pStyle w:val="31"/>
                    <w:rPr>
                      <w:b/>
                      <w:sz w:val="21"/>
                      <w:highlight w:val="none"/>
                    </w:rPr>
                  </w:pPr>
                  <w:r>
                    <w:rPr>
                      <w:rFonts w:hint="eastAsia"/>
                      <w:sz w:val="21"/>
                      <w:highlight w:val="none"/>
                    </w:rPr>
                    <w:t>三层</w:t>
                  </w:r>
                </w:p>
              </w:tc>
              <w:tc>
                <w:tcPr>
                  <w:tcW w:w="1275" w:type="dxa"/>
                  <w:tcBorders>
                    <w:tl2br w:val="nil"/>
                    <w:tr2bl w:val="nil"/>
                  </w:tcBorders>
                  <w:vAlign w:val="center"/>
                </w:tcPr>
                <w:p w14:paraId="446CC30E">
                  <w:pPr>
                    <w:pStyle w:val="31"/>
                    <w:rPr>
                      <w:sz w:val="21"/>
                      <w:highlight w:val="none"/>
                    </w:rPr>
                  </w:pPr>
                  <w:r>
                    <w:rPr>
                      <w:rFonts w:hint="eastAsia"/>
                      <w:sz w:val="21"/>
                      <w:highlight w:val="none"/>
                    </w:rPr>
                    <w:t>砖混结构</w:t>
                  </w:r>
                </w:p>
              </w:tc>
              <w:tc>
                <w:tcPr>
                  <w:tcW w:w="3427" w:type="dxa"/>
                  <w:tcBorders>
                    <w:tl2br w:val="nil"/>
                    <w:tr2bl w:val="nil"/>
                  </w:tcBorders>
                  <w:vAlign w:val="center"/>
                </w:tcPr>
                <w:p w14:paraId="58342A4A">
                  <w:pPr>
                    <w:pStyle w:val="31"/>
                    <w:rPr>
                      <w:sz w:val="21"/>
                      <w:highlight w:val="none"/>
                    </w:rPr>
                  </w:pPr>
                  <w:r>
                    <w:rPr>
                      <w:rFonts w:hint="eastAsia"/>
                      <w:sz w:val="21"/>
                      <w:highlight w:val="none"/>
                    </w:rPr>
                    <w:t>建筑高度12.8m，单层建筑面积343.64</w:t>
                  </w:r>
                  <w:r>
                    <w:rPr>
                      <w:sz w:val="21"/>
                      <w:highlight w:val="none"/>
                    </w:rPr>
                    <w:t>m</w:t>
                  </w:r>
                  <w:r>
                    <w:rPr>
                      <w:sz w:val="21"/>
                      <w:highlight w:val="none"/>
                      <w:vertAlign w:val="superscript"/>
                    </w:rPr>
                    <w:t>2</w:t>
                  </w:r>
                  <w:r>
                    <w:rPr>
                      <w:rFonts w:hint="eastAsia"/>
                      <w:sz w:val="21"/>
                      <w:highlight w:val="none"/>
                    </w:rPr>
                    <w:t>，一层、二层</w:t>
                  </w:r>
                  <w:r>
                    <w:rPr>
                      <w:rFonts w:hint="eastAsia"/>
                      <w:color w:val="000000" w:themeColor="text1"/>
                      <w:sz w:val="21"/>
                      <w:highlight w:val="none"/>
                      <w14:textFill>
                        <w14:solidFill>
                          <w14:schemeClr w14:val="tx1"/>
                        </w14:solidFill>
                      </w14:textFill>
                    </w:rPr>
                    <w:t>主要用于员工办公，三层为职工</w:t>
                  </w:r>
                  <w:r>
                    <w:rPr>
                      <w:rFonts w:hint="eastAsia"/>
                      <w:sz w:val="21"/>
                      <w:highlight w:val="none"/>
                    </w:rPr>
                    <w:t>宿舍（包括宿舍、淋浴间、卫生间）</w:t>
                  </w:r>
                  <w:r>
                    <w:rPr>
                      <w:rFonts w:hint="eastAsia"/>
                      <w:color w:val="000000" w:themeColor="text1"/>
                      <w:sz w:val="21"/>
                      <w:highlight w:val="none"/>
                      <w14:textFill>
                        <w14:solidFill>
                          <w14:schemeClr w14:val="tx1"/>
                        </w14:solidFill>
                      </w14:textFill>
                    </w:rPr>
                    <w:t>。</w:t>
                  </w:r>
                </w:p>
              </w:tc>
            </w:tr>
            <w:tr w14:paraId="71ACD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6E257CA6">
                  <w:pPr>
                    <w:pStyle w:val="31"/>
                    <w:numPr>
                      <w:ilvl w:val="0"/>
                      <w:numId w:val="7"/>
                    </w:numPr>
                    <w:rPr>
                      <w:sz w:val="21"/>
                      <w:highlight w:val="none"/>
                    </w:rPr>
                  </w:pPr>
                </w:p>
              </w:tc>
              <w:tc>
                <w:tcPr>
                  <w:tcW w:w="924" w:type="dxa"/>
                  <w:tcBorders>
                    <w:tl2br w:val="nil"/>
                    <w:tr2bl w:val="nil"/>
                  </w:tcBorders>
                  <w:vAlign w:val="center"/>
                </w:tcPr>
                <w:p w14:paraId="773BA15A">
                  <w:pPr>
                    <w:pStyle w:val="31"/>
                    <w:rPr>
                      <w:sz w:val="21"/>
                      <w:highlight w:val="none"/>
                    </w:rPr>
                  </w:pPr>
                  <w:r>
                    <w:rPr>
                      <w:rFonts w:hint="eastAsia"/>
                      <w:sz w:val="21"/>
                      <w:highlight w:val="none"/>
                    </w:rPr>
                    <w:t>传达室</w:t>
                  </w:r>
                </w:p>
              </w:tc>
              <w:tc>
                <w:tcPr>
                  <w:tcW w:w="992" w:type="dxa"/>
                  <w:tcBorders>
                    <w:tl2br w:val="nil"/>
                    <w:tr2bl w:val="nil"/>
                  </w:tcBorders>
                  <w:vAlign w:val="center"/>
                </w:tcPr>
                <w:p w14:paraId="4C6A9EE2">
                  <w:pPr>
                    <w:pStyle w:val="31"/>
                    <w:rPr>
                      <w:sz w:val="21"/>
                      <w:highlight w:val="none"/>
                    </w:rPr>
                  </w:pPr>
                  <w:r>
                    <w:rPr>
                      <w:rFonts w:hint="eastAsia"/>
                      <w:sz w:val="21"/>
                      <w:highlight w:val="none"/>
                    </w:rPr>
                    <w:t>24.5</w:t>
                  </w:r>
                </w:p>
              </w:tc>
              <w:tc>
                <w:tcPr>
                  <w:tcW w:w="851" w:type="dxa"/>
                  <w:tcBorders>
                    <w:tl2br w:val="nil"/>
                    <w:tr2bl w:val="nil"/>
                  </w:tcBorders>
                  <w:vAlign w:val="center"/>
                </w:tcPr>
                <w:p w14:paraId="3F1D4D6D">
                  <w:pPr>
                    <w:pStyle w:val="31"/>
                    <w:rPr>
                      <w:sz w:val="21"/>
                      <w:highlight w:val="none"/>
                    </w:rPr>
                  </w:pPr>
                  <w:r>
                    <w:rPr>
                      <w:rFonts w:hint="eastAsia"/>
                      <w:sz w:val="21"/>
                      <w:highlight w:val="none"/>
                    </w:rPr>
                    <w:t>一层</w:t>
                  </w:r>
                </w:p>
              </w:tc>
              <w:tc>
                <w:tcPr>
                  <w:tcW w:w="1275" w:type="dxa"/>
                  <w:tcBorders>
                    <w:tl2br w:val="nil"/>
                    <w:tr2bl w:val="nil"/>
                  </w:tcBorders>
                  <w:vAlign w:val="center"/>
                </w:tcPr>
                <w:p w14:paraId="7081D8D3">
                  <w:pPr>
                    <w:pStyle w:val="31"/>
                    <w:rPr>
                      <w:sz w:val="21"/>
                      <w:highlight w:val="none"/>
                    </w:rPr>
                  </w:pPr>
                  <w:r>
                    <w:rPr>
                      <w:rFonts w:hint="eastAsia"/>
                      <w:sz w:val="21"/>
                      <w:highlight w:val="none"/>
                    </w:rPr>
                    <w:t>砖混结构</w:t>
                  </w:r>
                </w:p>
              </w:tc>
              <w:tc>
                <w:tcPr>
                  <w:tcW w:w="3427" w:type="dxa"/>
                  <w:tcBorders>
                    <w:tl2br w:val="nil"/>
                    <w:tr2bl w:val="nil"/>
                  </w:tcBorders>
                  <w:vAlign w:val="center"/>
                </w:tcPr>
                <w:p w14:paraId="214EDE52">
                  <w:pPr>
                    <w:pStyle w:val="31"/>
                    <w:rPr>
                      <w:sz w:val="21"/>
                      <w:highlight w:val="none"/>
                    </w:rPr>
                  </w:pPr>
                  <w:r>
                    <w:rPr>
                      <w:rFonts w:hint="eastAsia"/>
                      <w:sz w:val="21"/>
                      <w:highlight w:val="none"/>
                    </w:rPr>
                    <w:t>层高4.2m，位于厂区东侧入口旁。</w:t>
                  </w:r>
                </w:p>
              </w:tc>
            </w:tr>
            <w:tr w14:paraId="7EE2E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6D8CA964">
                  <w:pPr>
                    <w:pStyle w:val="31"/>
                    <w:numPr>
                      <w:ilvl w:val="0"/>
                      <w:numId w:val="7"/>
                    </w:numPr>
                    <w:rPr>
                      <w:sz w:val="21"/>
                      <w:highlight w:val="none"/>
                    </w:rPr>
                  </w:pPr>
                </w:p>
              </w:tc>
              <w:tc>
                <w:tcPr>
                  <w:tcW w:w="924" w:type="dxa"/>
                  <w:tcBorders>
                    <w:tl2br w:val="nil"/>
                    <w:tr2bl w:val="nil"/>
                  </w:tcBorders>
                  <w:vAlign w:val="center"/>
                </w:tcPr>
                <w:p w14:paraId="294F7530">
                  <w:pPr>
                    <w:pStyle w:val="31"/>
                    <w:rPr>
                      <w:sz w:val="21"/>
                      <w:highlight w:val="none"/>
                    </w:rPr>
                  </w:pPr>
                  <w:r>
                    <w:rPr>
                      <w:rFonts w:hint="eastAsia"/>
                      <w:sz w:val="21"/>
                      <w:highlight w:val="none"/>
                    </w:rPr>
                    <w:t>危废暂存间</w:t>
                  </w:r>
                </w:p>
              </w:tc>
              <w:tc>
                <w:tcPr>
                  <w:tcW w:w="992" w:type="dxa"/>
                  <w:tcBorders>
                    <w:tl2br w:val="nil"/>
                    <w:tr2bl w:val="nil"/>
                  </w:tcBorders>
                  <w:vAlign w:val="center"/>
                </w:tcPr>
                <w:p w14:paraId="58792AA4">
                  <w:pPr>
                    <w:pStyle w:val="31"/>
                    <w:rPr>
                      <w:rFonts w:hint="default" w:eastAsia="宋体"/>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40</w:t>
                  </w:r>
                </w:p>
              </w:tc>
              <w:tc>
                <w:tcPr>
                  <w:tcW w:w="851" w:type="dxa"/>
                  <w:tcBorders>
                    <w:tl2br w:val="nil"/>
                    <w:tr2bl w:val="nil"/>
                  </w:tcBorders>
                  <w:vAlign w:val="center"/>
                </w:tcPr>
                <w:p w14:paraId="002D3089">
                  <w:pPr>
                    <w:pStyle w:val="31"/>
                    <w:rPr>
                      <w:sz w:val="21"/>
                      <w:highlight w:val="none"/>
                    </w:rPr>
                  </w:pPr>
                  <w:r>
                    <w:rPr>
                      <w:rFonts w:hint="eastAsia"/>
                      <w:sz w:val="21"/>
                      <w:highlight w:val="none"/>
                    </w:rPr>
                    <w:t>一层</w:t>
                  </w:r>
                </w:p>
              </w:tc>
              <w:tc>
                <w:tcPr>
                  <w:tcW w:w="1275" w:type="dxa"/>
                  <w:tcBorders>
                    <w:tl2br w:val="nil"/>
                    <w:tr2bl w:val="nil"/>
                  </w:tcBorders>
                  <w:vAlign w:val="center"/>
                </w:tcPr>
                <w:p w14:paraId="384A01CB">
                  <w:pPr>
                    <w:pStyle w:val="31"/>
                    <w:rPr>
                      <w:b/>
                      <w:color w:val="000000" w:themeColor="text1"/>
                      <w:sz w:val="21"/>
                      <w:highlight w:val="none"/>
                      <w14:textFill>
                        <w14:solidFill>
                          <w14:schemeClr w14:val="tx1"/>
                        </w14:solidFill>
                      </w14:textFill>
                    </w:rPr>
                  </w:pPr>
                  <w:r>
                    <w:rPr>
                      <w:rFonts w:hint="eastAsia"/>
                      <w:sz w:val="21"/>
                      <w:highlight w:val="none"/>
                    </w:rPr>
                    <w:t>钢结构</w:t>
                  </w:r>
                </w:p>
              </w:tc>
              <w:tc>
                <w:tcPr>
                  <w:tcW w:w="3427" w:type="dxa"/>
                  <w:tcBorders>
                    <w:tl2br w:val="nil"/>
                    <w:tr2bl w:val="nil"/>
                  </w:tcBorders>
                  <w:vAlign w:val="center"/>
                </w:tcPr>
                <w:p w14:paraId="0644B00F">
                  <w:pPr>
                    <w:pStyle w:val="31"/>
                    <w:rPr>
                      <w:sz w:val="21"/>
                      <w:highlight w:val="none"/>
                    </w:rPr>
                  </w:pPr>
                  <w:r>
                    <w:rPr>
                      <w:rFonts w:hint="eastAsia"/>
                      <w:sz w:val="21"/>
                      <w:highlight w:val="none"/>
                      <w:lang w:val="en-US" w:eastAsia="zh-CN"/>
                    </w:rPr>
                    <w:t>2座，每座建筑面积20㎡，</w:t>
                  </w:r>
                  <w:r>
                    <w:rPr>
                      <w:rFonts w:hint="eastAsia"/>
                      <w:sz w:val="21"/>
                      <w:highlight w:val="none"/>
                    </w:rPr>
                    <w:t>主要用于存放生产过程产生的危险废物，地面及裙角防腐防渗，位于2#厂房内一层东侧。</w:t>
                  </w:r>
                </w:p>
              </w:tc>
            </w:tr>
            <w:tr w14:paraId="3C5A7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32783386">
                  <w:pPr>
                    <w:pStyle w:val="31"/>
                    <w:numPr>
                      <w:ilvl w:val="0"/>
                      <w:numId w:val="7"/>
                    </w:numPr>
                    <w:rPr>
                      <w:sz w:val="21"/>
                      <w:highlight w:val="none"/>
                    </w:rPr>
                  </w:pPr>
                </w:p>
              </w:tc>
              <w:tc>
                <w:tcPr>
                  <w:tcW w:w="924" w:type="dxa"/>
                  <w:tcBorders>
                    <w:tl2br w:val="nil"/>
                    <w:tr2bl w:val="nil"/>
                  </w:tcBorders>
                  <w:vAlign w:val="center"/>
                </w:tcPr>
                <w:p w14:paraId="62E486EB">
                  <w:pPr>
                    <w:pStyle w:val="31"/>
                    <w:rPr>
                      <w:sz w:val="21"/>
                      <w:highlight w:val="none"/>
                    </w:rPr>
                  </w:pPr>
                  <w:r>
                    <w:rPr>
                      <w:rFonts w:hint="eastAsia"/>
                      <w:sz w:val="21"/>
                      <w:highlight w:val="none"/>
                    </w:rPr>
                    <w:t>一般工业固废暂存间</w:t>
                  </w:r>
                </w:p>
              </w:tc>
              <w:tc>
                <w:tcPr>
                  <w:tcW w:w="992" w:type="dxa"/>
                  <w:tcBorders>
                    <w:tl2br w:val="nil"/>
                    <w:tr2bl w:val="nil"/>
                  </w:tcBorders>
                  <w:vAlign w:val="center"/>
                </w:tcPr>
                <w:p w14:paraId="2FA0BB9F">
                  <w:pPr>
                    <w:pStyle w:val="31"/>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30</w:t>
                  </w:r>
                </w:p>
              </w:tc>
              <w:tc>
                <w:tcPr>
                  <w:tcW w:w="851" w:type="dxa"/>
                  <w:tcBorders>
                    <w:tl2br w:val="nil"/>
                    <w:tr2bl w:val="nil"/>
                  </w:tcBorders>
                  <w:vAlign w:val="center"/>
                </w:tcPr>
                <w:p w14:paraId="6A8E5BF0">
                  <w:pPr>
                    <w:pStyle w:val="31"/>
                    <w:rPr>
                      <w:sz w:val="21"/>
                      <w:highlight w:val="none"/>
                    </w:rPr>
                  </w:pPr>
                  <w:r>
                    <w:rPr>
                      <w:rFonts w:hint="eastAsia"/>
                      <w:sz w:val="21"/>
                      <w:highlight w:val="none"/>
                    </w:rPr>
                    <w:t>一层</w:t>
                  </w:r>
                </w:p>
              </w:tc>
              <w:tc>
                <w:tcPr>
                  <w:tcW w:w="1275" w:type="dxa"/>
                  <w:tcBorders>
                    <w:tl2br w:val="nil"/>
                    <w:tr2bl w:val="nil"/>
                  </w:tcBorders>
                  <w:vAlign w:val="center"/>
                </w:tcPr>
                <w:p w14:paraId="2C690E3A">
                  <w:pPr>
                    <w:pStyle w:val="31"/>
                    <w:rPr>
                      <w:b/>
                      <w:color w:val="000000" w:themeColor="text1"/>
                      <w:sz w:val="21"/>
                      <w:highlight w:val="none"/>
                      <w14:textFill>
                        <w14:solidFill>
                          <w14:schemeClr w14:val="tx1"/>
                        </w14:solidFill>
                      </w14:textFill>
                    </w:rPr>
                  </w:pPr>
                  <w:r>
                    <w:rPr>
                      <w:rFonts w:hint="eastAsia"/>
                      <w:sz w:val="21"/>
                      <w:highlight w:val="none"/>
                    </w:rPr>
                    <w:t>钢结构</w:t>
                  </w:r>
                </w:p>
              </w:tc>
              <w:tc>
                <w:tcPr>
                  <w:tcW w:w="3427" w:type="dxa"/>
                  <w:tcBorders>
                    <w:tl2br w:val="nil"/>
                    <w:tr2bl w:val="nil"/>
                  </w:tcBorders>
                  <w:vAlign w:val="center"/>
                </w:tcPr>
                <w:p w14:paraId="309943E2">
                  <w:pPr>
                    <w:pStyle w:val="31"/>
                    <w:rPr>
                      <w:sz w:val="21"/>
                      <w:highlight w:val="none"/>
                    </w:rPr>
                  </w:pPr>
                  <w:r>
                    <w:rPr>
                      <w:rFonts w:hint="eastAsia"/>
                      <w:sz w:val="21"/>
                      <w:highlight w:val="none"/>
                    </w:rPr>
                    <w:t>主要用于存放除尘灰、不合格工件、废下脚料等一般固废，位于2#厂房内一层东侧。</w:t>
                  </w:r>
                </w:p>
              </w:tc>
            </w:tr>
            <w:tr w14:paraId="25F4B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5C1112ED">
                  <w:pPr>
                    <w:pStyle w:val="31"/>
                    <w:numPr>
                      <w:ilvl w:val="0"/>
                      <w:numId w:val="7"/>
                    </w:numPr>
                    <w:rPr>
                      <w:sz w:val="21"/>
                      <w:highlight w:val="none"/>
                    </w:rPr>
                  </w:pPr>
                </w:p>
              </w:tc>
              <w:tc>
                <w:tcPr>
                  <w:tcW w:w="924" w:type="dxa"/>
                  <w:tcBorders>
                    <w:tl2br w:val="nil"/>
                    <w:tr2bl w:val="nil"/>
                  </w:tcBorders>
                  <w:vAlign w:val="center"/>
                </w:tcPr>
                <w:p w14:paraId="1A6071A2">
                  <w:pPr>
                    <w:pStyle w:val="31"/>
                    <w:rPr>
                      <w:sz w:val="21"/>
                      <w:highlight w:val="none"/>
                    </w:rPr>
                  </w:pPr>
                  <w:r>
                    <w:rPr>
                      <w:rFonts w:hint="eastAsia"/>
                      <w:sz w:val="21"/>
                      <w:highlight w:val="none"/>
                    </w:rPr>
                    <w:t>垃圾站</w:t>
                  </w:r>
                </w:p>
              </w:tc>
              <w:tc>
                <w:tcPr>
                  <w:tcW w:w="992" w:type="dxa"/>
                  <w:tcBorders>
                    <w:tl2br w:val="nil"/>
                    <w:tr2bl w:val="nil"/>
                  </w:tcBorders>
                  <w:vAlign w:val="center"/>
                </w:tcPr>
                <w:p w14:paraId="09C989C1">
                  <w:pPr>
                    <w:pStyle w:val="31"/>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30</w:t>
                  </w:r>
                </w:p>
              </w:tc>
              <w:tc>
                <w:tcPr>
                  <w:tcW w:w="851" w:type="dxa"/>
                  <w:tcBorders>
                    <w:tl2br w:val="nil"/>
                    <w:tr2bl w:val="nil"/>
                  </w:tcBorders>
                  <w:vAlign w:val="center"/>
                </w:tcPr>
                <w:p w14:paraId="49DA1D65">
                  <w:pPr>
                    <w:pStyle w:val="31"/>
                    <w:rPr>
                      <w:sz w:val="21"/>
                      <w:highlight w:val="none"/>
                    </w:rPr>
                  </w:pPr>
                  <w:r>
                    <w:rPr>
                      <w:rFonts w:hint="eastAsia"/>
                      <w:sz w:val="21"/>
                      <w:highlight w:val="none"/>
                    </w:rPr>
                    <w:t>一层</w:t>
                  </w:r>
                </w:p>
              </w:tc>
              <w:tc>
                <w:tcPr>
                  <w:tcW w:w="1275" w:type="dxa"/>
                  <w:tcBorders>
                    <w:tl2br w:val="nil"/>
                    <w:tr2bl w:val="nil"/>
                  </w:tcBorders>
                  <w:vAlign w:val="center"/>
                </w:tcPr>
                <w:p w14:paraId="02360E4D">
                  <w:pPr>
                    <w:pStyle w:val="31"/>
                    <w:rPr>
                      <w:b/>
                      <w:color w:val="000000" w:themeColor="text1"/>
                      <w:sz w:val="21"/>
                      <w:highlight w:val="none"/>
                      <w14:textFill>
                        <w14:solidFill>
                          <w14:schemeClr w14:val="tx1"/>
                        </w14:solidFill>
                      </w14:textFill>
                    </w:rPr>
                  </w:pPr>
                  <w:r>
                    <w:rPr>
                      <w:rFonts w:hint="eastAsia"/>
                      <w:sz w:val="21"/>
                      <w:highlight w:val="none"/>
                    </w:rPr>
                    <w:t>钢结构</w:t>
                  </w:r>
                </w:p>
              </w:tc>
              <w:tc>
                <w:tcPr>
                  <w:tcW w:w="3427" w:type="dxa"/>
                  <w:tcBorders>
                    <w:tl2br w:val="nil"/>
                    <w:tr2bl w:val="nil"/>
                  </w:tcBorders>
                  <w:vAlign w:val="center"/>
                </w:tcPr>
                <w:p w14:paraId="17256E51">
                  <w:pPr>
                    <w:pStyle w:val="31"/>
                    <w:rPr>
                      <w:sz w:val="21"/>
                      <w:highlight w:val="none"/>
                    </w:rPr>
                  </w:pPr>
                  <w:r>
                    <w:rPr>
                      <w:rFonts w:hint="eastAsia"/>
                      <w:sz w:val="21"/>
                      <w:highlight w:val="none"/>
                    </w:rPr>
                    <w:t>主要用于存放生产过程产生的废包装箱、生活垃圾，位于2#厂房内一层东侧。</w:t>
                  </w:r>
                </w:p>
              </w:tc>
            </w:tr>
            <w:tr w14:paraId="69AE3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tcBorders>
                    <w:tl2br w:val="nil"/>
                    <w:tr2bl w:val="nil"/>
                  </w:tcBorders>
                  <w:vAlign w:val="center"/>
                </w:tcPr>
                <w:p w14:paraId="2EE028FC">
                  <w:pPr>
                    <w:pStyle w:val="31"/>
                    <w:numPr>
                      <w:ilvl w:val="0"/>
                      <w:numId w:val="7"/>
                    </w:numPr>
                    <w:rPr>
                      <w:sz w:val="21"/>
                      <w:highlight w:val="none"/>
                    </w:rPr>
                  </w:pPr>
                </w:p>
              </w:tc>
              <w:tc>
                <w:tcPr>
                  <w:tcW w:w="924" w:type="dxa"/>
                  <w:tcBorders>
                    <w:tl2br w:val="nil"/>
                    <w:tr2bl w:val="nil"/>
                  </w:tcBorders>
                  <w:vAlign w:val="center"/>
                </w:tcPr>
                <w:p w14:paraId="7D2FDA92">
                  <w:pPr>
                    <w:pStyle w:val="31"/>
                    <w:rPr>
                      <w:sz w:val="21"/>
                      <w:highlight w:val="none"/>
                    </w:rPr>
                  </w:pPr>
                  <w:r>
                    <w:rPr>
                      <w:rFonts w:hint="eastAsia"/>
                      <w:sz w:val="21"/>
                      <w:highlight w:val="none"/>
                    </w:rPr>
                    <w:t>危险品库房</w:t>
                  </w:r>
                </w:p>
              </w:tc>
              <w:tc>
                <w:tcPr>
                  <w:tcW w:w="992" w:type="dxa"/>
                  <w:tcBorders>
                    <w:tl2br w:val="nil"/>
                    <w:tr2bl w:val="nil"/>
                  </w:tcBorders>
                  <w:vAlign w:val="center"/>
                </w:tcPr>
                <w:p w14:paraId="42583522">
                  <w:pPr>
                    <w:pStyle w:val="31"/>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30</w:t>
                  </w:r>
                </w:p>
              </w:tc>
              <w:tc>
                <w:tcPr>
                  <w:tcW w:w="851" w:type="dxa"/>
                  <w:tcBorders>
                    <w:tl2br w:val="nil"/>
                    <w:tr2bl w:val="nil"/>
                  </w:tcBorders>
                  <w:vAlign w:val="center"/>
                </w:tcPr>
                <w:p w14:paraId="26B5FEF0">
                  <w:pPr>
                    <w:pStyle w:val="31"/>
                    <w:rPr>
                      <w:sz w:val="21"/>
                      <w:highlight w:val="none"/>
                    </w:rPr>
                  </w:pPr>
                  <w:r>
                    <w:rPr>
                      <w:rFonts w:hint="eastAsia"/>
                      <w:sz w:val="21"/>
                      <w:highlight w:val="none"/>
                    </w:rPr>
                    <w:t>一层</w:t>
                  </w:r>
                </w:p>
              </w:tc>
              <w:tc>
                <w:tcPr>
                  <w:tcW w:w="1275" w:type="dxa"/>
                  <w:tcBorders>
                    <w:tl2br w:val="nil"/>
                    <w:tr2bl w:val="nil"/>
                  </w:tcBorders>
                  <w:vAlign w:val="center"/>
                </w:tcPr>
                <w:p w14:paraId="757816F6">
                  <w:pPr>
                    <w:pStyle w:val="31"/>
                    <w:rPr>
                      <w:b/>
                      <w:color w:val="000000" w:themeColor="text1"/>
                      <w:sz w:val="21"/>
                      <w:highlight w:val="none"/>
                      <w14:textFill>
                        <w14:solidFill>
                          <w14:schemeClr w14:val="tx1"/>
                        </w14:solidFill>
                      </w14:textFill>
                    </w:rPr>
                  </w:pPr>
                  <w:r>
                    <w:rPr>
                      <w:rFonts w:hint="eastAsia"/>
                      <w:sz w:val="21"/>
                      <w:highlight w:val="none"/>
                    </w:rPr>
                    <w:t>钢结构</w:t>
                  </w:r>
                </w:p>
              </w:tc>
              <w:tc>
                <w:tcPr>
                  <w:tcW w:w="3427" w:type="dxa"/>
                  <w:tcBorders>
                    <w:tl2br w:val="nil"/>
                    <w:tr2bl w:val="nil"/>
                  </w:tcBorders>
                  <w:vAlign w:val="center"/>
                </w:tcPr>
                <w:p w14:paraId="3832A4A7">
                  <w:pPr>
                    <w:pStyle w:val="31"/>
                    <w:rPr>
                      <w:sz w:val="21"/>
                      <w:highlight w:val="none"/>
                    </w:rPr>
                  </w:pPr>
                  <w:r>
                    <w:rPr>
                      <w:rFonts w:hint="eastAsia"/>
                      <w:sz w:val="21"/>
                      <w:highlight w:val="none"/>
                    </w:rPr>
                    <w:t>主要用于切削液、液压油、润滑油、</w:t>
                  </w:r>
                  <w:r>
                    <w:rPr>
                      <w:rFonts w:hint="eastAsia"/>
                      <w:sz w:val="21"/>
                      <w:highlight w:val="none"/>
                      <w:lang w:eastAsia="zh-CN"/>
                    </w:rPr>
                    <w:t>淬火油</w:t>
                  </w:r>
                  <w:r>
                    <w:rPr>
                      <w:rFonts w:hint="eastAsia"/>
                      <w:sz w:val="21"/>
                      <w:highlight w:val="none"/>
                    </w:rPr>
                    <w:t>、甲醇、丙烷等危险物品存放，地面及裙角防腐防渗，位于2#厂房内一层东侧。</w:t>
                  </w:r>
                </w:p>
              </w:tc>
            </w:tr>
          </w:tbl>
          <w:p w14:paraId="27C34F95">
            <w:pPr>
              <w:adjustRightInd w:val="0"/>
              <w:snapToGrid w:val="0"/>
              <w:spacing w:line="400" w:lineRule="exact"/>
              <w:ind w:firstLine="420" w:firstLineChars="0"/>
              <w:jc w:val="left"/>
              <w:rPr>
                <w:highlight w:val="none"/>
              </w:rPr>
            </w:pPr>
            <w:r>
              <w:rPr>
                <w:rFonts w:hint="eastAsia"/>
                <w:highlight w:val="none"/>
              </w:rPr>
              <w:t>7、</w:t>
            </w:r>
            <w:r>
              <w:rPr>
                <w:highlight w:val="none"/>
              </w:rPr>
              <w:t>主要</w:t>
            </w:r>
            <w:r>
              <w:rPr>
                <w:rFonts w:hint="eastAsia"/>
                <w:highlight w:val="none"/>
              </w:rPr>
              <w:t>工艺概述</w:t>
            </w:r>
          </w:p>
          <w:p w14:paraId="55D6698F">
            <w:pPr>
              <w:adjustRightInd w:val="0"/>
              <w:snapToGrid w:val="0"/>
              <w:spacing w:line="400" w:lineRule="exact"/>
              <w:ind w:firstLine="420" w:firstLineChars="0"/>
              <w:jc w:val="left"/>
              <w:rPr>
                <w:highlight w:val="none"/>
              </w:rPr>
            </w:pPr>
            <w:r>
              <w:rPr>
                <w:rFonts w:hint="eastAsia"/>
                <w:highlight w:val="none"/>
              </w:rPr>
              <w:t>主要生产工艺为圆钢→热前加工（下料/锻造→钻孔→粗车→精车→出齿/加工中心钻铣）→热处理（氧化前清洗→预氧化→渗碳→淬火→清洗→回火→检验）→抛丸清理→热后车磨（部分工件需要）→组装→热后车磨→入库包装销售。</w:t>
            </w:r>
          </w:p>
          <w:p w14:paraId="7C6AEE16">
            <w:pPr>
              <w:ind w:firstLine="480"/>
              <w:rPr>
                <w:highlight w:val="none"/>
              </w:rPr>
            </w:pPr>
            <w:r>
              <w:rPr>
                <w:rFonts w:hint="eastAsia"/>
                <w:highlight w:val="none"/>
              </w:rPr>
              <w:t>8、</w:t>
            </w:r>
            <w:r>
              <w:rPr>
                <w:highlight w:val="none"/>
              </w:rPr>
              <w:t>主要原辅材料及能源消耗见下表。</w:t>
            </w:r>
          </w:p>
          <w:p w14:paraId="7D78C04F">
            <w:pPr>
              <w:pStyle w:val="36"/>
              <w:rPr>
                <w:sz w:val="21"/>
                <w:szCs w:val="21"/>
                <w:highlight w:val="none"/>
              </w:rPr>
            </w:pPr>
            <w:r>
              <w:rPr>
                <w:sz w:val="21"/>
                <w:szCs w:val="21"/>
                <w:highlight w:val="none"/>
              </w:rPr>
              <w:t>表</w:t>
            </w:r>
            <w:r>
              <w:rPr>
                <w:rFonts w:hint="eastAsia"/>
                <w:sz w:val="21"/>
                <w:szCs w:val="21"/>
                <w:highlight w:val="none"/>
              </w:rPr>
              <w:t>2-4  本项目</w:t>
            </w:r>
            <w:r>
              <w:rPr>
                <w:sz w:val="21"/>
                <w:szCs w:val="21"/>
                <w:highlight w:val="none"/>
              </w:rPr>
              <w:t>主要原辅材料及能源消耗表</w:t>
            </w:r>
          </w:p>
          <w:tbl>
            <w:tblPr>
              <w:tblStyle w:val="22"/>
              <w:tblW w:w="80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9"/>
              <w:gridCol w:w="1471"/>
              <w:gridCol w:w="764"/>
              <w:gridCol w:w="1214"/>
              <w:gridCol w:w="886"/>
              <w:gridCol w:w="900"/>
              <w:gridCol w:w="1105"/>
              <w:gridCol w:w="1087"/>
            </w:tblGrid>
            <w:tr w14:paraId="26758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Align w:val="center"/>
                </w:tcPr>
                <w:p w14:paraId="543F13CF">
                  <w:pPr>
                    <w:pStyle w:val="31"/>
                    <w:spacing w:line="340" w:lineRule="exact"/>
                    <w:rPr>
                      <w:sz w:val="21"/>
                      <w:highlight w:val="none"/>
                    </w:rPr>
                  </w:pPr>
                  <w:r>
                    <w:rPr>
                      <w:sz w:val="21"/>
                      <w:highlight w:val="none"/>
                    </w:rPr>
                    <w:t>序号</w:t>
                  </w:r>
                </w:p>
              </w:tc>
              <w:tc>
                <w:tcPr>
                  <w:tcW w:w="1471" w:type="dxa"/>
                  <w:vAlign w:val="center"/>
                </w:tcPr>
                <w:p w14:paraId="228C5867">
                  <w:pPr>
                    <w:pStyle w:val="31"/>
                    <w:spacing w:line="340" w:lineRule="exact"/>
                    <w:rPr>
                      <w:sz w:val="21"/>
                      <w:highlight w:val="none"/>
                    </w:rPr>
                  </w:pPr>
                  <w:r>
                    <w:rPr>
                      <w:sz w:val="21"/>
                      <w:highlight w:val="none"/>
                    </w:rPr>
                    <w:t>名称</w:t>
                  </w:r>
                </w:p>
              </w:tc>
              <w:tc>
                <w:tcPr>
                  <w:tcW w:w="764" w:type="dxa"/>
                  <w:vAlign w:val="center"/>
                </w:tcPr>
                <w:p w14:paraId="63E3EA15">
                  <w:pPr>
                    <w:pStyle w:val="31"/>
                    <w:spacing w:line="340" w:lineRule="exact"/>
                    <w:rPr>
                      <w:sz w:val="21"/>
                      <w:highlight w:val="none"/>
                    </w:rPr>
                  </w:pPr>
                  <w:r>
                    <w:rPr>
                      <w:sz w:val="21"/>
                      <w:highlight w:val="none"/>
                    </w:rPr>
                    <w:t>单位</w:t>
                  </w:r>
                </w:p>
              </w:tc>
              <w:tc>
                <w:tcPr>
                  <w:tcW w:w="1214" w:type="dxa"/>
                  <w:vAlign w:val="center"/>
                </w:tcPr>
                <w:p w14:paraId="6BBDEF40">
                  <w:pPr>
                    <w:pStyle w:val="31"/>
                    <w:spacing w:line="340" w:lineRule="exact"/>
                    <w:rPr>
                      <w:sz w:val="21"/>
                      <w:highlight w:val="none"/>
                    </w:rPr>
                  </w:pPr>
                  <w:r>
                    <w:rPr>
                      <w:rFonts w:hint="eastAsia"/>
                      <w:sz w:val="21"/>
                      <w:highlight w:val="none"/>
                    </w:rPr>
                    <w:t>年</w:t>
                  </w:r>
                  <w:r>
                    <w:rPr>
                      <w:sz w:val="21"/>
                      <w:highlight w:val="none"/>
                    </w:rPr>
                    <w:t>消耗量</w:t>
                  </w:r>
                </w:p>
              </w:tc>
              <w:tc>
                <w:tcPr>
                  <w:tcW w:w="886" w:type="dxa"/>
                  <w:vAlign w:val="center"/>
                </w:tcPr>
                <w:p w14:paraId="11FD0C75">
                  <w:pPr>
                    <w:pStyle w:val="31"/>
                    <w:spacing w:line="340" w:lineRule="exact"/>
                    <w:rPr>
                      <w:sz w:val="21"/>
                      <w:highlight w:val="none"/>
                    </w:rPr>
                  </w:pPr>
                  <w:r>
                    <w:rPr>
                      <w:rFonts w:hint="eastAsia"/>
                      <w:sz w:val="21"/>
                      <w:highlight w:val="none"/>
                    </w:rPr>
                    <w:t>用途</w:t>
                  </w:r>
                </w:p>
              </w:tc>
              <w:tc>
                <w:tcPr>
                  <w:tcW w:w="900" w:type="dxa"/>
                  <w:vAlign w:val="center"/>
                </w:tcPr>
                <w:p w14:paraId="5391AFB4">
                  <w:pPr>
                    <w:pStyle w:val="31"/>
                    <w:spacing w:line="340" w:lineRule="exact"/>
                    <w:rPr>
                      <w:sz w:val="21"/>
                      <w:highlight w:val="none"/>
                    </w:rPr>
                  </w:pPr>
                  <w:r>
                    <w:rPr>
                      <w:rFonts w:hint="eastAsia"/>
                      <w:sz w:val="21"/>
                      <w:highlight w:val="none"/>
                    </w:rPr>
                    <w:t>储存方式</w:t>
                  </w:r>
                </w:p>
              </w:tc>
              <w:tc>
                <w:tcPr>
                  <w:tcW w:w="1105" w:type="dxa"/>
                  <w:vAlign w:val="center"/>
                </w:tcPr>
                <w:p w14:paraId="06A40B6D">
                  <w:pPr>
                    <w:pStyle w:val="31"/>
                    <w:spacing w:line="340" w:lineRule="exact"/>
                    <w:rPr>
                      <w:sz w:val="21"/>
                      <w:highlight w:val="none"/>
                    </w:rPr>
                  </w:pPr>
                  <w:r>
                    <w:rPr>
                      <w:rFonts w:hint="eastAsia"/>
                      <w:sz w:val="21"/>
                      <w:highlight w:val="none"/>
                    </w:rPr>
                    <w:t>位置</w:t>
                  </w:r>
                </w:p>
              </w:tc>
              <w:tc>
                <w:tcPr>
                  <w:tcW w:w="1087" w:type="dxa"/>
                  <w:vAlign w:val="center"/>
                </w:tcPr>
                <w:p w14:paraId="27FFCAB2">
                  <w:pPr>
                    <w:pStyle w:val="31"/>
                    <w:spacing w:line="340" w:lineRule="exact"/>
                    <w:rPr>
                      <w:sz w:val="21"/>
                      <w:highlight w:val="none"/>
                    </w:rPr>
                  </w:pPr>
                  <w:r>
                    <w:rPr>
                      <w:rFonts w:hint="eastAsia"/>
                      <w:sz w:val="21"/>
                      <w:highlight w:val="none"/>
                    </w:rPr>
                    <w:t>备注</w:t>
                  </w:r>
                </w:p>
              </w:tc>
            </w:tr>
            <w:tr w14:paraId="50271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restart"/>
                  <w:vAlign w:val="center"/>
                </w:tcPr>
                <w:p w14:paraId="5C529473">
                  <w:pPr>
                    <w:pStyle w:val="31"/>
                    <w:spacing w:line="340" w:lineRule="exact"/>
                    <w:rPr>
                      <w:sz w:val="21"/>
                      <w:highlight w:val="none"/>
                    </w:rPr>
                  </w:pPr>
                  <w:r>
                    <w:rPr>
                      <w:rFonts w:hint="eastAsia"/>
                      <w:sz w:val="21"/>
                      <w:highlight w:val="none"/>
                    </w:rPr>
                    <w:t>原料</w:t>
                  </w:r>
                </w:p>
              </w:tc>
              <w:tc>
                <w:tcPr>
                  <w:tcW w:w="1471" w:type="dxa"/>
                  <w:vAlign w:val="center"/>
                </w:tcPr>
                <w:p w14:paraId="66C5ABA5">
                  <w:pPr>
                    <w:pStyle w:val="31"/>
                    <w:spacing w:line="340" w:lineRule="exact"/>
                    <w:rPr>
                      <w:sz w:val="21"/>
                      <w:highlight w:val="none"/>
                    </w:rPr>
                  </w:pPr>
                  <w:r>
                    <w:rPr>
                      <w:sz w:val="21"/>
                      <w:highlight w:val="none"/>
                    </w:rPr>
                    <w:t>圆钢</w:t>
                  </w:r>
                  <w:r>
                    <w:rPr>
                      <w:rFonts w:hint="eastAsia"/>
                      <w:sz w:val="21"/>
                      <w:highlight w:val="none"/>
                    </w:rPr>
                    <w:t>φ25</w:t>
                  </w:r>
                </w:p>
              </w:tc>
              <w:tc>
                <w:tcPr>
                  <w:tcW w:w="764" w:type="dxa"/>
                  <w:vAlign w:val="center"/>
                </w:tcPr>
                <w:p w14:paraId="432F238B">
                  <w:pPr>
                    <w:pStyle w:val="31"/>
                    <w:spacing w:line="340" w:lineRule="exact"/>
                    <w:rPr>
                      <w:sz w:val="21"/>
                      <w:highlight w:val="none"/>
                    </w:rPr>
                  </w:pPr>
                  <w:r>
                    <w:rPr>
                      <w:rFonts w:hint="eastAsia"/>
                      <w:sz w:val="21"/>
                      <w:highlight w:val="none"/>
                    </w:rPr>
                    <w:t>t/a</w:t>
                  </w:r>
                </w:p>
              </w:tc>
              <w:tc>
                <w:tcPr>
                  <w:tcW w:w="1214" w:type="dxa"/>
                  <w:vAlign w:val="center"/>
                </w:tcPr>
                <w:p w14:paraId="32585647">
                  <w:pPr>
                    <w:pStyle w:val="31"/>
                    <w:spacing w:line="340" w:lineRule="exact"/>
                    <w:rPr>
                      <w:sz w:val="21"/>
                      <w:highlight w:val="none"/>
                    </w:rPr>
                  </w:pPr>
                  <w:r>
                    <w:rPr>
                      <w:rFonts w:hint="eastAsia"/>
                      <w:sz w:val="21"/>
                      <w:highlight w:val="none"/>
                    </w:rPr>
                    <w:t>500</w:t>
                  </w:r>
                </w:p>
              </w:tc>
              <w:tc>
                <w:tcPr>
                  <w:tcW w:w="886" w:type="dxa"/>
                  <w:vMerge w:val="restart"/>
                  <w:vAlign w:val="center"/>
                </w:tcPr>
                <w:p w14:paraId="7ECCF8C2">
                  <w:pPr>
                    <w:pStyle w:val="31"/>
                    <w:spacing w:line="340" w:lineRule="exact"/>
                    <w:rPr>
                      <w:sz w:val="21"/>
                      <w:highlight w:val="none"/>
                    </w:rPr>
                  </w:pPr>
                  <w:r>
                    <w:rPr>
                      <w:rFonts w:hint="eastAsia"/>
                      <w:sz w:val="21"/>
                      <w:highlight w:val="none"/>
                    </w:rPr>
                    <w:t>加工齿轮</w:t>
                  </w:r>
                </w:p>
              </w:tc>
              <w:tc>
                <w:tcPr>
                  <w:tcW w:w="900" w:type="dxa"/>
                  <w:vAlign w:val="center"/>
                </w:tcPr>
                <w:p w14:paraId="6845EA86">
                  <w:pPr>
                    <w:pStyle w:val="31"/>
                    <w:spacing w:line="340" w:lineRule="exact"/>
                    <w:rPr>
                      <w:sz w:val="21"/>
                      <w:highlight w:val="none"/>
                    </w:rPr>
                  </w:pPr>
                  <w:r>
                    <w:rPr>
                      <w:rFonts w:hint="eastAsia"/>
                      <w:sz w:val="21"/>
                      <w:highlight w:val="none"/>
                    </w:rPr>
                    <w:t>捆装</w:t>
                  </w:r>
                </w:p>
              </w:tc>
              <w:tc>
                <w:tcPr>
                  <w:tcW w:w="1105" w:type="dxa"/>
                  <w:vAlign w:val="center"/>
                </w:tcPr>
                <w:p w14:paraId="6706E41A">
                  <w:pPr>
                    <w:pStyle w:val="31"/>
                    <w:spacing w:line="340" w:lineRule="exact"/>
                    <w:rPr>
                      <w:sz w:val="21"/>
                      <w:highlight w:val="none"/>
                    </w:rPr>
                  </w:pPr>
                  <w:r>
                    <w:rPr>
                      <w:rFonts w:hint="eastAsia"/>
                      <w:sz w:val="21"/>
                      <w:highlight w:val="none"/>
                    </w:rPr>
                    <w:t>原料区</w:t>
                  </w:r>
                </w:p>
              </w:tc>
              <w:tc>
                <w:tcPr>
                  <w:tcW w:w="1087" w:type="dxa"/>
                  <w:vAlign w:val="center"/>
                </w:tcPr>
                <w:p w14:paraId="6A3E33E6">
                  <w:pPr>
                    <w:pStyle w:val="31"/>
                    <w:spacing w:line="340" w:lineRule="exact"/>
                    <w:rPr>
                      <w:sz w:val="21"/>
                      <w:highlight w:val="none"/>
                    </w:rPr>
                  </w:pPr>
                  <w:r>
                    <w:rPr>
                      <w:rFonts w:hint="eastAsia"/>
                      <w:sz w:val="21"/>
                      <w:highlight w:val="none"/>
                    </w:rPr>
                    <w:t>/</w:t>
                  </w:r>
                </w:p>
              </w:tc>
            </w:tr>
            <w:tr w14:paraId="0AFB3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494DDB15">
                  <w:pPr>
                    <w:pStyle w:val="31"/>
                    <w:spacing w:line="340" w:lineRule="exact"/>
                    <w:rPr>
                      <w:sz w:val="21"/>
                      <w:highlight w:val="none"/>
                    </w:rPr>
                  </w:pPr>
                </w:p>
              </w:tc>
              <w:tc>
                <w:tcPr>
                  <w:tcW w:w="1471" w:type="dxa"/>
                  <w:vAlign w:val="center"/>
                </w:tcPr>
                <w:p w14:paraId="540D8F15">
                  <w:pPr>
                    <w:pStyle w:val="31"/>
                    <w:spacing w:line="340" w:lineRule="exact"/>
                    <w:rPr>
                      <w:sz w:val="21"/>
                      <w:highlight w:val="none"/>
                    </w:rPr>
                  </w:pPr>
                  <w:r>
                    <w:rPr>
                      <w:sz w:val="21"/>
                      <w:highlight w:val="none"/>
                    </w:rPr>
                    <w:t>圆钢</w:t>
                  </w:r>
                  <w:r>
                    <w:rPr>
                      <w:rFonts w:hint="eastAsia"/>
                      <w:sz w:val="21"/>
                      <w:highlight w:val="none"/>
                    </w:rPr>
                    <w:t>φ30</w:t>
                  </w:r>
                </w:p>
              </w:tc>
              <w:tc>
                <w:tcPr>
                  <w:tcW w:w="764" w:type="dxa"/>
                  <w:vAlign w:val="center"/>
                </w:tcPr>
                <w:p w14:paraId="18DA75F7">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235B854F">
                  <w:pPr>
                    <w:pStyle w:val="31"/>
                    <w:spacing w:line="340" w:lineRule="exact"/>
                    <w:rPr>
                      <w:sz w:val="21"/>
                      <w:highlight w:val="none"/>
                    </w:rPr>
                  </w:pPr>
                  <w:r>
                    <w:rPr>
                      <w:rFonts w:hint="eastAsia"/>
                      <w:sz w:val="21"/>
                      <w:highlight w:val="none"/>
                    </w:rPr>
                    <w:t>100</w:t>
                  </w:r>
                </w:p>
              </w:tc>
              <w:tc>
                <w:tcPr>
                  <w:tcW w:w="886" w:type="dxa"/>
                  <w:vMerge w:val="continue"/>
                  <w:vAlign w:val="center"/>
                </w:tcPr>
                <w:p w14:paraId="245A02C7">
                  <w:pPr>
                    <w:pStyle w:val="31"/>
                    <w:spacing w:line="340" w:lineRule="exact"/>
                    <w:rPr>
                      <w:sz w:val="21"/>
                      <w:highlight w:val="none"/>
                    </w:rPr>
                  </w:pPr>
                </w:p>
              </w:tc>
              <w:tc>
                <w:tcPr>
                  <w:tcW w:w="900" w:type="dxa"/>
                  <w:vAlign w:val="center"/>
                </w:tcPr>
                <w:p w14:paraId="0E5116A3">
                  <w:pPr>
                    <w:spacing w:line="340" w:lineRule="exact"/>
                    <w:ind w:firstLine="0" w:firstLineChars="0"/>
                    <w:jc w:val="center"/>
                    <w:rPr>
                      <w:sz w:val="21"/>
                      <w:szCs w:val="21"/>
                      <w:highlight w:val="none"/>
                    </w:rPr>
                  </w:pPr>
                  <w:r>
                    <w:rPr>
                      <w:rFonts w:hint="eastAsia"/>
                      <w:sz w:val="21"/>
                      <w:szCs w:val="21"/>
                      <w:highlight w:val="none"/>
                    </w:rPr>
                    <w:t>捆装</w:t>
                  </w:r>
                </w:p>
              </w:tc>
              <w:tc>
                <w:tcPr>
                  <w:tcW w:w="1105" w:type="dxa"/>
                  <w:vAlign w:val="center"/>
                </w:tcPr>
                <w:p w14:paraId="2B08E32C">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23DC1C39">
                  <w:pPr>
                    <w:pStyle w:val="31"/>
                    <w:spacing w:line="340" w:lineRule="exact"/>
                    <w:rPr>
                      <w:sz w:val="21"/>
                      <w:highlight w:val="none"/>
                    </w:rPr>
                  </w:pPr>
                  <w:r>
                    <w:rPr>
                      <w:rFonts w:hint="eastAsia"/>
                      <w:sz w:val="21"/>
                      <w:highlight w:val="none"/>
                    </w:rPr>
                    <w:t>/</w:t>
                  </w:r>
                </w:p>
              </w:tc>
            </w:tr>
            <w:tr w14:paraId="4E6A7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7D1770B1">
                  <w:pPr>
                    <w:pStyle w:val="31"/>
                    <w:spacing w:line="340" w:lineRule="exact"/>
                    <w:rPr>
                      <w:sz w:val="21"/>
                      <w:highlight w:val="none"/>
                    </w:rPr>
                  </w:pPr>
                </w:p>
              </w:tc>
              <w:tc>
                <w:tcPr>
                  <w:tcW w:w="1471" w:type="dxa"/>
                  <w:vAlign w:val="center"/>
                </w:tcPr>
                <w:p w14:paraId="60F2AF64">
                  <w:pPr>
                    <w:pStyle w:val="31"/>
                    <w:spacing w:line="340" w:lineRule="exact"/>
                    <w:rPr>
                      <w:sz w:val="21"/>
                      <w:highlight w:val="none"/>
                    </w:rPr>
                  </w:pPr>
                  <w:r>
                    <w:rPr>
                      <w:sz w:val="21"/>
                      <w:highlight w:val="none"/>
                    </w:rPr>
                    <w:t>圆钢</w:t>
                  </w:r>
                  <w:r>
                    <w:rPr>
                      <w:rFonts w:hint="eastAsia"/>
                      <w:sz w:val="21"/>
                      <w:highlight w:val="none"/>
                    </w:rPr>
                    <w:t>φ35</w:t>
                  </w:r>
                </w:p>
              </w:tc>
              <w:tc>
                <w:tcPr>
                  <w:tcW w:w="764" w:type="dxa"/>
                  <w:vAlign w:val="center"/>
                </w:tcPr>
                <w:p w14:paraId="60244B39">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329784E4">
                  <w:pPr>
                    <w:pStyle w:val="31"/>
                    <w:spacing w:line="340" w:lineRule="exact"/>
                    <w:rPr>
                      <w:sz w:val="21"/>
                      <w:highlight w:val="none"/>
                    </w:rPr>
                  </w:pPr>
                  <w:r>
                    <w:rPr>
                      <w:rFonts w:hint="eastAsia"/>
                      <w:sz w:val="21"/>
                      <w:highlight w:val="none"/>
                    </w:rPr>
                    <w:t>100</w:t>
                  </w:r>
                </w:p>
              </w:tc>
              <w:tc>
                <w:tcPr>
                  <w:tcW w:w="886" w:type="dxa"/>
                  <w:vMerge w:val="continue"/>
                  <w:vAlign w:val="center"/>
                </w:tcPr>
                <w:p w14:paraId="6717D31B">
                  <w:pPr>
                    <w:pStyle w:val="31"/>
                    <w:spacing w:line="340" w:lineRule="exact"/>
                    <w:rPr>
                      <w:sz w:val="21"/>
                      <w:highlight w:val="none"/>
                    </w:rPr>
                  </w:pPr>
                </w:p>
              </w:tc>
              <w:tc>
                <w:tcPr>
                  <w:tcW w:w="900" w:type="dxa"/>
                  <w:vAlign w:val="center"/>
                </w:tcPr>
                <w:p w14:paraId="13BB3335">
                  <w:pPr>
                    <w:spacing w:line="340" w:lineRule="exact"/>
                    <w:ind w:firstLine="0" w:firstLineChars="0"/>
                    <w:jc w:val="center"/>
                    <w:rPr>
                      <w:sz w:val="21"/>
                      <w:szCs w:val="21"/>
                      <w:highlight w:val="none"/>
                    </w:rPr>
                  </w:pPr>
                  <w:r>
                    <w:rPr>
                      <w:rFonts w:hint="eastAsia"/>
                      <w:sz w:val="21"/>
                      <w:szCs w:val="21"/>
                      <w:highlight w:val="none"/>
                    </w:rPr>
                    <w:t>捆装</w:t>
                  </w:r>
                </w:p>
              </w:tc>
              <w:tc>
                <w:tcPr>
                  <w:tcW w:w="1105" w:type="dxa"/>
                  <w:vAlign w:val="center"/>
                </w:tcPr>
                <w:p w14:paraId="0BAC4BC6">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5BFB55C1">
                  <w:pPr>
                    <w:pStyle w:val="31"/>
                    <w:spacing w:line="340" w:lineRule="exact"/>
                    <w:rPr>
                      <w:sz w:val="21"/>
                      <w:highlight w:val="none"/>
                    </w:rPr>
                  </w:pPr>
                  <w:r>
                    <w:rPr>
                      <w:rFonts w:hint="eastAsia"/>
                      <w:sz w:val="21"/>
                      <w:highlight w:val="none"/>
                    </w:rPr>
                    <w:t>/</w:t>
                  </w:r>
                </w:p>
              </w:tc>
            </w:tr>
            <w:tr w14:paraId="36E45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2677AB46">
                  <w:pPr>
                    <w:pStyle w:val="31"/>
                    <w:spacing w:line="340" w:lineRule="exact"/>
                    <w:rPr>
                      <w:sz w:val="21"/>
                      <w:highlight w:val="none"/>
                    </w:rPr>
                  </w:pPr>
                </w:p>
              </w:tc>
              <w:tc>
                <w:tcPr>
                  <w:tcW w:w="1471" w:type="dxa"/>
                  <w:vAlign w:val="center"/>
                </w:tcPr>
                <w:p w14:paraId="7E3900DC">
                  <w:pPr>
                    <w:pStyle w:val="31"/>
                    <w:spacing w:line="340" w:lineRule="exact"/>
                    <w:rPr>
                      <w:sz w:val="21"/>
                      <w:highlight w:val="none"/>
                    </w:rPr>
                  </w:pPr>
                  <w:r>
                    <w:rPr>
                      <w:sz w:val="21"/>
                      <w:highlight w:val="none"/>
                    </w:rPr>
                    <w:t>圆钢</w:t>
                  </w:r>
                  <w:r>
                    <w:rPr>
                      <w:rFonts w:hint="eastAsia"/>
                      <w:sz w:val="21"/>
                      <w:highlight w:val="none"/>
                    </w:rPr>
                    <w:t>φ45</w:t>
                  </w:r>
                </w:p>
              </w:tc>
              <w:tc>
                <w:tcPr>
                  <w:tcW w:w="764" w:type="dxa"/>
                  <w:vAlign w:val="center"/>
                </w:tcPr>
                <w:p w14:paraId="7615820D">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052A0760">
                  <w:pPr>
                    <w:pStyle w:val="31"/>
                    <w:spacing w:line="340" w:lineRule="exact"/>
                    <w:rPr>
                      <w:sz w:val="21"/>
                      <w:highlight w:val="none"/>
                    </w:rPr>
                  </w:pPr>
                  <w:r>
                    <w:rPr>
                      <w:rFonts w:hint="eastAsia"/>
                      <w:sz w:val="21"/>
                      <w:highlight w:val="none"/>
                    </w:rPr>
                    <w:t>100</w:t>
                  </w:r>
                </w:p>
              </w:tc>
              <w:tc>
                <w:tcPr>
                  <w:tcW w:w="886" w:type="dxa"/>
                  <w:vMerge w:val="continue"/>
                  <w:vAlign w:val="center"/>
                </w:tcPr>
                <w:p w14:paraId="0A262B28">
                  <w:pPr>
                    <w:pStyle w:val="31"/>
                    <w:spacing w:line="340" w:lineRule="exact"/>
                    <w:rPr>
                      <w:sz w:val="21"/>
                      <w:highlight w:val="none"/>
                    </w:rPr>
                  </w:pPr>
                </w:p>
              </w:tc>
              <w:tc>
                <w:tcPr>
                  <w:tcW w:w="900" w:type="dxa"/>
                  <w:vAlign w:val="center"/>
                </w:tcPr>
                <w:p w14:paraId="56E653A4">
                  <w:pPr>
                    <w:spacing w:line="340" w:lineRule="exact"/>
                    <w:ind w:firstLine="0" w:firstLineChars="0"/>
                    <w:jc w:val="center"/>
                    <w:rPr>
                      <w:sz w:val="21"/>
                      <w:szCs w:val="21"/>
                      <w:highlight w:val="none"/>
                    </w:rPr>
                  </w:pPr>
                  <w:r>
                    <w:rPr>
                      <w:rFonts w:hint="eastAsia"/>
                      <w:sz w:val="21"/>
                      <w:szCs w:val="21"/>
                      <w:highlight w:val="none"/>
                    </w:rPr>
                    <w:t>捆装</w:t>
                  </w:r>
                </w:p>
              </w:tc>
              <w:tc>
                <w:tcPr>
                  <w:tcW w:w="1105" w:type="dxa"/>
                  <w:vAlign w:val="center"/>
                </w:tcPr>
                <w:p w14:paraId="3B5893C4">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044AB8BE">
                  <w:pPr>
                    <w:pStyle w:val="31"/>
                    <w:spacing w:line="340" w:lineRule="exact"/>
                    <w:rPr>
                      <w:sz w:val="21"/>
                      <w:highlight w:val="none"/>
                    </w:rPr>
                  </w:pPr>
                  <w:r>
                    <w:rPr>
                      <w:rFonts w:hint="eastAsia"/>
                      <w:sz w:val="21"/>
                      <w:highlight w:val="none"/>
                    </w:rPr>
                    <w:t>/</w:t>
                  </w:r>
                </w:p>
              </w:tc>
            </w:tr>
            <w:tr w14:paraId="5EC19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6C25D854">
                  <w:pPr>
                    <w:pStyle w:val="31"/>
                    <w:spacing w:line="340" w:lineRule="exact"/>
                    <w:rPr>
                      <w:sz w:val="21"/>
                      <w:highlight w:val="none"/>
                    </w:rPr>
                  </w:pPr>
                </w:p>
              </w:tc>
              <w:tc>
                <w:tcPr>
                  <w:tcW w:w="1471" w:type="dxa"/>
                  <w:vAlign w:val="center"/>
                </w:tcPr>
                <w:p w14:paraId="7C974480">
                  <w:pPr>
                    <w:pStyle w:val="31"/>
                    <w:spacing w:line="340" w:lineRule="exact"/>
                    <w:rPr>
                      <w:sz w:val="21"/>
                      <w:highlight w:val="none"/>
                    </w:rPr>
                  </w:pPr>
                  <w:r>
                    <w:rPr>
                      <w:sz w:val="21"/>
                      <w:highlight w:val="none"/>
                    </w:rPr>
                    <w:t>圆钢</w:t>
                  </w:r>
                  <w:r>
                    <w:rPr>
                      <w:rFonts w:hint="eastAsia"/>
                      <w:sz w:val="21"/>
                      <w:highlight w:val="none"/>
                    </w:rPr>
                    <w:t>φ50</w:t>
                  </w:r>
                </w:p>
              </w:tc>
              <w:tc>
                <w:tcPr>
                  <w:tcW w:w="764" w:type="dxa"/>
                  <w:vAlign w:val="center"/>
                </w:tcPr>
                <w:p w14:paraId="383B2F85">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08043A6B">
                  <w:pPr>
                    <w:pStyle w:val="31"/>
                    <w:spacing w:line="340" w:lineRule="exact"/>
                    <w:rPr>
                      <w:sz w:val="21"/>
                      <w:highlight w:val="none"/>
                    </w:rPr>
                  </w:pPr>
                  <w:r>
                    <w:rPr>
                      <w:rFonts w:hint="eastAsia"/>
                      <w:sz w:val="21"/>
                      <w:highlight w:val="none"/>
                    </w:rPr>
                    <w:t>100</w:t>
                  </w:r>
                </w:p>
              </w:tc>
              <w:tc>
                <w:tcPr>
                  <w:tcW w:w="886" w:type="dxa"/>
                  <w:vMerge w:val="continue"/>
                  <w:vAlign w:val="center"/>
                </w:tcPr>
                <w:p w14:paraId="70B712EB">
                  <w:pPr>
                    <w:pStyle w:val="31"/>
                    <w:spacing w:line="340" w:lineRule="exact"/>
                    <w:rPr>
                      <w:sz w:val="21"/>
                      <w:highlight w:val="none"/>
                    </w:rPr>
                  </w:pPr>
                </w:p>
              </w:tc>
              <w:tc>
                <w:tcPr>
                  <w:tcW w:w="900" w:type="dxa"/>
                  <w:vAlign w:val="center"/>
                </w:tcPr>
                <w:p w14:paraId="20C919E5">
                  <w:pPr>
                    <w:spacing w:line="340" w:lineRule="exact"/>
                    <w:ind w:firstLine="0" w:firstLineChars="0"/>
                    <w:jc w:val="center"/>
                    <w:rPr>
                      <w:sz w:val="21"/>
                      <w:szCs w:val="21"/>
                      <w:highlight w:val="none"/>
                    </w:rPr>
                  </w:pPr>
                  <w:r>
                    <w:rPr>
                      <w:rFonts w:hint="eastAsia"/>
                      <w:sz w:val="21"/>
                      <w:szCs w:val="21"/>
                      <w:highlight w:val="none"/>
                    </w:rPr>
                    <w:t>捆装</w:t>
                  </w:r>
                </w:p>
              </w:tc>
              <w:tc>
                <w:tcPr>
                  <w:tcW w:w="1105" w:type="dxa"/>
                  <w:vAlign w:val="center"/>
                </w:tcPr>
                <w:p w14:paraId="2C77840B">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0764F3EE">
                  <w:pPr>
                    <w:pStyle w:val="31"/>
                    <w:spacing w:line="340" w:lineRule="exact"/>
                    <w:rPr>
                      <w:sz w:val="21"/>
                      <w:highlight w:val="none"/>
                    </w:rPr>
                  </w:pPr>
                  <w:r>
                    <w:rPr>
                      <w:rFonts w:hint="eastAsia"/>
                      <w:sz w:val="21"/>
                      <w:highlight w:val="none"/>
                    </w:rPr>
                    <w:t>/</w:t>
                  </w:r>
                </w:p>
              </w:tc>
            </w:tr>
            <w:tr w14:paraId="5967E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6DC21EE9">
                  <w:pPr>
                    <w:pStyle w:val="31"/>
                    <w:spacing w:line="340" w:lineRule="exact"/>
                    <w:rPr>
                      <w:sz w:val="21"/>
                      <w:highlight w:val="none"/>
                    </w:rPr>
                  </w:pPr>
                </w:p>
              </w:tc>
              <w:tc>
                <w:tcPr>
                  <w:tcW w:w="1471" w:type="dxa"/>
                  <w:vAlign w:val="center"/>
                </w:tcPr>
                <w:p w14:paraId="066B8EE8">
                  <w:pPr>
                    <w:pStyle w:val="31"/>
                    <w:spacing w:line="340" w:lineRule="exact"/>
                    <w:rPr>
                      <w:sz w:val="21"/>
                      <w:highlight w:val="none"/>
                    </w:rPr>
                  </w:pPr>
                  <w:r>
                    <w:rPr>
                      <w:sz w:val="21"/>
                      <w:highlight w:val="none"/>
                    </w:rPr>
                    <w:t>圆钢</w:t>
                  </w:r>
                  <w:r>
                    <w:rPr>
                      <w:rFonts w:hint="eastAsia"/>
                      <w:sz w:val="21"/>
                      <w:highlight w:val="none"/>
                    </w:rPr>
                    <w:t>φ60</w:t>
                  </w:r>
                </w:p>
              </w:tc>
              <w:tc>
                <w:tcPr>
                  <w:tcW w:w="764" w:type="dxa"/>
                  <w:vAlign w:val="center"/>
                </w:tcPr>
                <w:p w14:paraId="46BD31E3">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2DB63580">
                  <w:pPr>
                    <w:pStyle w:val="31"/>
                    <w:spacing w:line="340" w:lineRule="exact"/>
                    <w:rPr>
                      <w:sz w:val="21"/>
                      <w:highlight w:val="none"/>
                    </w:rPr>
                  </w:pPr>
                  <w:r>
                    <w:rPr>
                      <w:rFonts w:hint="eastAsia"/>
                      <w:sz w:val="21"/>
                      <w:highlight w:val="none"/>
                    </w:rPr>
                    <w:t>400</w:t>
                  </w:r>
                </w:p>
              </w:tc>
              <w:tc>
                <w:tcPr>
                  <w:tcW w:w="886" w:type="dxa"/>
                  <w:vMerge w:val="continue"/>
                  <w:vAlign w:val="center"/>
                </w:tcPr>
                <w:p w14:paraId="66322D4D">
                  <w:pPr>
                    <w:pStyle w:val="31"/>
                    <w:spacing w:line="340" w:lineRule="exact"/>
                    <w:rPr>
                      <w:sz w:val="21"/>
                      <w:highlight w:val="none"/>
                    </w:rPr>
                  </w:pPr>
                </w:p>
              </w:tc>
              <w:tc>
                <w:tcPr>
                  <w:tcW w:w="900" w:type="dxa"/>
                  <w:vAlign w:val="center"/>
                </w:tcPr>
                <w:p w14:paraId="6A637F50">
                  <w:pPr>
                    <w:spacing w:line="340" w:lineRule="exact"/>
                    <w:ind w:firstLine="0" w:firstLineChars="0"/>
                    <w:jc w:val="center"/>
                    <w:rPr>
                      <w:sz w:val="21"/>
                      <w:szCs w:val="21"/>
                      <w:highlight w:val="none"/>
                    </w:rPr>
                  </w:pPr>
                  <w:r>
                    <w:rPr>
                      <w:rFonts w:hint="eastAsia"/>
                      <w:sz w:val="21"/>
                      <w:szCs w:val="21"/>
                      <w:highlight w:val="none"/>
                    </w:rPr>
                    <w:t>捆装</w:t>
                  </w:r>
                </w:p>
              </w:tc>
              <w:tc>
                <w:tcPr>
                  <w:tcW w:w="1105" w:type="dxa"/>
                  <w:vAlign w:val="center"/>
                </w:tcPr>
                <w:p w14:paraId="17D39DB7">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7ADF39E8">
                  <w:pPr>
                    <w:pStyle w:val="31"/>
                    <w:spacing w:line="340" w:lineRule="exact"/>
                    <w:rPr>
                      <w:sz w:val="21"/>
                      <w:highlight w:val="none"/>
                    </w:rPr>
                  </w:pPr>
                  <w:r>
                    <w:rPr>
                      <w:rFonts w:hint="eastAsia"/>
                      <w:sz w:val="21"/>
                      <w:highlight w:val="none"/>
                    </w:rPr>
                    <w:t>/</w:t>
                  </w:r>
                </w:p>
              </w:tc>
            </w:tr>
            <w:tr w14:paraId="3BE10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117AE46D">
                  <w:pPr>
                    <w:pStyle w:val="31"/>
                    <w:spacing w:line="340" w:lineRule="exact"/>
                    <w:rPr>
                      <w:sz w:val="21"/>
                      <w:highlight w:val="none"/>
                    </w:rPr>
                  </w:pPr>
                </w:p>
              </w:tc>
              <w:tc>
                <w:tcPr>
                  <w:tcW w:w="1471" w:type="dxa"/>
                  <w:vAlign w:val="center"/>
                </w:tcPr>
                <w:p w14:paraId="527DE385">
                  <w:pPr>
                    <w:pStyle w:val="31"/>
                    <w:spacing w:line="340" w:lineRule="exact"/>
                    <w:rPr>
                      <w:sz w:val="21"/>
                      <w:highlight w:val="none"/>
                    </w:rPr>
                  </w:pPr>
                  <w:r>
                    <w:rPr>
                      <w:sz w:val="21"/>
                      <w:highlight w:val="none"/>
                    </w:rPr>
                    <w:t>圆钢</w:t>
                  </w:r>
                  <w:r>
                    <w:rPr>
                      <w:rFonts w:hint="eastAsia"/>
                      <w:sz w:val="21"/>
                      <w:highlight w:val="none"/>
                    </w:rPr>
                    <w:t>φ65</w:t>
                  </w:r>
                </w:p>
              </w:tc>
              <w:tc>
                <w:tcPr>
                  <w:tcW w:w="764" w:type="dxa"/>
                  <w:vAlign w:val="center"/>
                </w:tcPr>
                <w:p w14:paraId="0D943B06">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21563E06">
                  <w:pPr>
                    <w:pStyle w:val="31"/>
                    <w:spacing w:line="340" w:lineRule="exact"/>
                    <w:rPr>
                      <w:sz w:val="21"/>
                      <w:highlight w:val="none"/>
                    </w:rPr>
                  </w:pPr>
                  <w:r>
                    <w:rPr>
                      <w:rFonts w:hint="eastAsia"/>
                      <w:sz w:val="21"/>
                      <w:highlight w:val="none"/>
                    </w:rPr>
                    <w:t>700</w:t>
                  </w:r>
                </w:p>
              </w:tc>
              <w:tc>
                <w:tcPr>
                  <w:tcW w:w="886" w:type="dxa"/>
                  <w:vMerge w:val="continue"/>
                  <w:vAlign w:val="center"/>
                </w:tcPr>
                <w:p w14:paraId="4E0BE34B">
                  <w:pPr>
                    <w:pStyle w:val="31"/>
                    <w:spacing w:line="340" w:lineRule="exact"/>
                    <w:rPr>
                      <w:sz w:val="21"/>
                      <w:highlight w:val="none"/>
                    </w:rPr>
                  </w:pPr>
                </w:p>
              </w:tc>
              <w:tc>
                <w:tcPr>
                  <w:tcW w:w="900" w:type="dxa"/>
                  <w:vAlign w:val="center"/>
                </w:tcPr>
                <w:p w14:paraId="27C67A03">
                  <w:pPr>
                    <w:spacing w:line="340" w:lineRule="exact"/>
                    <w:ind w:firstLine="0" w:firstLineChars="0"/>
                    <w:jc w:val="center"/>
                    <w:rPr>
                      <w:sz w:val="21"/>
                      <w:szCs w:val="21"/>
                      <w:highlight w:val="none"/>
                    </w:rPr>
                  </w:pPr>
                  <w:r>
                    <w:rPr>
                      <w:rFonts w:hint="eastAsia"/>
                      <w:sz w:val="21"/>
                      <w:szCs w:val="21"/>
                      <w:highlight w:val="none"/>
                    </w:rPr>
                    <w:t>捆装</w:t>
                  </w:r>
                </w:p>
              </w:tc>
              <w:tc>
                <w:tcPr>
                  <w:tcW w:w="1105" w:type="dxa"/>
                  <w:vAlign w:val="center"/>
                </w:tcPr>
                <w:p w14:paraId="3628B178">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614F8A4F">
                  <w:pPr>
                    <w:pStyle w:val="31"/>
                    <w:spacing w:line="340" w:lineRule="exact"/>
                    <w:rPr>
                      <w:sz w:val="21"/>
                      <w:highlight w:val="none"/>
                    </w:rPr>
                  </w:pPr>
                  <w:r>
                    <w:rPr>
                      <w:rFonts w:hint="eastAsia"/>
                      <w:sz w:val="21"/>
                      <w:highlight w:val="none"/>
                    </w:rPr>
                    <w:t>/</w:t>
                  </w:r>
                </w:p>
              </w:tc>
            </w:tr>
            <w:tr w14:paraId="458F9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3A42FACD">
                  <w:pPr>
                    <w:pStyle w:val="31"/>
                    <w:spacing w:line="340" w:lineRule="exact"/>
                    <w:rPr>
                      <w:sz w:val="21"/>
                      <w:highlight w:val="none"/>
                    </w:rPr>
                  </w:pPr>
                </w:p>
              </w:tc>
              <w:tc>
                <w:tcPr>
                  <w:tcW w:w="1471" w:type="dxa"/>
                  <w:vAlign w:val="center"/>
                </w:tcPr>
                <w:p w14:paraId="09815ED0">
                  <w:pPr>
                    <w:pStyle w:val="31"/>
                    <w:spacing w:line="340" w:lineRule="exact"/>
                    <w:rPr>
                      <w:sz w:val="21"/>
                      <w:highlight w:val="none"/>
                    </w:rPr>
                  </w:pPr>
                  <w:r>
                    <w:rPr>
                      <w:rFonts w:hint="eastAsia"/>
                      <w:sz w:val="21"/>
                      <w:highlight w:val="none"/>
                    </w:rPr>
                    <w:t>外购工件</w:t>
                  </w:r>
                </w:p>
              </w:tc>
              <w:tc>
                <w:tcPr>
                  <w:tcW w:w="764" w:type="dxa"/>
                  <w:vAlign w:val="center"/>
                </w:tcPr>
                <w:p w14:paraId="62A85C52">
                  <w:pPr>
                    <w:spacing w:line="340" w:lineRule="exact"/>
                    <w:ind w:firstLine="0" w:firstLineChars="0"/>
                    <w:jc w:val="center"/>
                    <w:rPr>
                      <w:sz w:val="21"/>
                      <w:szCs w:val="21"/>
                      <w:highlight w:val="none"/>
                    </w:rPr>
                  </w:pPr>
                  <w:r>
                    <w:rPr>
                      <w:rFonts w:hint="eastAsia"/>
                      <w:sz w:val="21"/>
                      <w:szCs w:val="21"/>
                      <w:highlight w:val="none"/>
                    </w:rPr>
                    <w:t>万件</w:t>
                  </w:r>
                </w:p>
              </w:tc>
              <w:tc>
                <w:tcPr>
                  <w:tcW w:w="1214" w:type="dxa"/>
                  <w:vAlign w:val="center"/>
                </w:tcPr>
                <w:p w14:paraId="6531EA92">
                  <w:pPr>
                    <w:pStyle w:val="31"/>
                    <w:spacing w:line="340" w:lineRule="exact"/>
                    <w:rPr>
                      <w:sz w:val="21"/>
                      <w:highlight w:val="none"/>
                    </w:rPr>
                  </w:pPr>
                  <w:r>
                    <w:rPr>
                      <w:rFonts w:hint="eastAsia"/>
                      <w:sz w:val="21"/>
                      <w:highlight w:val="none"/>
                    </w:rPr>
                    <w:t>10</w:t>
                  </w:r>
                </w:p>
              </w:tc>
              <w:tc>
                <w:tcPr>
                  <w:tcW w:w="886" w:type="dxa"/>
                  <w:vAlign w:val="center"/>
                </w:tcPr>
                <w:p w14:paraId="0D80BC48">
                  <w:pPr>
                    <w:pStyle w:val="31"/>
                    <w:spacing w:line="340" w:lineRule="exact"/>
                    <w:rPr>
                      <w:sz w:val="21"/>
                      <w:highlight w:val="none"/>
                    </w:rPr>
                  </w:pPr>
                  <w:r>
                    <w:rPr>
                      <w:rFonts w:hint="eastAsia"/>
                      <w:sz w:val="21"/>
                      <w:highlight w:val="none"/>
                    </w:rPr>
                    <w:t>组装</w:t>
                  </w:r>
                </w:p>
              </w:tc>
              <w:tc>
                <w:tcPr>
                  <w:tcW w:w="900" w:type="dxa"/>
                  <w:vAlign w:val="center"/>
                </w:tcPr>
                <w:p w14:paraId="776CC452">
                  <w:pPr>
                    <w:spacing w:line="340" w:lineRule="exact"/>
                    <w:ind w:firstLine="0" w:firstLineChars="0"/>
                    <w:jc w:val="center"/>
                    <w:rPr>
                      <w:sz w:val="21"/>
                      <w:szCs w:val="21"/>
                      <w:highlight w:val="none"/>
                    </w:rPr>
                  </w:pPr>
                  <w:r>
                    <w:rPr>
                      <w:rFonts w:hint="eastAsia"/>
                      <w:sz w:val="21"/>
                      <w:highlight w:val="none"/>
                    </w:rPr>
                    <w:t>纸箱</w:t>
                  </w:r>
                </w:p>
              </w:tc>
              <w:tc>
                <w:tcPr>
                  <w:tcW w:w="1105" w:type="dxa"/>
                  <w:vAlign w:val="center"/>
                </w:tcPr>
                <w:p w14:paraId="7A0F748B">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48A1CA1A">
                  <w:pPr>
                    <w:pStyle w:val="31"/>
                    <w:spacing w:line="340" w:lineRule="exact"/>
                    <w:rPr>
                      <w:sz w:val="21"/>
                      <w:highlight w:val="none"/>
                    </w:rPr>
                  </w:pPr>
                </w:p>
              </w:tc>
            </w:tr>
            <w:tr w14:paraId="65499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restart"/>
                  <w:vAlign w:val="center"/>
                </w:tcPr>
                <w:p w14:paraId="66C31134">
                  <w:pPr>
                    <w:pStyle w:val="31"/>
                    <w:spacing w:line="340" w:lineRule="exact"/>
                    <w:rPr>
                      <w:sz w:val="21"/>
                      <w:highlight w:val="none"/>
                    </w:rPr>
                  </w:pPr>
                  <w:r>
                    <w:rPr>
                      <w:rFonts w:hint="eastAsia"/>
                      <w:sz w:val="21"/>
                      <w:highlight w:val="none"/>
                    </w:rPr>
                    <w:t>辅料</w:t>
                  </w:r>
                </w:p>
              </w:tc>
              <w:tc>
                <w:tcPr>
                  <w:tcW w:w="1471" w:type="dxa"/>
                  <w:vAlign w:val="center"/>
                </w:tcPr>
                <w:p w14:paraId="74161082">
                  <w:pPr>
                    <w:pStyle w:val="31"/>
                    <w:spacing w:line="340" w:lineRule="exact"/>
                    <w:rPr>
                      <w:sz w:val="21"/>
                      <w:highlight w:val="none"/>
                    </w:rPr>
                  </w:pPr>
                  <w:r>
                    <w:rPr>
                      <w:rFonts w:hint="eastAsia"/>
                      <w:sz w:val="21"/>
                      <w:highlight w:val="none"/>
                    </w:rPr>
                    <w:t>甲醇</w:t>
                  </w:r>
                </w:p>
              </w:tc>
              <w:tc>
                <w:tcPr>
                  <w:tcW w:w="764" w:type="dxa"/>
                  <w:vAlign w:val="center"/>
                </w:tcPr>
                <w:p w14:paraId="0F6599B4">
                  <w:pPr>
                    <w:pStyle w:val="31"/>
                    <w:spacing w:line="340" w:lineRule="exact"/>
                    <w:rPr>
                      <w:sz w:val="21"/>
                      <w:highlight w:val="none"/>
                    </w:rPr>
                  </w:pPr>
                  <w:r>
                    <w:rPr>
                      <w:rFonts w:hint="eastAsia"/>
                      <w:sz w:val="21"/>
                      <w:highlight w:val="none"/>
                    </w:rPr>
                    <w:t>L/a</w:t>
                  </w:r>
                </w:p>
              </w:tc>
              <w:tc>
                <w:tcPr>
                  <w:tcW w:w="1214" w:type="dxa"/>
                  <w:vAlign w:val="center"/>
                </w:tcPr>
                <w:p w14:paraId="5F54A4E1">
                  <w:pPr>
                    <w:pStyle w:val="31"/>
                    <w:spacing w:line="340" w:lineRule="exact"/>
                    <w:rPr>
                      <w:sz w:val="21"/>
                      <w:highlight w:val="none"/>
                    </w:rPr>
                  </w:pPr>
                  <w:r>
                    <w:rPr>
                      <w:rFonts w:hint="eastAsia"/>
                      <w:sz w:val="21"/>
                      <w:highlight w:val="none"/>
                    </w:rPr>
                    <w:t>14400</w:t>
                  </w:r>
                </w:p>
              </w:tc>
              <w:tc>
                <w:tcPr>
                  <w:tcW w:w="886" w:type="dxa"/>
                  <w:vMerge w:val="restart"/>
                  <w:vAlign w:val="center"/>
                </w:tcPr>
                <w:p w14:paraId="06082CA5">
                  <w:pPr>
                    <w:pStyle w:val="31"/>
                    <w:spacing w:line="340" w:lineRule="exact"/>
                    <w:rPr>
                      <w:sz w:val="21"/>
                      <w:highlight w:val="none"/>
                    </w:rPr>
                  </w:pPr>
                  <w:r>
                    <w:rPr>
                      <w:rFonts w:hint="eastAsia"/>
                      <w:sz w:val="21"/>
                      <w:highlight w:val="none"/>
                    </w:rPr>
                    <w:t>热处理</w:t>
                  </w:r>
                </w:p>
              </w:tc>
              <w:tc>
                <w:tcPr>
                  <w:tcW w:w="900" w:type="dxa"/>
                  <w:vAlign w:val="center"/>
                </w:tcPr>
                <w:p w14:paraId="4A44FE18">
                  <w:pPr>
                    <w:pStyle w:val="31"/>
                    <w:spacing w:line="340" w:lineRule="exact"/>
                    <w:rPr>
                      <w:sz w:val="21"/>
                      <w:highlight w:val="none"/>
                    </w:rPr>
                  </w:pPr>
                  <w:r>
                    <w:rPr>
                      <w:rFonts w:hint="eastAsia"/>
                      <w:sz w:val="21"/>
                      <w:highlight w:val="none"/>
                    </w:rPr>
                    <w:t>桶装</w:t>
                  </w:r>
                </w:p>
              </w:tc>
              <w:tc>
                <w:tcPr>
                  <w:tcW w:w="1105" w:type="dxa"/>
                  <w:vAlign w:val="center"/>
                </w:tcPr>
                <w:p w14:paraId="156F912D">
                  <w:pPr>
                    <w:spacing w:line="340" w:lineRule="exact"/>
                    <w:ind w:firstLine="0" w:firstLineChars="0"/>
                    <w:jc w:val="center"/>
                    <w:rPr>
                      <w:sz w:val="21"/>
                      <w:szCs w:val="21"/>
                      <w:highlight w:val="none"/>
                    </w:rPr>
                  </w:pPr>
                  <w:r>
                    <w:rPr>
                      <w:rFonts w:hint="eastAsia"/>
                      <w:sz w:val="21"/>
                      <w:szCs w:val="21"/>
                      <w:highlight w:val="none"/>
                    </w:rPr>
                    <w:t>危险品库房</w:t>
                  </w:r>
                </w:p>
              </w:tc>
              <w:tc>
                <w:tcPr>
                  <w:tcW w:w="1087" w:type="dxa"/>
                  <w:vAlign w:val="center"/>
                </w:tcPr>
                <w:p w14:paraId="09C8C1AB">
                  <w:pPr>
                    <w:pStyle w:val="31"/>
                    <w:spacing w:line="340" w:lineRule="exact"/>
                    <w:rPr>
                      <w:sz w:val="21"/>
                      <w:highlight w:val="none"/>
                    </w:rPr>
                  </w:pPr>
                  <w:r>
                    <w:rPr>
                      <w:rFonts w:hint="eastAsia"/>
                      <w:sz w:val="21"/>
                      <w:highlight w:val="none"/>
                    </w:rPr>
                    <w:t>/</w:t>
                  </w:r>
                </w:p>
              </w:tc>
            </w:tr>
            <w:tr w14:paraId="162C5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67985AA9">
                  <w:pPr>
                    <w:pStyle w:val="31"/>
                    <w:spacing w:line="340" w:lineRule="exact"/>
                    <w:rPr>
                      <w:sz w:val="21"/>
                      <w:highlight w:val="none"/>
                    </w:rPr>
                  </w:pPr>
                </w:p>
              </w:tc>
              <w:tc>
                <w:tcPr>
                  <w:tcW w:w="1471" w:type="dxa"/>
                  <w:vAlign w:val="center"/>
                </w:tcPr>
                <w:p w14:paraId="03D14F60">
                  <w:pPr>
                    <w:pStyle w:val="31"/>
                    <w:spacing w:line="340" w:lineRule="exact"/>
                    <w:rPr>
                      <w:sz w:val="21"/>
                      <w:highlight w:val="none"/>
                    </w:rPr>
                  </w:pPr>
                  <w:r>
                    <w:rPr>
                      <w:rFonts w:hint="eastAsia"/>
                      <w:sz w:val="21"/>
                      <w:highlight w:val="none"/>
                    </w:rPr>
                    <w:t>丙烷</w:t>
                  </w:r>
                </w:p>
              </w:tc>
              <w:tc>
                <w:tcPr>
                  <w:tcW w:w="764" w:type="dxa"/>
                  <w:vAlign w:val="center"/>
                </w:tcPr>
                <w:p w14:paraId="259EF112">
                  <w:pPr>
                    <w:pStyle w:val="31"/>
                    <w:spacing w:line="340" w:lineRule="exact"/>
                    <w:rPr>
                      <w:sz w:val="21"/>
                      <w:highlight w:val="none"/>
                    </w:rPr>
                  </w:pPr>
                  <w:r>
                    <w:rPr>
                      <w:rFonts w:hint="eastAsia"/>
                      <w:sz w:val="21"/>
                      <w:highlight w:val="none"/>
                    </w:rPr>
                    <w:t>m³/a</w:t>
                  </w:r>
                </w:p>
              </w:tc>
              <w:tc>
                <w:tcPr>
                  <w:tcW w:w="1214" w:type="dxa"/>
                  <w:vAlign w:val="center"/>
                </w:tcPr>
                <w:p w14:paraId="605A541F">
                  <w:pPr>
                    <w:pStyle w:val="31"/>
                    <w:spacing w:line="340" w:lineRule="exact"/>
                    <w:rPr>
                      <w:sz w:val="21"/>
                      <w:highlight w:val="none"/>
                    </w:rPr>
                  </w:pPr>
                  <w:r>
                    <w:rPr>
                      <w:rFonts w:hint="eastAsia"/>
                      <w:sz w:val="21"/>
                      <w:highlight w:val="none"/>
                    </w:rPr>
                    <w:t>4500</w:t>
                  </w:r>
                </w:p>
              </w:tc>
              <w:tc>
                <w:tcPr>
                  <w:tcW w:w="886" w:type="dxa"/>
                  <w:vMerge w:val="continue"/>
                  <w:vAlign w:val="center"/>
                </w:tcPr>
                <w:p w14:paraId="7A53BE76">
                  <w:pPr>
                    <w:pStyle w:val="31"/>
                    <w:spacing w:line="340" w:lineRule="exact"/>
                    <w:rPr>
                      <w:sz w:val="21"/>
                      <w:highlight w:val="none"/>
                    </w:rPr>
                  </w:pPr>
                </w:p>
              </w:tc>
              <w:tc>
                <w:tcPr>
                  <w:tcW w:w="900" w:type="dxa"/>
                  <w:vAlign w:val="center"/>
                </w:tcPr>
                <w:p w14:paraId="56C853D4">
                  <w:pPr>
                    <w:pStyle w:val="31"/>
                    <w:spacing w:line="340" w:lineRule="exact"/>
                    <w:rPr>
                      <w:sz w:val="21"/>
                      <w:highlight w:val="none"/>
                    </w:rPr>
                  </w:pPr>
                  <w:r>
                    <w:rPr>
                      <w:rFonts w:hint="eastAsia"/>
                      <w:sz w:val="21"/>
                      <w:highlight w:val="none"/>
                    </w:rPr>
                    <w:t>瓶装</w:t>
                  </w:r>
                </w:p>
              </w:tc>
              <w:tc>
                <w:tcPr>
                  <w:tcW w:w="1105" w:type="dxa"/>
                  <w:vAlign w:val="center"/>
                </w:tcPr>
                <w:p w14:paraId="32785C25">
                  <w:pPr>
                    <w:spacing w:line="340" w:lineRule="exact"/>
                    <w:ind w:firstLine="0" w:firstLineChars="0"/>
                    <w:jc w:val="center"/>
                    <w:rPr>
                      <w:sz w:val="21"/>
                      <w:szCs w:val="21"/>
                      <w:highlight w:val="none"/>
                    </w:rPr>
                  </w:pPr>
                  <w:r>
                    <w:rPr>
                      <w:rFonts w:hint="eastAsia"/>
                      <w:sz w:val="21"/>
                      <w:szCs w:val="21"/>
                      <w:highlight w:val="none"/>
                    </w:rPr>
                    <w:t>危险品库房</w:t>
                  </w:r>
                </w:p>
              </w:tc>
              <w:tc>
                <w:tcPr>
                  <w:tcW w:w="1087" w:type="dxa"/>
                  <w:vAlign w:val="center"/>
                </w:tcPr>
                <w:p w14:paraId="5B7A991E">
                  <w:pPr>
                    <w:pStyle w:val="31"/>
                    <w:spacing w:line="340" w:lineRule="exact"/>
                    <w:rPr>
                      <w:sz w:val="21"/>
                      <w:highlight w:val="none"/>
                    </w:rPr>
                  </w:pPr>
                  <w:r>
                    <w:rPr>
                      <w:rFonts w:hint="eastAsia"/>
                      <w:sz w:val="21"/>
                      <w:highlight w:val="none"/>
                    </w:rPr>
                    <w:t>/</w:t>
                  </w:r>
                </w:p>
              </w:tc>
            </w:tr>
            <w:tr w14:paraId="50DC9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503BBFC5">
                  <w:pPr>
                    <w:pStyle w:val="31"/>
                    <w:spacing w:line="340" w:lineRule="exact"/>
                    <w:rPr>
                      <w:sz w:val="21"/>
                      <w:highlight w:val="none"/>
                    </w:rPr>
                  </w:pPr>
                </w:p>
              </w:tc>
              <w:tc>
                <w:tcPr>
                  <w:tcW w:w="1471" w:type="dxa"/>
                  <w:vAlign w:val="center"/>
                </w:tcPr>
                <w:p w14:paraId="24A944BE">
                  <w:pPr>
                    <w:pStyle w:val="31"/>
                    <w:spacing w:line="340" w:lineRule="exact"/>
                    <w:rPr>
                      <w:rFonts w:hint="eastAsia" w:eastAsia="宋体"/>
                      <w:sz w:val="21"/>
                      <w:highlight w:val="none"/>
                      <w:lang w:eastAsia="zh-CN"/>
                    </w:rPr>
                  </w:pPr>
                  <w:r>
                    <w:rPr>
                      <w:rFonts w:hint="eastAsia"/>
                      <w:sz w:val="21"/>
                      <w:highlight w:val="none"/>
                      <w:lang w:eastAsia="zh-CN"/>
                    </w:rPr>
                    <w:t>淬火油</w:t>
                  </w:r>
                </w:p>
              </w:tc>
              <w:tc>
                <w:tcPr>
                  <w:tcW w:w="764" w:type="dxa"/>
                  <w:vAlign w:val="center"/>
                </w:tcPr>
                <w:p w14:paraId="1C3C4CB6">
                  <w:pPr>
                    <w:pStyle w:val="31"/>
                    <w:spacing w:line="340" w:lineRule="exact"/>
                    <w:rPr>
                      <w:sz w:val="21"/>
                      <w:highlight w:val="none"/>
                    </w:rPr>
                  </w:pPr>
                  <w:r>
                    <w:rPr>
                      <w:rFonts w:hint="eastAsia"/>
                      <w:sz w:val="21"/>
                      <w:highlight w:val="none"/>
                    </w:rPr>
                    <w:t>L/a</w:t>
                  </w:r>
                </w:p>
              </w:tc>
              <w:tc>
                <w:tcPr>
                  <w:tcW w:w="1214" w:type="dxa"/>
                  <w:vAlign w:val="center"/>
                </w:tcPr>
                <w:p w14:paraId="2B3733D8">
                  <w:pPr>
                    <w:pStyle w:val="31"/>
                    <w:spacing w:line="340" w:lineRule="exact"/>
                    <w:rPr>
                      <w:sz w:val="21"/>
                      <w:highlight w:val="none"/>
                    </w:rPr>
                  </w:pPr>
                  <w:r>
                    <w:rPr>
                      <w:rFonts w:hint="eastAsia"/>
                      <w:sz w:val="21"/>
                      <w:highlight w:val="none"/>
                    </w:rPr>
                    <w:t>2400</w:t>
                  </w:r>
                </w:p>
              </w:tc>
              <w:tc>
                <w:tcPr>
                  <w:tcW w:w="886" w:type="dxa"/>
                  <w:vMerge w:val="continue"/>
                  <w:vAlign w:val="center"/>
                </w:tcPr>
                <w:p w14:paraId="6FBC8214">
                  <w:pPr>
                    <w:pStyle w:val="31"/>
                    <w:spacing w:line="340" w:lineRule="exact"/>
                    <w:rPr>
                      <w:sz w:val="21"/>
                      <w:highlight w:val="none"/>
                    </w:rPr>
                  </w:pPr>
                </w:p>
              </w:tc>
              <w:tc>
                <w:tcPr>
                  <w:tcW w:w="900" w:type="dxa"/>
                  <w:vAlign w:val="center"/>
                </w:tcPr>
                <w:p w14:paraId="2404F47D">
                  <w:pPr>
                    <w:pStyle w:val="31"/>
                    <w:spacing w:line="340" w:lineRule="exact"/>
                    <w:rPr>
                      <w:sz w:val="21"/>
                      <w:highlight w:val="none"/>
                    </w:rPr>
                  </w:pPr>
                  <w:r>
                    <w:rPr>
                      <w:rFonts w:hint="eastAsia"/>
                      <w:sz w:val="21"/>
                      <w:highlight w:val="none"/>
                    </w:rPr>
                    <w:t>桶装</w:t>
                  </w:r>
                </w:p>
              </w:tc>
              <w:tc>
                <w:tcPr>
                  <w:tcW w:w="1105" w:type="dxa"/>
                  <w:vAlign w:val="center"/>
                </w:tcPr>
                <w:p w14:paraId="5F4BC296">
                  <w:pPr>
                    <w:spacing w:line="340" w:lineRule="exact"/>
                    <w:ind w:firstLine="0" w:firstLineChars="0"/>
                    <w:jc w:val="center"/>
                    <w:rPr>
                      <w:sz w:val="21"/>
                      <w:szCs w:val="21"/>
                      <w:highlight w:val="none"/>
                    </w:rPr>
                  </w:pPr>
                  <w:r>
                    <w:rPr>
                      <w:rFonts w:hint="eastAsia"/>
                      <w:sz w:val="21"/>
                      <w:szCs w:val="21"/>
                      <w:highlight w:val="none"/>
                    </w:rPr>
                    <w:t>危险品库房</w:t>
                  </w:r>
                </w:p>
              </w:tc>
              <w:tc>
                <w:tcPr>
                  <w:tcW w:w="1087" w:type="dxa"/>
                  <w:vAlign w:val="center"/>
                </w:tcPr>
                <w:p w14:paraId="1B4C869B">
                  <w:pPr>
                    <w:pStyle w:val="31"/>
                    <w:spacing w:line="340" w:lineRule="exact"/>
                    <w:rPr>
                      <w:sz w:val="21"/>
                      <w:highlight w:val="none"/>
                    </w:rPr>
                  </w:pPr>
                  <w:r>
                    <w:rPr>
                      <w:rFonts w:hint="eastAsia"/>
                      <w:sz w:val="21"/>
                      <w:highlight w:val="none"/>
                    </w:rPr>
                    <w:t>200</w:t>
                  </w:r>
                  <w:r>
                    <w:rPr>
                      <w:sz w:val="21"/>
                      <w:highlight w:val="none"/>
                    </w:rPr>
                    <w:t>L</w:t>
                  </w:r>
                  <w:r>
                    <w:rPr>
                      <w:rFonts w:hint="eastAsia"/>
                      <w:sz w:val="21"/>
                      <w:highlight w:val="none"/>
                    </w:rPr>
                    <w:t>/桶</w:t>
                  </w:r>
                </w:p>
              </w:tc>
            </w:tr>
            <w:tr w14:paraId="52C2C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3B866998">
                  <w:pPr>
                    <w:pStyle w:val="31"/>
                    <w:spacing w:line="340" w:lineRule="exact"/>
                    <w:rPr>
                      <w:sz w:val="21"/>
                      <w:highlight w:val="none"/>
                    </w:rPr>
                  </w:pPr>
                </w:p>
              </w:tc>
              <w:tc>
                <w:tcPr>
                  <w:tcW w:w="1471" w:type="dxa"/>
                  <w:vAlign w:val="center"/>
                </w:tcPr>
                <w:p w14:paraId="79D74316">
                  <w:pPr>
                    <w:pStyle w:val="31"/>
                    <w:spacing w:line="340" w:lineRule="exact"/>
                    <w:rPr>
                      <w:sz w:val="21"/>
                      <w:highlight w:val="none"/>
                    </w:rPr>
                  </w:pPr>
                  <w:r>
                    <w:rPr>
                      <w:rFonts w:hint="eastAsia"/>
                      <w:sz w:val="21"/>
                      <w:highlight w:val="none"/>
                    </w:rPr>
                    <w:t>氮气</w:t>
                  </w:r>
                </w:p>
              </w:tc>
              <w:tc>
                <w:tcPr>
                  <w:tcW w:w="764" w:type="dxa"/>
                  <w:vAlign w:val="center"/>
                </w:tcPr>
                <w:p w14:paraId="65E5D12F">
                  <w:pPr>
                    <w:pStyle w:val="31"/>
                    <w:spacing w:line="340" w:lineRule="exact"/>
                    <w:rPr>
                      <w:sz w:val="21"/>
                      <w:highlight w:val="none"/>
                    </w:rPr>
                  </w:pPr>
                  <w:r>
                    <w:rPr>
                      <w:rFonts w:hint="eastAsia"/>
                      <w:sz w:val="21"/>
                      <w:szCs w:val="21"/>
                      <w:highlight w:val="none"/>
                    </w:rPr>
                    <w:t>m</w:t>
                  </w:r>
                  <w:r>
                    <w:rPr>
                      <w:rFonts w:hint="eastAsia"/>
                      <w:sz w:val="21"/>
                      <w:szCs w:val="21"/>
                      <w:highlight w:val="none"/>
                      <w:vertAlign w:val="superscript"/>
                    </w:rPr>
                    <w:t>3</w:t>
                  </w:r>
                  <w:r>
                    <w:rPr>
                      <w:rFonts w:hint="eastAsia"/>
                      <w:sz w:val="21"/>
                      <w:szCs w:val="21"/>
                      <w:highlight w:val="none"/>
                    </w:rPr>
                    <w:t>/a</w:t>
                  </w:r>
                </w:p>
              </w:tc>
              <w:tc>
                <w:tcPr>
                  <w:tcW w:w="1214" w:type="dxa"/>
                  <w:vAlign w:val="center"/>
                </w:tcPr>
                <w:p w14:paraId="2F2D8966">
                  <w:pPr>
                    <w:pStyle w:val="31"/>
                    <w:spacing w:line="340" w:lineRule="exact"/>
                    <w:rPr>
                      <w:sz w:val="21"/>
                      <w:highlight w:val="none"/>
                    </w:rPr>
                  </w:pPr>
                  <w:r>
                    <w:rPr>
                      <w:rFonts w:hint="eastAsia"/>
                      <w:sz w:val="21"/>
                      <w:highlight w:val="none"/>
                    </w:rPr>
                    <w:t>4500</w:t>
                  </w:r>
                </w:p>
              </w:tc>
              <w:tc>
                <w:tcPr>
                  <w:tcW w:w="886" w:type="dxa"/>
                  <w:vMerge w:val="continue"/>
                  <w:vAlign w:val="center"/>
                </w:tcPr>
                <w:p w14:paraId="00732CFF">
                  <w:pPr>
                    <w:pStyle w:val="31"/>
                    <w:spacing w:line="340" w:lineRule="exact"/>
                    <w:rPr>
                      <w:sz w:val="21"/>
                      <w:highlight w:val="none"/>
                    </w:rPr>
                  </w:pPr>
                </w:p>
              </w:tc>
              <w:tc>
                <w:tcPr>
                  <w:tcW w:w="900" w:type="dxa"/>
                  <w:vAlign w:val="center"/>
                </w:tcPr>
                <w:p w14:paraId="59849B94">
                  <w:pPr>
                    <w:pStyle w:val="31"/>
                    <w:spacing w:line="340" w:lineRule="exact"/>
                    <w:rPr>
                      <w:sz w:val="21"/>
                      <w:highlight w:val="none"/>
                    </w:rPr>
                  </w:pPr>
                  <w:r>
                    <w:rPr>
                      <w:rFonts w:hint="eastAsia"/>
                      <w:sz w:val="21"/>
                      <w:highlight w:val="none"/>
                    </w:rPr>
                    <w:t>/</w:t>
                  </w:r>
                </w:p>
              </w:tc>
              <w:tc>
                <w:tcPr>
                  <w:tcW w:w="1105" w:type="dxa"/>
                  <w:vAlign w:val="center"/>
                </w:tcPr>
                <w:p w14:paraId="1970DED2">
                  <w:pPr>
                    <w:spacing w:line="340" w:lineRule="exact"/>
                    <w:ind w:firstLine="0" w:firstLineChars="0"/>
                    <w:jc w:val="center"/>
                    <w:rPr>
                      <w:sz w:val="21"/>
                      <w:szCs w:val="21"/>
                      <w:highlight w:val="none"/>
                    </w:rPr>
                  </w:pPr>
                  <w:r>
                    <w:rPr>
                      <w:rFonts w:hint="eastAsia"/>
                      <w:sz w:val="21"/>
                      <w:szCs w:val="21"/>
                      <w:highlight w:val="none"/>
                    </w:rPr>
                    <w:t>/</w:t>
                  </w:r>
                </w:p>
              </w:tc>
              <w:tc>
                <w:tcPr>
                  <w:tcW w:w="1087" w:type="dxa"/>
                  <w:vAlign w:val="center"/>
                </w:tcPr>
                <w:p w14:paraId="1FB16647">
                  <w:pPr>
                    <w:pStyle w:val="31"/>
                    <w:spacing w:line="340" w:lineRule="exact"/>
                    <w:rPr>
                      <w:sz w:val="21"/>
                      <w:highlight w:val="none"/>
                    </w:rPr>
                  </w:pPr>
                  <w:r>
                    <w:rPr>
                      <w:rFonts w:hint="eastAsia"/>
                      <w:sz w:val="21"/>
                      <w:highlight w:val="none"/>
                    </w:rPr>
                    <w:t>采用制氮机</w:t>
                  </w:r>
                </w:p>
              </w:tc>
            </w:tr>
            <w:tr w14:paraId="6667F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5105814D">
                  <w:pPr>
                    <w:pStyle w:val="31"/>
                    <w:spacing w:line="340" w:lineRule="exact"/>
                    <w:rPr>
                      <w:sz w:val="21"/>
                      <w:highlight w:val="none"/>
                    </w:rPr>
                  </w:pPr>
                </w:p>
              </w:tc>
              <w:tc>
                <w:tcPr>
                  <w:tcW w:w="1471" w:type="dxa"/>
                  <w:vAlign w:val="center"/>
                </w:tcPr>
                <w:p w14:paraId="1E46617B">
                  <w:pPr>
                    <w:pStyle w:val="31"/>
                    <w:spacing w:line="340" w:lineRule="exact"/>
                    <w:rPr>
                      <w:sz w:val="21"/>
                      <w:highlight w:val="none"/>
                    </w:rPr>
                  </w:pPr>
                  <w:r>
                    <w:rPr>
                      <w:sz w:val="21"/>
                      <w:highlight w:val="none"/>
                    </w:rPr>
                    <w:t>切削液</w:t>
                  </w:r>
                </w:p>
              </w:tc>
              <w:tc>
                <w:tcPr>
                  <w:tcW w:w="764" w:type="dxa"/>
                  <w:vAlign w:val="center"/>
                </w:tcPr>
                <w:p w14:paraId="31B078AD">
                  <w:pPr>
                    <w:spacing w:line="340" w:lineRule="exact"/>
                    <w:ind w:firstLine="0" w:firstLineChars="0"/>
                    <w:jc w:val="center"/>
                    <w:rPr>
                      <w:sz w:val="21"/>
                      <w:szCs w:val="21"/>
                      <w:highlight w:val="none"/>
                    </w:rPr>
                  </w:pPr>
                  <w:r>
                    <w:rPr>
                      <w:rFonts w:hint="eastAsia"/>
                      <w:sz w:val="21"/>
                      <w:szCs w:val="21"/>
                      <w:highlight w:val="none"/>
                    </w:rPr>
                    <w:t>L/a</w:t>
                  </w:r>
                </w:p>
              </w:tc>
              <w:tc>
                <w:tcPr>
                  <w:tcW w:w="1214" w:type="dxa"/>
                  <w:vAlign w:val="center"/>
                </w:tcPr>
                <w:p w14:paraId="36B35804">
                  <w:pPr>
                    <w:pStyle w:val="31"/>
                    <w:spacing w:line="340" w:lineRule="exact"/>
                    <w:rPr>
                      <w:sz w:val="21"/>
                      <w:highlight w:val="none"/>
                    </w:rPr>
                  </w:pPr>
                  <w:r>
                    <w:rPr>
                      <w:rFonts w:hint="eastAsia"/>
                      <w:sz w:val="21"/>
                      <w:highlight w:val="none"/>
                    </w:rPr>
                    <w:t>15000</w:t>
                  </w:r>
                </w:p>
              </w:tc>
              <w:tc>
                <w:tcPr>
                  <w:tcW w:w="886" w:type="dxa"/>
                  <w:vAlign w:val="center"/>
                </w:tcPr>
                <w:p w14:paraId="435C5711">
                  <w:pPr>
                    <w:pStyle w:val="31"/>
                    <w:spacing w:line="340" w:lineRule="exact"/>
                    <w:rPr>
                      <w:sz w:val="21"/>
                      <w:highlight w:val="none"/>
                    </w:rPr>
                  </w:pPr>
                  <w:r>
                    <w:rPr>
                      <w:rFonts w:hint="eastAsia"/>
                      <w:sz w:val="21"/>
                      <w:highlight w:val="none"/>
                    </w:rPr>
                    <w:t>机床设备</w:t>
                  </w:r>
                </w:p>
              </w:tc>
              <w:tc>
                <w:tcPr>
                  <w:tcW w:w="900" w:type="dxa"/>
                  <w:vAlign w:val="center"/>
                </w:tcPr>
                <w:p w14:paraId="0711A118">
                  <w:pPr>
                    <w:pStyle w:val="31"/>
                    <w:spacing w:line="340" w:lineRule="exact"/>
                    <w:rPr>
                      <w:sz w:val="21"/>
                      <w:highlight w:val="none"/>
                    </w:rPr>
                  </w:pPr>
                  <w:r>
                    <w:rPr>
                      <w:rFonts w:hint="eastAsia"/>
                      <w:sz w:val="21"/>
                      <w:highlight w:val="none"/>
                    </w:rPr>
                    <w:t>瓶装</w:t>
                  </w:r>
                </w:p>
              </w:tc>
              <w:tc>
                <w:tcPr>
                  <w:tcW w:w="1105" w:type="dxa"/>
                  <w:vAlign w:val="center"/>
                </w:tcPr>
                <w:p w14:paraId="239DD063">
                  <w:pPr>
                    <w:spacing w:line="340" w:lineRule="exact"/>
                    <w:ind w:firstLine="0" w:firstLineChars="0"/>
                    <w:jc w:val="center"/>
                    <w:rPr>
                      <w:sz w:val="21"/>
                      <w:szCs w:val="21"/>
                      <w:highlight w:val="none"/>
                    </w:rPr>
                  </w:pPr>
                  <w:r>
                    <w:rPr>
                      <w:rFonts w:hint="eastAsia"/>
                      <w:sz w:val="21"/>
                      <w:szCs w:val="21"/>
                      <w:highlight w:val="none"/>
                    </w:rPr>
                    <w:t>危险品库房</w:t>
                  </w:r>
                </w:p>
              </w:tc>
              <w:tc>
                <w:tcPr>
                  <w:tcW w:w="1087" w:type="dxa"/>
                  <w:vAlign w:val="center"/>
                </w:tcPr>
                <w:p w14:paraId="5E2C517E">
                  <w:pPr>
                    <w:pStyle w:val="31"/>
                    <w:spacing w:line="340" w:lineRule="exact"/>
                    <w:rPr>
                      <w:sz w:val="21"/>
                      <w:highlight w:val="none"/>
                    </w:rPr>
                  </w:pPr>
                  <w:r>
                    <w:rPr>
                      <w:sz w:val="21"/>
                      <w:highlight w:val="none"/>
                    </w:rPr>
                    <w:t>20L</w:t>
                  </w:r>
                  <w:r>
                    <w:rPr>
                      <w:rFonts w:hint="eastAsia"/>
                      <w:sz w:val="21"/>
                      <w:highlight w:val="none"/>
                    </w:rPr>
                    <w:t>/瓶</w:t>
                  </w:r>
                </w:p>
              </w:tc>
            </w:tr>
            <w:tr w14:paraId="44A22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132B99EB">
                  <w:pPr>
                    <w:pStyle w:val="31"/>
                    <w:spacing w:line="340" w:lineRule="exact"/>
                    <w:rPr>
                      <w:sz w:val="21"/>
                      <w:highlight w:val="none"/>
                    </w:rPr>
                  </w:pPr>
                </w:p>
              </w:tc>
              <w:tc>
                <w:tcPr>
                  <w:tcW w:w="1471" w:type="dxa"/>
                  <w:vAlign w:val="center"/>
                </w:tcPr>
                <w:p w14:paraId="39D0221A">
                  <w:pPr>
                    <w:pStyle w:val="31"/>
                    <w:spacing w:line="340" w:lineRule="exact"/>
                    <w:rPr>
                      <w:sz w:val="21"/>
                      <w:highlight w:val="none"/>
                    </w:rPr>
                  </w:pPr>
                  <w:r>
                    <w:rPr>
                      <w:rFonts w:hint="eastAsia"/>
                      <w:sz w:val="21"/>
                      <w:highlight w:val="none"/>
                    </w:rPr>
                    <w:t>液压油</w:t>
                  </w:r>
                </w:p>
              </w:tc>
              <w:tc>
                <w:tcPr>
                  <w:tcW w:w="764" w:type="dxa"/>
                  <w:vAlign w:val="center"/>
                </w:tcPr>
                <w:p w14:paraId="690FF17E">
                  <w:pPr>
                    <w:spacing w:line="340" w:lineRule="exact"/>
                    <w:ind w:firstLine="0" w:firstLineChars="0"/>
                    <w:jc w:val="center"/>
                    <w:rPr>
                      <w:sz w:val="21"/>
                      <w:szCs w:val="21"/>
                      <w:highlight w:val="none"/>
                    </w:rPr>
                  </w:pPr>
                  <w:r>
                    <w:rPr>
                      <w:rFonts w:hint="eastAsia"/>
                      <w:sz w:val="21"/>
                      <w:szCs w:val="21"/>
                      <w:highlight w:val="none"/>
                    </w:rPr>
                    <w:t>L/a</w:t>
                  </w:r>
                </w:p>
              </w:tc>
              <w:tc>
                <w:tcPr>
                  <w:tcW w:w="1214" w:type="dxa"/>
                  <w:vAlign w:val="center"/>
                </w:tcPr>
                <w:p w14:paraId="3CE6EC43">
                  <w:pPr>
                    <w:pStyle w:val="31"/>
                    <w:spacing w:line="340" w:lineRule="exact"/>
                    <w:rPr>
                      <w:sz w:val="21"/>
                      <w:highlight w:val="none"/>
                    </w:rPr>
                  </w:pPr>
                  <w:r>
                    <w:rPr>
                      <w:rFonts w:hint="eastAsia"/>
                      <w:sz w:val="21"/>
                      <w:highlight w:val="none"/>
                    </w:rPr>
                    <w:t>9600</w:t>
                  </w:r>
                </w:p>
              </w:tc>
              <w:tc>
                <w:tcPr>
                  <w:tcW w:w="886" w:type="dxa"/>
                  <w:vAlign w:val="center"/>
                </w:tcPr>
                <w:p w14:paraId="50255460">
                  <w:pPr>
                    <w:pStyle w:val="31"/>
                    <w:spacing w:line="340" w:lineRule="exact"/>
                    <w:rPr>
                      <w:sz w:val="21"/>
                      <w:highlight w:val="none"/>
                    </w:rPr>
                  </w:pPr>
                  <w:r>
                    <w:rPr>
                      <w:rFonts w:hint="eastAsia"/>
                      <w:sz w:val="21"/>
                      <w:highlight w:val="none"/>
                    </w:rPr>
                    <w:t>出齿设备</w:t>
                  </w:r>
                </w:p>
              </w:tc>
              <w:tc>
                <w:tcPr>
                  <w:tcW w:w="900" w:type="dxa"/>
                  <w:vAlign w:val="center"/>
                </w:tcPr>
                <w:p w14:paraId="46624FA4">
                  <w:pPr>
                    <w:pStyle w:val="31"/>
                    <w:spacing w:line="340" w:lineRule="exact"/>
                    <w:rPr>
                      <w:sz w:val="21"/>
                      <w:highlight w:val="none"/>
                    </w:rPr>
                  </w:pPr>
                  <w:r>
                    <w:rPr>
                      <w:rFonts w:hint="eastAsia"/>
                      <w:sz w:val="21"/>
                      <w:highlight w:val="none"/>
                    </w:rPr>
                    <w:t>桶装</w:t>
                  </w:r>
                </w:p>
              </w:tc>
              <w:tc>
                <w:tcPr>
                  <w:tcW w:w="1105" w:type="dxa"/>
                  <w:vAlign w:val="center"/>
                </w:tcPr>
                <w:p w14:paraId="738F90BE">
                  <w:pPr>
                    <w:spacing w:line="340" w:lineRule="exact"/>
                    <w:ind w:firstLine="0" w:firstLineChars="0"/>
                    <w:jc w:val="center"/>
                    <w:rPr>
                      <w:sz w:val="21"/>
                      <w:szCs w:val="21"/>
                      <w:highlight w:val="none"/>
                    </w:rPr>
                  </w:pPr>
                  <w:r>
                    <w:rPr>
                      <w:rFonts w:hint="eastAsia"/>
                      <w:sz w:val="21"/>
                      <w:szCs w:val="21"/>
                      <w:highlight w:val="none"/>
                    </w:rPr>
                    <w:t>危险品库房</w:t>
                  </w:r>
                </w:p>
              </w:tc>
              <w:tc>
                <w:tcPr>
                  <w:tcW w:w="1087" w:type="dxa"/>
                  <w:vAlign w:val="center"/>
                </w:tcPr>
                <w:p w14:paraId="215BEDD6">
                  <w:pPr>
                    <w:pStyle w:val="31"/>
                    <w:spacing w:line="340" w:lineRule="exact"/>
                    <w:rPr>
                      <w:sz w:val="21"/>
                      <w:highlight w:val="none"/>
                    </w:rPr>
                  </w:pPr>
                  <w:r>
                    <w:rPr>
                      <w:rFonts w:hint="eastAsia"/>
                      <w:sz w:val="21"/>
                      <w:highlight w:val="none"/>
                    </w:rPr>
                    <w:t>200</w:t>
                  </w:r>
                  <w:r>
                    <w:rPr>
                      <w:sz w:val="21"/>
                      <w:highlight w:val="none"/>
                    </w:rPr>
                    <w:t>L</w:t>
                  </w:r>
                  <w:r>
                    <w:rPr>
                      <w:rFonts w:hint="eastAsia"/>
                      <w:sz w:val="21"/>
                      <w:highlight w:val="none"/>
                    </w:rPr>
                    <w:t>/桶</w:t>
                  </w:r>
                </w:p>
              </w:tc>
            </w:tr>
            <w:tr w14:paraId="4F023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10194D36">
                  <w:pPr>
                    <w:pStyle w:val="31"/>
                    <w:spacing w:line="340" w:lineRule="exact"/>
                    <w:rPr>
                      <w:sz w:val="21"/>
                      <w:highlight w:val="none"/>
                    </w:rPr>
                  </w:pPr>
                </w:p>
              </w:tc>
              <w:tc>
                <w:tcPr>
                  <w:tcW w:w="1471" w:type="dxa"/>
                  <w:vAlign w:val="center"/>
                </w:tcPr>
                <w:p w14:paraId="2B6B480D">
                  <w:pPr>
                    <w:pStyle w:val="31"/>
                    <w:spacing w:line="340" w:lineRule="exact"/>
                    <w:rPr>
                      <w:sz w:val="21"/>
                      <w:highlight w:val="none"/>
                    </w:rPr>
                  </w:pPr>
                  <w:r>
                    <w:rPr>
                      <w:sz w:val="21"/>
                      <w:highlight w:val="none"/>
                    </w:rPr>
                    <w:t>包装</w:t>
                  </w:r>
                  <w:r>
                    <w:rPr>
                      <w:rFonts w:hint="eastAsia"/>
                      <w:sz w:val="21"/>
                      <w:highlight w:val="none"/>
                    </w:rPr>
                    <w:t>箱</w:t>
                  </w:r>
                </w:p>
              </w:tc>
              <w:tc>
                <w:tcPr>
                  <w:tcW w:w="764" w:type="dxa"/>
                  <w:vAlign w:val="center"/>
                </w:tcPr>
                <w:p w14:paraId="2E8D8CE8">
                  <w:pPr>
                    <w:pStyle w:val="31"/>
                    <w:spacing w:line="340" w:lineRule="exact"/>
                    <w:rPr>
                      <w:sz w:val="21"/>
                      <w:highlight w:val="none"/>
                    </w:rPr>
                  </w:pPr>
                  <w:r>
                    <w:rPr>
                      <w:sz w:val="21"/>
                      <w:highlight w:val="none"/>
                    </w:rPr>
                    <w:t>个</w:t>
                  </w:r>
                  <w:r>
                    <w:rPr>
                      <w:rFonts w:hint="eastAsia"/>
                      <w:sz w:val="21"/>
                      <w:highlight w:val="none"/>
                    </w:rPr>
                    <w:t>/a</w:t>
                  </w:r>
                </w:p>
              </w:tc>
              <w:tc>
                <w:tcPr>
                  <w:tcW w:w="1214" w:type="dxa"/>
                  <w:vAlign w:val="center"/>
                </w:tcPr>
                <w:p w14:paraId="1031C747">
                  <w:pPr>
                    <w:pStyle w:val="31"/>
                    <w:spacing w:line="340" w:lineRule="exact"/>
                    <w:rPr>
                      <w:sz w:val="21"/>
                      <w:highlight w:val="none"/>
                    </w:rPr>
                  </w:pPr>
                  <w:r>
                    <w:rPr>
                      <w:rFonts w:hint="eastAsia"/>
                      <w:sz w:val="21"/>
                      <w:highlight w:val="none"/>
                    </w:rPr>
                    <w:t>/</w:t>
                  </w:r>
                </w:p>
              </w:tc>
              <w:tc>
                <w:tcPr>
                  <w:tcW w:w="886" w:type="dxa"/>
                  <w:vAlign w:val="center"/>
                </w:tcPr>
                <w:p w14:paraId="3EDBE2EB">
                  <w:pPr>
                    <w:pStyle w:val="31"/>
                    <w:spacing w:line="340" w:lineRule="exact"/>
                    <w:rPr>
                      <w:sz w:val="21"/>
                      <w:highlight w:val="none"/>
                    </w:rPr>
                  </w:pPr>
                  <w:r>
                    <w:rPr>
                      <w:rFonts w:hint="eastAsia"/>
                      <w:sz w:val="21"/>
                      <w:highlight w:val="none"/>
                    </w:rPr>
                    <w:t>包装</w:t>
                  </w:r>
                </w:p>
              </w:tc>
              <w:tc>
                <w:tcPr>
                  <w:tcW w:w="900" w:type="dxa"/>
                  <w:vAlign w:val="center"/>
                </w:tcPr>
                <w:p w14:paraId="4D758B58">
                  <w:pPr>
                    <w:pStyle w:val="31"/>
                    <w:spacing w:line="340" w:lineRule="exact"/>
                    <w:rPr>
                      <w:sz w:val="21"/>
                      <w:highlight w:val="none"/>
                    </w:rPr>
                  </w:pPr>
                  <w:r>
                    <w:rPr>
                      <w:rFonts w:hint="eastAsia"/>
                      <w:sz w:val="21"/>
                      <w:highlight w:val="none"/>
                    </w:rPr>
                    <w:t>散装</w:t>
                  </w:r>
                </w:p>
              </w:tc>
              <w:tc>
                <w:tcPr>
                  <w:tcW w:w="1105" w:type="dxa"/>
                  <w:vAlign w:val="center"/>
                </w:tcPr>
                <w:p w14:paraId="51A68C54">
                  <w:pPr>
                    <w:pStyle w:val="31"/>
                    <w:spacing w:line="340" w:lineRule="exact"/>
                    <w:rPr>
                      <w:sz w:val="21"/>
                      <w:highlight w:val="none"/>
                    </w:rPr>
                  </w:pPr>
                  <w:r>
                    <w:rPr>
                      <w:rFonts w:hint="eastAsia"/>
                      <w:sz w:val="21"/>
                      <w:highlight w:val="none"/>
                    </w:rPr>
                    <w:t>仓储区</w:t>
                  </w:r>
                </w:p>
              </w:tc>
              <w:tc>
                <w:tcPr>
                  <w:tcW w:w="1087" w:type="dxa"/>
                  <w:vAlign w:val="center"/>
                </w:tcPr>
                <w:p w14:paraId="42F5FE76">
                  <w:pPr>
                    <w:pStyle w:val="31"/>
                    <w:spacing w:line="340" w:lineRule="exact"/>
                    <w:rPr>
                      <w:sz w:val="21"/>
                      <w:highlight w:val="none"/>
                    </w:rPr>
                  </w:pPr>
                  <w:r>
                    <w:rPr>
                      <w:rFonts w:hint="eastAsia"/>
                      <w:sz w:val="21"/>
                      <w:highlight w:val="none"/>
                    </w:rPr>
                    <w:t>/</w:t>
                  </w:r>
                </w:p>
              </w:tc>
            </w:tr>
            <w:tr w14:paraId="7368D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324C8F2B">
                  <w:pPr>
                    <w:pStyle w:val="31"/>
                    <w:spacing w:line="340" w:lineRule="exact"/>
                    <w:rPr>
                      <w:sz w:val="21"/>
                      <w:highlight w:val="none"/>
                    </w:rPr>
                  </w:pPr>
                </w:p>
              </w:tc>
              <w:tc>
                <w:tcPr>
                  <w:tcW w:w="1471" w:type="dxa"/>
                  <w:vAlign w:val="center"/>
                </w:tcPr>
                <w:p w14:paraId="04561079">
                  <w:pPr>
                    <w:pStyle w:val="31"/>
                    <w:spacing w:line="340" w:lineRule="exact"/>
                    <w:rPr>
                      <w:sz w:val="21"/>
                      <w:highlight w:val="none"/>
                    </w:rPr>
                  </w:pPr>
                  <w:r>
                    <w:rPr>
                      <w:rFonts w:hint="eastAsia"/>
                      <w:sz w:val="21"/>
                      <w:highlight w:val="none"/>
                    </w:rPr>
                    <w:t>金属清洗剂</w:t>
                  </w:r>
                </w:p>
                <w:p w14:paraId="7A6BBFC6">
                  <w:pPr>
                    <w:pStyle w:val="31"/>
                    <w:spacing w:line="340" w:lineRule="exact"/>
                    <w:rPr>
                      <w:highlight w:val="none"/>
                    </w:rPr>
                  </w:pPr>
                  <w:r>
                    <w:rPr>
                      <w:rFonts w:hint="eastAsia"/>
                      <w:sz w:val="21"/>
                      <w:highlight w:val="none"/>
                    </w:rPr>
                    <w:t>（除油脱脂剂）</w:t>
                  </w:r>
                </w:p>
              </w:tc>
              <w:tc>
                <w:tcPr>
                  <w:tcW w:w="764" w:type="dxa"/>
                  <w:vAlign w:val="center"/>
                </w:tcPr>
                <w:p w14:paraId="159E793C">
                  <w:pPr>
                    <w:pStyle w:val="31"/>
                    <w:spacing w:line="340" w:lineRule="exact"/>
                    <w:rPr>
                      <w:sz w:val="21"/>
                      <w:highlight w:val="none"/>
                    </w:rPr>
                  </w:pPr>
                  <w:r>
                    <w:rPr>
                      <w:rFonts w:hint="eastAsia"/>
                      <w:sz w:val="21"/>
                      <w:highlight w:val="none"/>
                    </w:rPr>
                    <w:t>Kg/a</w:t>
                  </w:r>
                </w:p>
              </w:tc>
              <w:tc>
                <w:tcPr>
                  <w:tcW w:w="1214" w:type="dxa"/>
                  <w:vAlign w:val="center"/>
                </w:tcPr>
                <w:p w14:paraId="133412BA">
                  <w:pPr>
                    <w:pStyle w:val="31"/>
                    <w:spacing w:line="340" w:lineRule="exact"/>
                    <w:rPr>
                      <w:sz w:val="21"/>
                      <w:highlight w:val="none"/>
                    </w:rPr>
                  </w:pPr>
                  <w:r>
                    <w:rPr>
                      <w:rFonts w:hint="eastAsia"/>
                      <w:sz w:val="21"/>
                      <w:highlight w:val="none"/>
                    </w:rPr>
                    <w:t>120</w:t>
                  </w:r>
                </w:p>
              </w:tc>
              <w:tc>
                <w:tcPr>
                  <w:tcW w:w="886" w:type="dxa"/>
                  <w:vAlign w:val="center"/>
                </w:tcPr>
                <w:p w14:paraId="077750CE">
                  <w:pPr>
                    <w:pStyle w:val="31"/>
                    <w:spacing w:line="340" w:lineRule="exact"/>
                    <w:rPr>
                      <w:sz w:val="21"/>
                      <w:highlight w:val="none"/>
                    </w:rPr>
                  </w:pPr>
                  <w:r>
                    <w:rPr>
                      <w:rFonts w:hint="eastAsia"/>
                      <w:sz w:val="21"/>
                      <w:highlight w:val="none"/>
                    </w:rPr>
                    <w:t>清洗</w:t>
                  </w:r>
                </w:p>
              </w:tc>
              <w:tc>
                <w:tcPr>
                  <w:tcW w:w="900" w:type="dxa"/>
                  <w:vAlign w:val="center"/>
                </w:tcPr>
                <w:p w14:paraId="76C04C10">
                  <w:pPr>
                    <w:pStyle w:val="31"/>
                    <w:spacing w:line="340" w:lineRule="exact"/>
                    <w:rPr>
                      <w:sz w:val="21"/>
                      <w:highlight w:val="none"/>
                    </w:rPr>
                  </w:pPr>
                  <w:r>
                    <w:rPr>
                      <w:rFonts w:hint="eastAsia"/>
                      <w:sz w:val="21"/>
                      <w:highlight w:val="none"/>
                    </w:rPr>
                    <w:t>袋装</w:t>
                  </w:r>
                </w:p>
              </w:tc>
              <w:tc>
                <w:tcPr>
                  <w:tcW w:w="1105" w:type="dxa"/>
                  <w:vAlign w:val="center"/>
                </w:tcPr>
                <w:p w14:paraId="4D423381">
                  <w:pPr>
                    <w:pStyle w:val="31"/>
                    <w:spacing w:line="340" w:lineRule="exact"/>
                    <w:rPr>
                      <w:sz w:val="21"/>
                      <w:highlight w:val="none"/>
                    </w:rPr>
                  </w:pPr>
                  <w:r>
                    <w:rPr>
                      <w:rFonts w:hint="eastAsia"/>
                      <w:sz w:val="21"/>
                      <w:highlight w:val="none"/>
                    </w:rPr>
                    <w:t>原料区</w:t>
                  </w:r>
                </w:p>
              </w:tc>
              <w:tc>
                <w:tcPr>
                  <w:tcW w:w="1087" w:type="dxa"/>
                  <w:vAlign w:val="center"/>
                </w:tcPr>
                <w:p w14:paraId="43E462E2">
                  <w:pPr>
                    <w:pStyle w:val="31"/>
                    <w:spacing w:line="340" w:lineRule="exact"/>
                    <w:rPr>
                      <w:sz w:val="21"/>
                      <w:highlight w:val="none"/>
                    </w:rPr>
                  </w:pPr>
                  <w:r>
                    <w:rPr>
                      <w:rFonts w:hint="eastAsia"/>
                      <w:sz w:val="21"/>
                      <w:highlight w:val="none"/>
                    </w:rPr>
                    <w:t>1Kg/袋</w:t>
                  </w:r>
                </w:p>
              </w:tc>
            </w:tr>
            <w:tr w14:paraId="7BE44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36554AD0">
                  <w:pPr>
                    <w:pStyle w:val="31"/>
                    <w:spacing w:line="340" w:lineRule="exact"/>
                    <w:rPr>
                      <w:sz w:val="21"/>
                      <w:highlight w:val="none"/>
                    </w:rPr>
                  </w:pPr>
                </w:p>
              </w:tc>
              <w:tc>
                <w:tcPr>
                  <w:tcW w:w="1471" w:type="dxa"/>
                  <w:vAlign w:val="center"/>
                </w:tcPr>
                <w:p w14:paraId="3588047F">
                  <w:pPr>
                    <w:pStyle w:val="31"/>
                    <w:spacing w:line="340" w:lineRule="exact"/>
                    <w:rPr>
                      <w:sz w:val="21"/>
                      <w:highlight w:val="none"/>
                    </w:rPr>
                  </w:pPr>
                  <w:r>
                    <w:rPr>
                      <w:rFonts w:hint="eastAsia"/>
                      <w:sz w:val="21"/>
                      <w:highlight w:val="none"/>
                    </w:rPr>
                    <w:t>润滑油</w:t>
                  </w:r>
                </w:p>
              </w:tc>
              <w:tc>
                <w:tcPr>
                  <w:tcW w:w="764" w:type="dxa"/>
                  <w:vAlign w:val="center"/>
                </w:tcPr>
                <w:p w14:paraId="2D182FFB">
                  <w:pPr>
                    <w:spacing w:line="340" w:lineRule="exact"/>
                    <w:ind w:firstLine="0" w:firstLineChars="0"/>
                    <w:jc w:val="center"/>
                    <w:rPr>
                      <w:sz w:val="21"/>
                      <w:szCs w:val="21"/>
                      <w:highlight w:val="none"/>
                    </w:rPr>
                  </w:pPr>
                  <w:r>
                    <w:rPr>
                      <w:rFonts w:hint="eastAsia"/>
                      <w:sz w:val="21"/>
                      <w:szCs w:val="21"/>
                      <w:highlight w:val="none"/>
                    </w:rPr>
                    <w:t>L/a</w:t>
                  </w:r>
                </w:p>
              </w:tc>
              <w:tc>
                <w:tcPr>
                  <w:tcW w:w="1214" w:type="dxa"/>
                  <w:vAlign w:val="center"/>
                </w:tcPr>
                <w:p w14:paraId="526D9661">
                  <w:pPr>
                    <w:pStyle w:val="31"/>
                    <w:spacing w:line="340" w:lineRule="exact"/>
                    <w:rPr>
                      <w:sz w:val="21"/>
                      <w:highlight w:val="none"/>
                    </w:rPr>
                  </w:pPr>
                  <w:r>
                    <w:rPr>
                      <w:rFonts w:hint="eastAsia"/>
                      <w:sz w:val="21"/>
                      <w:highlight w:val="none"/>
                    </w:rPr>
                    <w:t>5000</w:t>
                  </w:r>
                </w:p>
              </w:tc>
              <w:tc>
                <w:tcPr>
                  <w:tcW w:w="886" w:type="dxa"/>
                  <w:vMerge w:val="restart"/>
                  <w:vAlign w:val="center"/>
                </w:tcPr>
                <w:p w14:paraId="693C03DF">
                  <w:pPr>
                    <w:pStyle w:val="31"/>
                    <w:spacing w:line="340" w:lineRule="exact"/>
                    <w:rPr>
                      <w:sz w:val="21"/>
                      <w:highlight w:val="none"/>
                    </w:rPr>
                  </w:pPr>
                  <w:r>
                    <w:rPr>
                      <w:rFonts w:hint="eastAsia"/>
                      <w:sz w:val="21"/>
                      <w:highlight w:val="none"/>
                    </w:rPr>
                    <w:t>设备维修</w:t>
                  </w:r>
                </w:p>
              </w:tc>
              <w:tc>
                <w:tcPr>
                  <w:tcW w:w="900" w:type="dxa"/>
                  <w:vAlign w:val="center"/>
                </w:tcPr>
                <w:p w14:paraId="38A46E39">
                  <w:pPr>
                    <w:pStyle w:val="31"/>
                    <w:spacing w:line="340" w:lineRule="exact"/>
                    <w:rPr>
                      <w:sz w:val="21"/>
                      <w:highlight w:val="none"/>
                    </w:rPr>
                  </w:pPr>
                  <w:r>
                    <w:rPr>
                      <w:rFonts w:hint="eastAsia"/>
                      <w:sz w:val="21"/>
                      <w:highlight w:val="none"/>
                    </w:rPr>
                    <w:t>桶装</w:t>
                  </w:r>
                </w:p>
              </w:tc>
              <w:tc>
                <w:tcPr>
                  <w:tcW w:w="1105" w:type="dxa"/>
                  <w:vAlign w:val="center"/>
                </w:tcPr>
                <w:p w14:paraId="24BB1DF3">
                  <w:pPr>
                    <w:spacing w:line="340" w:lineRule="exact"/>
                    <w:ind w:firstLine="0" w:firstLineChars="0"/>
                    <w:jc w:val="center"/>
                    <w:rPr>
                      <w:sz w:val="21"/>
                      <w:szCs w:val="21"/>
                      <w:highlight w:val="none"/>
                    </w:rPr>
                  </w:pPr>
                  <w:r>
                    <w:rPr>
                      <w:rFonts w:hint="eastAsia"/>
                      <w:sz w:val="21"/>
                      <w:szCs w:val="21"/>
                      <w:highlight w:val="none"/>
                    </w:rPr>
                    <w:t>危险品库房</w:t>
                  </w:r>
                </w:p>
              </w:tc>
              <w:tc>
                <w:tcPr>
                  <w:tcW w:w="1087" w:type="dxa"/>
                  <w:vAlign w:val="center"/>
                </w:tcPr>
                <w:p w14:paraId="7485F80D">
                  <w:pPr>
                    <w:pStyle w:val="31"/>
                    <w:spacing w:line="340" w:lineRule="exact"/>
                    <w:rPr>
                      <w:sz w:val="21"/>
                      <w:highlight w:val="none"/>
                    </w:rPr>
                  </w:pPr>
                  <w:r>
                    <w:rPr>
                      <w:rFonts w:hint="eastAsia"/>
                      <w:sz w:val="21"/>
                      <w:highlight w:val="none"/>
                    </w:rPr>
                    <w:t>200</w:t>
                  </w:r>
                  <w:r>
                    <w:rPr>
                      <w:sz w:val="21"/>
                      <w:highlight w:val="none"/>
                    </w:rPr>
                    <w:t>L</w:t>
                  </w:r>
                  <w:r>
                    <w:rPr>
                      <w:rFonts w:hint="eastAsia"/>
                      <w:sz w:val="21"/>
                      <w:highlight w:val="none"/>
                    </w:rPr>
                    <w:t>/桶</w:t>
                  </w:r>
                </w:p>
              </w:tc>
            </w:tr>
            <w:tr w14:paraId="4E81E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0AD068C7">
                  <w:pPr>
                    <w:pStyle w:val="31"/>
                    <w:spacing w:line="340" w:lineRule="exact"/>
                    <w:rPr>
                      <w:sz w:val="21"/>
                      <w:highlight w:val="none"/>
                    </w:rPr>
                  </w:pPr>
                </w:p>
              </w:tc>
              <w:tc>
                <w:tcPr>
                  <w:tcW w:w="1471" w:type="dxa"/>
                  <w:vAlign w:val="center"/>
                </w:tcPr>
                <w:p w14:paraId="6A8966EA">
                  <w:pPr>
                    <w:pStyle w:val="31"/>
                    <w:spacing w:line="340" w:lineRule="exact"/>
                    <w:rPr>
                      <w:sz w:val="21"/>
                      <w:highlight w:val="none"/>
                    </w:rPr>
                  </w:pPr>
                  <w:r>
                    <w:rPr>
                      <w:sz w:val="21"/>
                      <w:highlight w:val="none"/>
                    </w:rPr>
                    <w:t>砂轮</w:t>
                  </w:r>
                </w:p>
              </w:tc>
              <w:tc>
                <w:tcPr>
                  <w:tcW w:w="764" w:type="dxa"/>
                  <w:vAlign w:val="center"/>
                </w:tcPr>
                <w:p w14:paraId="03B415DC">
                  <w:pPr>
                    <w:spacing w:line="340" w:lineRule="exact"/>
                    <w:ind w:firstLine="0" w:firstLineChars="0"/>
                    <w:jc w:val="center"/>
                    <w:rPr>
                      <w:sz w:val="21"/>
                      <w:szCs w:val="21"/>
                      <w:highlight w:val="none"/>
                    </w:rPr>
                  </w:pPr>
                  <w:r>
                    <w:rPr>
                      <w:rFonts w:hint="eastAsia"/>
                      <w:sz w:val="21"/>
                      <w:szCs w:val="21"/>
                      <w:highlight w:val="none"/>
                    </w:rPr>
                    <w:t>t/a</w:t>
                  </w:r>
                </w:p>
              </w:tc>
              <w:tc>
                <w:tcPr>
                  <w:tcW w:w="1214" w:type="dxa"/>
                  <w:vAlign w:val="center"/>
                </w:tcPr>
                <w:p w14:paraId="5AF24600">
                  <w:pPr>
                    <w:pStyle w:val="31"/>
                    <w:spacing w:line="340" w:lineRule="exact"/>
                    <w:rPr>
                      <w:sz w:val="21"/>
                      <w:highlight w:val="none"/>
                    </w:rPr>
                  </w:pPr>
                  <w:r>
                    <w:rPr>
                      <w:rFonts w:hint="eastAsia"/>
                      <w:sz w:val="21"/>
                      <w:highlight w:val="none"/>
                    </w:rPr>
                    <w:t>50</w:t>
                  </w:r>
                </w:p>
              </w:tc>
              <w:tc>
                <w:tcPr>
                  <w:tcW w:w="886" w:type="dxa"/>
                  <w:vMerge w:val="continue"/>
                  <w:vAlign w:val="center"/>
                </w:tcPr>
                <w:p w14:paraId="0535ADC4">
                  <w:pPr>
                    <w:pStyle w:val="31"/>
                    <w:spacing w:line="340" w:lineRule="exact"/>
                    <w:rPr>
                      <w:sz w:val="21"/>
                      <w:highlight w:val="none"/>
                    </w:rPr>
                  </w:pPr>
                </w:p>
              </w:tc>
              <w:tc>
                <w:tcPr>
                  <w:tcW w:w="900" w:type="dxa"/>
                  <w:vAlign w:val="center"/>
                </w:tcPr>
                <w:p w14:paraId="402878A8">
                  <w:pPr>
                    <w:pStyle w:val="31"/>
                    <w:spacing w:line="340" w:lineRule="exact"/>
                    <w:rPr>
                      <w:sz w:val="21"/>
                      <w:highlight w:val="none"/>
                    </w:rPr>
                  </w:pPr>
                  <w:r>
                    <w:rPr>
                      <w:rFonts w:hint="eastAsia"/>
                      <w:sz w:val="21"/>
                      <w:highlight w:val="none"/>
                    </w:rPr>
                    <w:t>纸箱</w:t>
                  </w:r>
                </w:p>
              </w:tc>
              <w:tc>
                <w:tcPr>
                  <w:tcW w:w="1105" w:type="dxa"/>
                  <w:vAlign w:val="center"/>
                </w:tcPr>
                <w:p w14:paraId="32759DB0">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7F10D4DE">
                  <w:pPr>
                    <w:pStyle w:val="31"/>
                    <w:spacing w:line="340" w:lineRule="exact"/>
                    <w:rPr>
                      <w:sz w:val="21"/>
                      <w:highlight w:val="none"/>
                    </w:rPr>
                  </w:pPr>
                  <w:r>
                    <w:rPr>
                      <w:rFonts w:hint="eastAsia"/>
                      <w:sz w:val="21"/>
                      <w:highlight w:val="none"/>
                    </w:rPr>
                    <w:t>/</w:t>
                  </w:r>
                </w:p>
              </w:tc>
            </w:tr>
            <w:tr w14:paraId="324E8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69BF3866">
                  <w:pPr>
                    <w:pStyle w:val="31"/>
                    <w:spacing w:line="340" w:lineRule="exact"/>
                    <w:rPr>
                      <w:sz w:val="21"/>
                      <w:highlight w:val="none"/>
                    </w:rPr>
                  </w:pPr>
                </w:p>
              </w:tc>
              <w:tc>
                <w:tcPr>
                  <w:tcW w:w="1471" w:type="dxa"/>
                  <w:vAlign w:val="center"/>
                </w:tcPr>
                <w:p w14:paraId="0F0F56ED">
                  <w:pPr>
                    <w:pStyle w:val="31"/>
                    <w:spacing w:line="340" w:lineRule="exact"/>
                    <w:rPr>
                      <w:sz w:val="21"/>
                      <w:highlight w:val="none"/>
                    </w:rPr>
                  </w:pPr>
                  <w:r>
                    <w:rPr>
                      <w:rFonts w:hint="eastAsia"/>
                      <w:sz w:val="21"/>
                      <w:highlight w:val="none"/>
                    </w:rPr>
                    <w:t>数控</w:t>
                  </w:r>
                  <w:r>
                    <w:rPr>
                      <w:sz w:val="21"/>
                      <w:highlight w:val="none"/>
                    </w:rPr>
                    <w:t>刀片</w:t>
                  </w:r>
                </w:p>
              </w:tc>
              <w:tc>
                <w:tcPr>
                  <w:tcW w:w="764" w:type="dxa"/>
                  <w:vAlign w:val="center"/>
                </w:tcPr>
                <w:p w14:paraId="793B3961">
                  <w:pPr>
                    <w:pStyle w:val="31"/>
                    <w:spacing w:line="340" w:lineRule="exact"/>
                    <w:rPr>
                      <w:sz w:val="21"/>
                      <w:highlight w:val="none"/>
                    </w:rPr>
                  </w:pPr>
                  <w:r>
                    <w:rPr>
                      <w:rFonts w:hint="eastAsia"/>
                      <w:sz w:val="21"/>
                      <w:highlight w:val="none"/>
                    </w:rPr>
                    <w:t>盒/a</w:t>
                  </w:r>
                </w:p>
              </w:tc>
              <w:tc>
                <w:tcPr>
                  <w:tcW w:w="1214" w:type="dxa"/>
                  <w:vAlign w:val="center"/>
                </w:tcPr>
                <w:p w14:paraId="7532C65A">
                  <w:pPr>
                    <w:pStyle w:val="31"/>
                    <w:spacing w:line="340" w:lineRule="exact"/>
                    <w:rPr>
                      <w:sz w:val="21"/>
                      <w:highlight w:val="none"/>
                    </w:rPr>
                  </w:pPr>
                  <w:r>
                    <w:rPr>
                      <w:rFonts w:hint="eastAsia"/>
                      <w:sz w:val="21"/>
                      <w:highlight w:val="none"/>
                    </w:rPr>
                    <w:t>500</w:t>
                  </w:r>
                </w:p>
              </w:tc>
              <w:tc>
                <w:tcPr>
                  <w:tcW w:w="886" w:type="dxa"/>
                  <w:vMerge w:val="continue"/>
                  <w:vAlign w:val="center"/>
                </w:tcPr>
                <w:p w14:paraId="690E50B1">
                  <w:pPr>
                    <w:pStyle w:val="31"/>
                    <w:spacing w:line="340" w:lineRule="exact"/>
                    <w:rPr>
                      <w:sz w:val="21"/>
                      <w:highlight w:val="none"/>
                    </w:rPr>
                  </w:pPr>
                </w:p>
              </w:tc>
              <w:tc>
                <w:tcPr>
                  <w:tcW w:w="900" w:type="dxa"/>
                  <w:vAlign w:val="center"/>
                </w:tcPr>
                <w:p w14:paraId="700724F0">
                  <w:pPr>
                    <w:pStyle w:val="31"/>
                    <w:spacing w:line="340" w:lineRule="exact"/>
                    <w:rPr>
                      <w:sz w:val="21"/>
                      <w:highlight w:val="none"/>
                    </w:rPr>
                  </w:pPr>
                  <w:r>
                    <w:rPr>
                      <w:rFonts w:hint="eastAsia"/>
                      <w:sz w:val="21"/>
                      <w:highlight w:val="none"/>
                    </w:rPr>
                    <w:t>塑料盒</w:t>
                  </w:r>
                </w:p>
              </w:tc>
              <w:tc>
                <w:tcPr>
                  <w:tcW w:w="1105" w:type="dxa"/>
                  <w:vAlign w:val="center"/>
                </w:tcPr>
                <w:p w14:paraId="468CF062">
                  <w:pPr>
                    <w:spacing w:line="340" w:lineRule="exact"/>
                    <w:ind w:firstLine="0" w:firstLineChars="0"/>
                    <w:jc w:val="center"/>
                    <w:rPr>
                      <w:sz w:val="21"/>
                      <w:szCs w:val="21"/>
                      <w:highlight w:val="none"/>
                    </w:rPr>
                  </w:pPr>
                  <w:r>
                    <w:rPr>
                      <w:rFonts w:hint="eastAsia"/>
                      <w:sz w:val="21"/>
                      <w:szCs w:val="21"/>
                      <w:highlight w:val="none"/>
                    </w:rPr>
                    <w:t>原料区</w:t>
                  </w:r>
                </w:p>
              </w:tc>
              <w:tc>
                <w:tcPr>
                  <w:tcW w:w="1087" w:type="dxa"/>
                  <w:vAlign w:val="center"/>
                </w:tcPr>
                <w:p w14:paraId="2846F149">
                  <w:pPr>
                    <w:pStyle w:val="31"/>
                    <w:spacing w:line="340" w:lineRule="exact"/>
                    <w:rPr>
                      <w:sz w:val="21"/>
                      <w:highlight w:val="none"/>
                    </w:rPr>
                  </w:pPr>
                  <w:r>
                    <w:rPr>
                      <w:rFonts w:hint="eastAsia"/>
                      <w:sz w:val="21"/>
                      <w:highlight w:val="none"/>
                    </w:rPr>
                    <w:t>10片/盒</w:t>
                  </w:r>
                </w:p>
              </w:tc>
            </w:tr>
            <w:tr w14:paraId="7ECF2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Merge w:val="continue"/>
                  <w:vAlign w:val="center"/>
                </w:tcPr>
                <w:p w14:paraId="440D5C32">
                  <w:pPr>
                    <w:pStyle w:val="31"/>
                    <w:spacing w:line="340" w:lineRule="exact"/>
                    <w:rPr>
                      <w:sz w:val="21"/>
                      <w:highlight w:val="none"/>
                    </w:rPr>
                  </w:pPr>
                </w:p>
              </w:tc>
              <w:tc>
                <w:tcPr>
                  <w:tcW w:w="1471" w:type="dxa"/>
                  <w:vAlign w:val="center"/>
                </w:tcPr>
                <w:p w14:paraId="790B5098">
                  <w:pPr>
                    <w:pStyle w:val="31"/>
                    <w:spacing w:line="340" w:lineRule="exact"/>
                    <w:rPr>
                      <w:rFonts w:hint="eastAsia"/>
                      <w:sz w:val="21"/>
                      <w:highlight w:val="none"/>
                    </w:rPr>
                  </w:pPr>
                  <w:r>
                    <w:rPr>
                      <w:rFonts w:hint="eastAsia"/>
                      <w:color w:val="auto"/>
                      <w:sz w:val="21"/>
                      <w:szCs w:val="21"/>
                      <w:highlight w:val="none"/>
                      <w:lang w:val="en-US" w:eastAsia="zh-CN"/>
                    </w:rPr>
                    <w:t>聚丙稀酰氨</w:t>
                  </w:r>
                </w:p>
              </w:tc>
              <w:tc>
                <w:tcPr>
                  <w:tcW w:w="764" w:type="dxa"/>
                  <w:vAlign w:val="center"/>
                </w:tcPr>
                <w:p w14:paraId="791AD0A5">
                  <w:pPr>
                    <w:pStyle w:val="31"/>
                    <w:spacing w:line="340" w:lineRule="exact"/>
                    <w:rPr>
                      <w:rFonts w:hint="default" w:eastAsia="宋体"/>
                      <w:sz w:val="21"/>
                      <w:highlight w:val="none"/>
                      <w:lang w:val="en-US" w:eastAsia="zh-CN"/>
                    </w:rPr>
                  </w:pPr>
                  <w:r>
                    <w:rPr>
                      <w:rFonts w:hint="eastAsia"/>
                      <w:sz w:val="21"/>
                      <w:highlight w:val="none"/>
                      <w:lang w:val="en-US" w:eastAsia="zh-CN"/>
                    </w:rPr>
                    <w:t>Kg/a</w:t>
                  </w:r>
                </w:p>
              </w:tc>
              <w:tc>
                <w:tcPr>
                  <w:tcW w:w="1214" w:type="dxa"/>
                  <w:vAlign w:val="center"/>
                </w:tcPr>
                <w:p w14:paraId="2D8610F6">
                  <w:pPr>
                    <w:pStyle w:val="31"/>
                    <w:spacing w:line="340" w:lineRule="exact"/>
                    <w:rPr>
                      <w:rFonts w:hint="default" w:eastAsia="宋体"/>
                      <w:sz w:val="21"/>
                      <w:highlight w:val="none"/>
                      <w:lang w:val="en-US" w:eastAsia="zh-CN"/>
                    </w:rPr>
                  </w:pPr>
                  <w:r>
                    <w:rPr>
                      <w:rFonts w:hint="eastAsia"/>
                      <w:sz w:val="21"/>
                      <w:highlight w:val="none"/>
                      <w:lang w:val="en-US" w:eastAsia="zh-CN"/>
                    </w:rPr>
                    <w:t>0.15</w:t>
                  </w:r>
                </w:p>
              </w:tc>
              <w:tc>
                <w:tcPr>
                  <w:tcW w:w="886" w:type="dxa"/>
                  <w:vAlign w:val="center"/>
                </w:tcPr>
                <w:p w14:paraId="1C20EF7D">
                  <w:pPr>
                    <w:pStyle w:val="31"/>
                    <w:spacing w:line="340" w:lineRule="exact"/>
                    <w:rPr>
                      <w:rFonts w:hint="eastAsia" w:eastAsia="宋体"/>
                      <w:sz w:val="21"/>
                      <w:highlight w:val="none"/>
                      <w:lang w:eastAsia="zh-CN"/>
                    </w:rPr>
                  </w:pPr>
                  <w:r>
                    <w:rPr>
                      <w:rFonts w:hint="eastAsia"/>
                      <w:sz w:val="21"/>
                      <w:highlight w:val="none"/>
                      <w:lang w:eastAsia="zh-CN"/>
                    </w:rPr>
                    <w:t>污水处理设施</w:t>
                  </w:r>
                </w:p>
              </w:tc>
              <w:tc>
                <w:tcPr>
                  <w:tcW w:w="900" w:type="dxa"/>
                  <w:vAlign w:val="center"/>
                </w:tcPr>
                <w:p w14:paraId="212DA76E">
                  <w:pPr>
                    <w:pStyle w:val="31"/>
                    <w:spacing w:line="340" w:lineRule="exact"/>
                    <w:rPr>
                      <w:rFonts w:hint="eastAsia" w:eastAsia="宋体"/>
                      <w:sz w:val="21"/>
                      <w:highlight w:val="none"/>
                      <w:lang w:val="en-US" w:eastAsia="zh-CN"/>
                    </w:rPr>
                  </w:pPr>
                  <w:r>
                    <w:rPr>
                      <w:rFonts w:hint="eastAsia"/>
                      <w:sz w:val="21"/>
                      <w:highlight w:val="none"/>
                      <w:lang w:val="en-US" w:eastAsia="zh-CN"/>
                    </w:rPr>
                    <w:t>袋装</w:t>
                  </w:r>
                </w:p>
              </w:tc>
              <w:tc>
                <w:tcPr>
                  <w:tcW w:w="1105" w:type="dxa"/>
                  <w:vAlign w:val="center"/>
                </w:tcPr>
                <w:p w14:paraId="35B0A9A6">
                  <w:pPr>
                    <w:spacing w:line="340" w:lineRule="exact"/>
                    <w:ind w:firstLine="0" w:firstLineChars="0"/>
                    <w:jc w:val="center"/>
                    <w:rPr>
                      <w:rFonts w:hint="eastAsia"/>
                      <w:sz w:val="21"/>
                      <w:szCs w:val="21"/>
                      <w:highlight w:val="none"/>
                    </w:rPr>
                  </w:pPr>
                  <w:r>
                    <w:rPr>
                      <w:rFonts w:hint="eastAsia"/>
                      <w:sz w:val="21"/>
                      <w:szCs w:val="21"/>
                      <w:highlight w:val="none"/>
                    </w:rPr>
                    <w:t>原料区</w:t>
                  </w:r>
                </w:p>
              </w:tc>
              <w:tc>
                <w:tcPr>
                  <w:tcW w:w="1087" w:type="dxa"/>
                  <w:vAlign w:val="center"/>
                </w:tcPr>
                <w:p w14:paraId="6B8A74C9">
                  <w:pPr>
                    <w:pStyle w:val="31"/>
                    <w:spacing w:line="340" w:lineRule="exact"/>
                    <w:rPr>
                      <w:rFonts w:hint="default" w:eastAsia="宋体"/>
                      <w:sz w:val="21"/>
                      <w:highlight w:val="none"/>
                      <w:lang w:val="en-US" w:eastAsia="zh-CN"/>
                    </w:rPr>
                  </w:pPr>
                  <w:r>
                    <w:rPr>
                      <w:rFonts w:hint="eastAsia"/>
                      <w:sz w:val="21"/>
                      <w:highlight w:val="none"/>
                      <w:lang w:val="en-US" w:eastAsia="zh-CN"/>
                    </w:rPr>
                    <w:t>25kg/袋</w:t>
                  </w:r>
                </w:p>
              </w:tc>
            </w:tr>
            <w:tr w14:paraId="7B591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Align w:val="center"/>
                </w:tcPr>
                <w:p w14:paraId="24704E7E">
                  <w:pPr>
                    <w:pStyle w:val="31"/>
                    <w:spacing w:line="340" w:lineRule="exact"/>
                    <w:rPr>
                      <w:sz w:val="21"/>
                      <w:highlight w:val="none"/>
                    </w:rPr>
                  </w:pPr>
                  <w:r>
                    <w:rPr>
                      <w:rFonts w:hint="eastAsia"/>
                      <w:sz w:val="21"/>
                      <w:highlight w:val="none"/>
                    </w:rPr>
                    <w:t>水</w:t>
                  </w:r>
                </w:p>
              </w:tc>
              <w:tc>
                <w:tcPr>
                  <w:tcW w:w="1471" w:type="dxa"/>
                  <w:vAlign w:val="center"/>
                </w:tcPr>
                <w:p w14:paraId="2078D2D0">
                  <w:pPr>
                    <w:pStyle w:val="31"/>
                    <w:spacing w:line="340" w:lineRule="exact"/>
                    <w:rPr>
                      <w:sz w:val="21"/>
                      <w:highlight w:val="none"/>
                    </w:rPr>
                  </w:pPr>
                  <w:r>
                    <w:rPr>
                      <w:rFonts w:hint="eastAsia"/>
                      <w:sz w:val="21"/>
                      <w:highlight w:val="none"/>
                    </w:rPr>
                    <w:t>水</w:t>
                  </w:r>
                </w:p>
              </w:tc>
              <w:tc>
                <w:tcPr>
                  <w:tcW w:w="764" w:type="dxa"/>
                  <w:vAlign w:val="center"/>
                </w:tcPr>
                <w:p w14:paraId="5652E8EE">
                  <w:pPr>
                    <w:pStyle w:val="31"/>
                    <w:spacing w:line="340" w:lineRule="exact"/>
                    <w:rPr>
                      <w:color w:val="FF0000"/>
                      <w:sz w:val="21"/>
                      <w:highlight w:val="none"/>
                    </w:rPr>
                  </w:pPr>
                  <w:r>
                    <w:rPr>
                      <w:rFonts w:hint="eastAsia"/>
                      <w:sz w:val="21"/>
                      <w:szCs w:val="21"/>
                      <w:highlight w:val="none"/>
                    </w:rPr>
                    <w:t>m</w:t>
                  </w:r>
                  <w:r>
                    <w:rPr>
                      <w:rFonts w:hint="eastAsia"/>
                      <w:sz w:val="21"/>
                      <w:szCs w:val="21"/>
                      <w:highlight w:val="none"/>
                      <w:vertAlign w:val="superscript"/>
                    </w:rPr>
                    <w:t>3</w:t>
                  </w:r>
                  <w:r>
                    <w:rPr>
                      <w:rFonts w:hint="eastAsia"/>
                      <w:sz w:val="21"/>
                      <w:szCs w:val="21"/>
                      <w:highlight w:val="none"/>
                    </w:rPr>
                    <w:t>/a</w:t>
                  </w:r>
                </w:p>
              </w:tc>
              <w:tc>
                <w:tcPr>
                  <w:tcW w:w="1214" w:type="dxa"/>
                  <w:vAlign w:val="center"/>
                </w:tcPr>
                <w:p w14:paraId="0AFBCAE1">
                  <w:pPr>
                    <w:pStyle w:val="31"/>
                    <w:spacing w:line="340" w:lineRule="exact"/>
                    <w:rPr>
                      <w:color w:val="FF0000"/>
                      <w:sz w:val="21"/>
                      <w:highlight w:val="none"/>
                    </w:rPr>
                  </w:pPr>
                  <w:r>
                    <w:rPr>
                      <w:rFonts w:hint="eastAsia"/>
                      <w:sz w:val="21"/>
                      <w:szCs w:val="21"/>
                      <w:highlight w:val="none"/>
                    </w:rPr>
                    <w:t>24</w:t>
                  </w:r>
                  <w:r>
                    <w:rPr>
                      <w:rFonts w:hint="eastAsia"/>
                      <w:sz w:val="21"/>
                      <w:szCs w:val="21"/>
                      <w:highlight w:val="none"/>
                      <w:lang w:val="en-US" w:eastAsia="zh-CN"/>
                    </w:rPr>
                    <w:t>03.6</w:t>
                  </w:r>
                </w:p>
              </w:tc>
              <w:tc>
                <w:tcPr>
                  <w:tcW w:w="886" w:type="dxa"/>
                  <w:vAlign w:val="center"/>
                </w:tcPr>
                <w:p w14:paraId="5A94FAE8">
                  <w:pPr>
                    <w:pStyle w:val="31"/>
                    <w:spacing w:line="340" w:lineRule="exact"/>
                    <w:rPr>
                      <w:sz w:val="21"/>
                      <w:highlight w:val="none"/>
                    </w:rPr>
                  </w:pPr>
                  <w:r>
                    <w:rPr>
                      <w:rFonts w:hint="eastAsia"/>
                      <w:sz w:val="21"/>
                      <w:highlight w:val="none"/>
                    </w:rPr>
                    <w:t>园区管网</w:t>
                  </w:r>
                </w:p>
              </w:tc>
              <w:tc>
                <w:tcPr>
                  <w:tcW w:w="900" w:type="dxa"/>
                  <w:vAlign w:val="center"/>
                </w:tcPr>
                <w:p w14:paraId="47B12782">
                  <w:pPr>
                    <w:spacing w:line="340" w:lineRule="exact"/>
                    <w:ind w:firstLine="0" w:firstLineChars="0"/>
                    <w:jc w:val="center"/>
                    <w:rPr>
                      <w:sz w:val="21"/>
                      <w:szCs w:val="21"/>
                      <w:highlight w:val="none"/>
                    </w:rPr>
                  </w:pPr>
                  <w:r>
                    <w:rPr>
                      <w:rFonts w:hint="eastAsia"/>
                      <w:sz w:val="21"/>
                      <w:szCs w:val="21"/>
                      <w:highlight w:val="none"/>
                    </w:rPr>
                    <w:t>/</w:t>
                  </w:r>
                </w:p>
              </w:tc>
              <w:tc>
                <w:tcPr>
                  <w:tcW w:w="1105" w:type="dxa"/>
                  <w:vAlign w:val="center"/>
                </w:tcPr>
                <w:p w14:paraId="46A14AEF">
                  <w:pPr>
                    <w:spacing w:line="340" w:lineRule="exact"/>
                    <w:ind w:firstLine="0" w:firstLineChars="0"/>
                    <w:jc w:val="center"/>
                    <w:rPr>
                      <w:sz w:val="21"/>
                      <w:szCs w:val="21"/>
                      <w:highlight w:val="none"/>
                    </w:rPr>
                  </w:pPr>
                  <w:r>
                    <w:rPr>
                      <w:rFonts w:hint="eastAsia"/>
                      <w:sz w:val="21"/>
                      <w:szCs w:val="21"/>
                      <w:highlight w:val="none"/>
                    </w:rPr>
                    <w:t>/</w:t>
                  </w:r>
                </w:p>
              </w:tc>
              <w:tc>
                <w:tcPr>
                  <w:tcW w:w="1087" w:type="dxa"/>
                  <w:vAlign w:val="center"/>
                </w:tcPr>
                <w:p w14:paraId="574088FB">
                  <w:pPr>
                    <w:spacing w:line="340" w:lineRule="exact"/>
                    <w:ind w:firstLine="0" w:firstLineChars="0"/>
                    <w:jc w:val="center"/>
                    <w:rPr>
                      <w:sz w:val="21"/>
                      <w:szCs w:val="21"/>
                      <w:highlight w:val="none"/>
                    </w:rPr>
                  </w:pPr>
                  <w:r>
                    <w:rPr>
                      <w:rFonts w:hint="eastAsia"/>
                      <w:sz w:val="21"/>
                      <w:szCs w:val="21"/>
                      <w:highlight w:val="none"/>
                    </w:rPr>
                    <w:t>/</w:t>
                  </w:r>
                </w:p>
              </w:tc>
            </w:tr>
            <w:tr w14:paraId="657A3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69" w:type="dxa"/>
                  <w:vAlign w:val="center"/>
                </w:tcPr>
                <w:p w14:paraId="37C9F5B2">
                  <w:pPr>
                    <w:pStyle w:val="31"/>
                    <w:spacing w:line="340" w:lineRule="exact"/>
                    <w:rPr>
                      <w:sz w:val="21"/>
                      <w:highlight w:val="none"/>
                    </w:rPr>
                  </w:pPr>
                  <w:r>
                    <w:rPr>
                      <w:rFonts w:hint="eastAsia"/>
                      <w:sz w:val="21"/>
                      <w:highlight w:val="none"/>
                    </w:rPr>
                    <w:t>能源</w:t>
                  </w:r>
                </w:p>
              </w:tc>
              <w:tc>
                <w:tcPr>
                  <w:tcW w:w="1471" w:type="dxa"/>
                  <w:vAlign w:val="center"/>
                </w:tcPr>
                <w:p w14:paraId="23B59123">
                  <w:pPr>
                    <w:pStyle w:val="31"/>
                    <w:spacing w:line="340" w:lineRule="exact"/>
                    <w:rPr>
                      <w:sz w:val="21"/>
                      <w:highlight w:val="none"/>
                    </w:rPr>
                  </w:pPr>
                  <w:r>
                    <w:rPr>
                      <w:rFonts w:hint="eastAsia"/>
                      <w:sz w:val="21"/>
                      <w:highlight w:val="none"/>
                    </w:rPr>
                    <w:t>电</w:t>
                  </w:r>
                </w:p>
              </w:tc>
              <w:tc>
                <w:tcPr>
                  <w:tcW w:w="764" w:type="dxa"/>
                  <w:vAlign w:val="center"/>
                </w:tcPr>
                <w:p w14:paraId="0B53B6BD">
                  <w:pPr>
                    <w:pStyle w:val="31"/>
                    <w:spacing w:line="340" w:lineRule="exact"/>
                    <w:rPr>
                      <w:sz w:val="21"/>
                      <w:highlight w:val="none"/>
                    </w:rPr>
                  </w:pPr>
                  <w:r>
                    <w:rPr>
                      <w:rFonts w:hint="eastAsia"/>
                      <w:sz w:val="21"/>
                      <w:highlight w:val="none"/>
                    </w:rPr>
                    <w:t>万kWh</w:t>
                  </w:r>
                </w:p>
              </w:tc>
              <w:tc>
                <w:tcPr>
                  <w:tcW w:w="1214" w:type="dxa"/>
                  <w:vAlign w:val="center"/>
                </w:tcPr>
                <w:p w14:paraId="13DDEB53">
                  <w:pPr>
                    <w:pStyle w:val="31"/>
                    <w:spacing w:line="340" w:lineRule="exact"/>
                    <w:rPr>
                      <w:sz w:val="21"/>
                      <w:highlight w:val="none"/>
                    </w:rPr>
                  </w:pPr>
                  <w:r>
                    <w:rPr>
                      <w:rFonts w:hint="eastAsia"/>
                      <w:sz w:val="21"/>
                      <w:highlight w:val="none"/>
                    </w:rPr>
                    <w:t>36</w:t>
                  </w:r>
                </w:p>
              </w:tc>
              <w:tc>
                <w:tcPr>
                  <w:tcW w:w="886" w:type="dxa"/>
                  <w:vAlign w:val="center"/>
                </w:tcPr>
                <w:p w14:paraId="3D4AE361">
                  <w:pPr>
                    <w:pStyle w:val="31"/>
                    <w:spacing w:line="340" w:lineRule="exact"/>
                    <w:rPr>
                      <w:sz w:val="21"/>
                      <w:highlight w:val="none"/>
                    </w:rPr>
                  </w:pPr>
                  <w:r>
                    <w:rPr>
                      <w:rFonts w:hint="eastAsia"/>
                      <w:sz w:val="21"/>
                      <w:highlight w:val="none"/>
                    </w:rPr>
                    <w:t>园区电网</w:t>
                  </w:r>
                </w:p>
              </w:tc>
              <w:tc>
                <w:tcPr>
                  <w:tcW w:w="900" w:type="dxa"/>
                  <w:vAlign w:val="center"/>
                </w:tcPr>
                <w:p w14:paraId="02289220">
                  <w:pPr>
                    <w:spacing w:line="340" w:lineRule="exact"/>
                    <w:ind w:firstLine="0" w:firstLineChars="0"/>
                    <w:jc w:val="center"/>
                    <w:rPr>
                      <w:sz w:val="21"/>
                      <w:szCs w:val="21"/>
                      <w:highlight w:val="none"/>
                    </w:rPr>
                  </w:pPr>
                  <w:r>
                    <w:rPr>
                      <w:rFonts w:hint="eastAsia"/>
                      <w:sz w:val="21"/>
                      <w:szCs w:val="21"/>
                      <w:highlight w:val="none"/>
                    </w:rPr>
                    <w:t>/</w:t>
                  </w:r>
                </w:p>
              </w:tc>
              <w:tc>
                <w:tcPr>
                  <w:tcW w:w="1105" w:type="dxa"/>
                  <w:vAlign w:val="center"/>
                </w:tcPr>
                <w:p w14:paraId="710E6395">
                  <w:pPr>
                    <w:spacing w:line="340" w:lineRule="exact"/>
                    <w:ind w:firstLine="0" w:firstLineChars="0"/>
                    <w:jc w:val="center"/>
                    <w:rPr>
                      <w:sz w:val="21"/>
                      <w:szCs w:val="21"/>
                      <w:highlight w:val="none"/>
                    </w:rPr>
                  </w:pPr>
                  <w:r>
                    <w:rPr>
                      <w:rFonts w:hint="eastAsia"/>
                      <w:sz w:val="21"/>
                      <w:szCs w:val="21"/>
                      <w:highlight w:val="none"/>
                    </w:rPr>
                    <w:t>/</w:t>
                  </w:r>
                </w:p>
              </w:tc>
              <w:tc>
                <w:tcPr>
                  <w:tcW w:w="1087" w:type="dxa"/>
                  <w:vAlign w:val="center"/>
                </w:tcPr>
                <w:p w14:paraId="61EAA1C4">
                  <w:pPr>
                    <w:spacing w:line="340" w:lineRule="exact"/>
                    <w:ind w:firstLine="0" w:firstLineChars="0"/>
                    <w:jc w:val="center"/>
                    <w:rPr>
                      <w:sz w:val="21"/>
                      <w:szCs w:val="21"/>
                      <w:highlight w:val="none"/>
                    </w:rPr>
                  </w:pPr>
                  <w:r>
                    <w:rPr>
                      <w:rFonts w:hint="eastAsia"/>
                      <w:sz w:val="21"/>
                      <w:szCs w:val="21"/>
                      <w:highlight w:val="none"/>
                    </w:rPr>
                    <w:t>/</w:t>
                  </w:r>
                </w:p>
              </w:tc>
            </w:tr>
          </w:tbl>
          <w:p w14:paraId="69A7474D">
            <w:pPr>
              <w:numPr>
                <w:ilvl w:val="0"/>
                <w:numId w:val="8"/>
              </w:numPr>
              <w:ind w:firstLine="480"/>
              <w:rPr>
                <w:highlight w:val="none"/>
              </w:rPr>
            </w:pPr>
            <w:r>
              <w:rPr>
                <w:highlight w:val="none"/>
              </w:rPr>
              <w:t>主要生产设备见下表。</w:t>
            </w:r>
          </w:p>
          <w:p w14:paraId="72BF4C4A">
            <w:pPr>
              <w:ind w:firstLine="0" w:firstLineChars="0"/>
              <w:jc w:val="center"/>
              <w:rPr>
                <w:b/>
                <w:bCs/>
                <w:sz w:val="21"/>
                <w:szCs w:val="21"/>
                <w:highlight w:val="none"/>
              </w:rPr>
            </w:pPr>
            <w:r>
              <w:rPr>
                <w:rFonts w:hint="eastAsia"/>
                <w:b/>
                <w:bCs/>
                <w:sz w:val="21"/>
                <w:szCs w:val="21"/>
                <w:highlight w:val="none"/>
              </w:rPr>
              <w:t>表2-5  主要生产设备一览表</w:t>
            </w:r>
          </w:p>
          <w:tbl>
            <w:tblPr>
              <w:tblStyle w:val="23"/>
              <w:tblW w:w="80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45"/>
              <w:gridCol w:w="1516"/>
              <w:gridCol w:w="1380"/>
              <w:gridCol w:w="570"/>
              <w:gridCol w:w="614"/>
              <w:gridCol w:w="1080"/>
              <w:gridCol w:w="825"/>
              <w:gridCol w:w="884"/>
            </w:tblGrid>
            <w:tr w14:paraId="2470E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96988F9">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序号</w:t>
                  </w:r>
                </w:p>
              </w:tc>
              <w:tc>
                <w:tcPr>
                  <w:tcW w:w="645" w:type="dxa"/>
                  <w:tcBorders>
                    <w:tl2br w:val="nil"/>
                    <w:tr2bl w:val="nil"/>
                  </w:tcBorders>
                  <w:vAlign w:val="center"/>
                </w:tcPr>
                <w:p w14:paraId="4436E049">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生产工艺</w:t>
                  </w:r>
                </w:p>
              </w:tc>
              <w:tc>
                <w:tcPr>
                  <w:tcW w:w="1516" w:type="dxa"/>
                  <w:tcBorders>
                    <w:tl2br w:val="nil"/>
                    <w:tr2bl w:val="nil"/>
                  </w:tcBorders>
                  <w:vAlign w:val="center"/>
                </w:tcPr>
                <w:p w14:paraId="004CDF22">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设备</w:t>
                  </w:r>
                  <w:r>
                    <w:rPr>
                      <w:rFonts w:ascii="Times New Roman" w:hAnsi="Times New Roman"/>
                      <w:bCs/>
                      <w:sz w:val="21"/>
                      <w:szCs w:val="21"/>
                      <w:highlight w:val="none"/>
                    </w:rPr>
                    <w:t>名称</w:t>
                  </w:r>
                </w:p>
              </w:tc>
              <w:tc>
                <w:tcPr>
                  <w:tcW w:w="1380" w:type="dxa"/>
                  <w:tcBorders>
                    <w:tl2br w:val="nil"/>
                    <w:tr2bl w:val="nil"/>
                  </w:tcBorders>
                  <w:vAlign w:val="center"/>
                </w:tcPr>
                <w:p w14:paraId="4E86EE3F">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型号</w:t>
                  </w:r>
                </w:p>
              </w:tc>
              <w:tc>
                <w:tcPr>
                  <w:tcW w:w="570" w:type="dxa"/>
                  <w:tcBorders>
                    <w:tl2br w:val="nil"/>
                    <w:tr2bl w:val="nil"/>
                  </w:tcBorders>
                  <w:vAlign w:val="center"/>
                </w:tcPr>
                <w:p w14:paraId="695B0E4C">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数量</w:t>
                  </w:r>
                </w:p>
              </w:tc>
              <w:tc>
                <w:tcPr>
                  <w:tcW w:w="614" w:type="dxa"/>
                  <w:tcBorders>
                    <w:tl2br w:val="nil"/>
                    <w:tr2bl w:val="nil"/>
                  </w:tcBorders>
                  <w:vAlign w:val="center"/>
                </w:tcPr>
                <w:p w14:paraId="126FC0D0">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单位</w:t>
                  </w:r>
                </w:p>
              </w:tc>
              <w:tc>
                <w:tcPr>
                  <w:tcW w:w="1080" w:type="dxa"/>
                  <w:tcBorders>
                    <w:tl2br w:val="nil"/>
                    <w:tr2bl w:val="nil"/>
                  </w:tcBorders>
                  <w:vAlign w:val="center"/>
                </w:tcPr>
                <w:p w14:paraId="5F11B0D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设备参数</w:t>
                  </w:r>
                </w:p>
              </w:tc>
              <w:tc>
                <w:tcPr>
                  <w:tcW w:w="825" w:type="dxa"/>
                  <w:tcBorders>
                    <w:tl2br w:val="nil"/>
                    <w:tr2bl w:val="nil"/>
                  </w:tcBorders>
                  <w:vAlign w:val="center"/>
                </w:tcPr>
                <w:p w14:paraId="4DCD964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位置</w:t>
                  </w:r>
                </w:p>
              </w:tc>
              <w:tc>
                <w:tcPr>
                  <w:tcW w:w="884" w:type="dxa"/>
                  <w:tcBorders>
                    <w:tl2br w:val="nil"/>
                    <w:tr2bl w:val="nil"/>
                  </w:tcBorders>
                  <w:vAlign w:val="center"/>
                </w:tcPr>
                <w:p w14:paraId="13C28B4C">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备注</w:t>
                  </w:r>
                </w:p>
              </w:tc>
            </w:tr>
            <w:tr w14:paraId="3F3BC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7318B726">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tcBorders>
                    <w:tl2br w:val="nil"/>
                    <w:tr2bl w:val="nil"/>
                  </w:tcBorders>
                  <w:vAlign w:val="center"/>
                </w:tcPr>
                <w:p w14:paraId="47051546">
                  <w:pPr>
                    <w:widowControl/>
                    <w:spacing w:line="340" w:lineRule="exact"/>
                    <w:ind w:firstLine="0" w:firstLineChars="0"/>
                    <w:jc w:val="center"/>
                    <w:rPr>
                      <w:bCs/>
                      <w:sz w:val="21"/>
                      <w:szCs w:val="21"/>
                      <w:highlight w:val="none"/>
                    </w:rPr>
                  </w:pPr>
                  <w:r>
                    <w:rPr>
                      <w:rFonts w:hint="eastAsia"/>
                      <w:bCs/>
                      <w:sz w:val="21"/>
                      <w:szCs w:val="21"/>
                      <w:highlight w:val="none"/>
                    </w:rPr>
                    <w:t>下料</w:t>
                  </w:r>
                </w:p>
              </w:tc>
              <w:tc>
                <w:tcPr>
                  <w:tcW w:w="1516" w:type="dxa"/>
                  <w:tcBorders>
                    <w:tl2br w:val="nil"/>
                    <w:tr2bl w:val="nil"/>
                  </w:tcBorders>
                  <w:vAlign w:val="center"/>
                </w:tcPr>
                <w:p w14:paraId="6A32D0D6">
                  <w:pPr>
                    <w:widowControl/>
                    <w:spacing w:line="340" w:lineRule="exact"/>
                    <w:ind w:firstLine="0" w:firstLineChars="0"/>
                    <w:jc w:val="center"/>
                    <w:rPr>
                      <w:bCs/>
                      <w:sz w:val="21"/>
                      <w:szCs w:val="21"/>
                      <w:highlight w:val="none"/>
                    </w:rPr>
                  </w:pPr>
                  <w:r>
                    <w:rPr>
                      <w:bCs/>
                      <w:sz w:val="21"/>
                      <w:szCs w:val="21"/>
                      <w:highlight w:val="none"/>
                    </w:rPr>
                    <w:t>锯床</w:t>
                  </w:r>
                </w:p>
              </w:tc>
              <w:tc>
                <w:tcPr>
                  <w:tcW w:w="1380" w:type="dxa"/>
                  <w:tcBorders>
                    <w:tl2br w:val="nil"/>
                    <w:tr2bl w:val="nil"/>
                  </w:tcBorders>
                  <w:vAlign w:val="center"/>
                </w:tcPr>
                <w:p w14:paraId="5C2C3AB9">
                  <w:pPr>
                    <w:widowControl/>
                    <w:spacing w:line="340" w:lineRule="exact"/>
                    <w:ind w:firstLine="0" w:firstLineChars="0"/>
                    <w:jc w:val="center"/>
                    <w:rPr>
                      <w:bCs/>
                      <w:sz w:val="21"/>
                      <w:szCs w:val="21"/>
                      <w:highlight w:val="none"/>
                    </w:rPr>
                  </w:pPr>
                  <w:r>
                    <w:rPr>
                      <w:rFonts w:hint="eastAsia"/>
                      <w:bCs/>
                      <w:sz w:val="21"/>
                      <w:szCs w:val="21"/>
                      <w:highlight w:val="none"/>
                    </w:rPr>
                    <w:t>GZ4233</w:t>
                  </w:r>
                </w:p>
              </w:tc>
              <w:tc>
                <w:tcPr>
                  <w:tcW w:w="570" w:type="dxa"/>
                  <w:tcBorders>
                    <w:tl2br w:val="nil"/>
                    <w:tr2bl w:val="nil"/>
                  </w:tcBorders>
                  <w:vAlign w:val="center"/>
                </w:tcPr>
                <w:p w14:paraId="77CD616F">
                  <w:pPr>
                    <w:widowControl/>
                    <w:spacing w:line="340" w:lineRule="exact"/>
                    <w:ind w:firstLine="0" w:firstLineChars="0"/>
                    <w:jc w:val="center"/>
                    <w:rPr>
                      <w:bCs/>
                      <w:sz w:val="21"/>
                      <w:szCs w:val="21"/>
                      <w:highlight w:val="none"/>
                    </w:rPr>
                  </w:pPr>
                  <w:r>
                    <w:rPr>
                      <w:bCs/>
                      <w:sz w:val="21"/>
                      <w:szCs w:val="21"/>
                      <w:highlight w:val="none"/>
                    </w:rPr>
                    <w:t>5</w:t>
                  </w:r>
                </w:p>
              </w:tc>
              <w:tc>
                <w:tcPr>
                  <w:tcW w:w="614" w:type="dxa"/>
                  <w:tcBorders>
                    <w:tl2br w:val="nil"/>
                    <w:tr2bl w:val="nil"/>
                  </w:tcBorders>
                  <w:vAlign w:val="center"/>
                </w:tcPr>
                <w:p w14:paraId="3C81B2C6">
                  <w:pPr>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7DE6F3D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4KW</w:t>
                  </w:r>
                </w:p>
              </w:tc>
              <w:tc>
                <w:tcPr>
                  <w:tcW w:w="825" w:type="dxa"/>
                  <w:vMerge w:val="restart"/>
                  <w:tcBorders>
                    <w:tl2br w:val="nil"/>
                    <w:tr2bl w:val="nil"/>
                  </w:tcBorders>
                  <w:vAlign w:val="center"/>
                </w:tcPr>
                <w:p w14:paraId="77301077">
                  <w:pPr>
                    <w:spacing w:line="340" w:lineRule="exact"/>
                    <w:ind w:firstLine="0" w:firstLineChars="0"/>
                    <w:jc w:val="center"/>
                    <w:rPr>
                      <w:bCs/>
                      <w:sz w:val="21"/>
                      <w:szCs w:val="21"/>
                      <w:highlight w:val="none"/>
                    </w:rPr>
                  </w:pPr>
                  <w:r>
                    <w:rPr>
                      <w:rFonts w:hint="eastAsia"/>
                      <w:bCs/>
                      <w:sz w:val="21"/>
                      <w:szCs w:val="21"/>
                      <w:highlight w:val="none"/>
                    </w:rPr>
                    <w:t>1#厂房一层</w:t>
                  </w:r>
                </w:p>
              </w:tc>
              <w:tc>
                <w:tcPr>
                  <w:tcW w:w="884" w:type="dxa"/>
                  <w:tcBorders>
                    <w:tl2br w:val="nil"/>
                    <w:tr2bl w:val="nil"/>
                  </w:tcBorders>
                  <w:vAlign w:val="center"/>
                </w:tcPr>
                <w:p w14:paraId="652B263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6918A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15C2B026">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tcBorders>
                    <w:tl2br w:val="nil"/>
                    <w:tr2bl w:val="nil"/>
                  </w:tcBorders>
                  <w:vAlign w:val="center"/>
                </w:tcPr>
                <w:p w14:paraId="2B501B17">
                  <w:pPr>
                    <w:widowControl/>
                    <w:spacing w:line="340" w:lineRule="exact"/>
                    <w:ind w:firstLine="0" w:firstLineChars="0"/>
                    <w:jc w:val="center"/>
                    <w:rPr>
                      <w:bCs/>
                      <w:sz w:val="21"/>
                      <w:szCs w:val="21"/>
                      <w:highlight w:val="none"/>
                    </w:rPr>
                  </w:pPr>
                  <w:r>
                    <w:rPr>
                      <w:rFonts w:hint="eastAsia"/>
                      <w:bCs/>
                      <w:sz w:val="21"/>
                      <w:szCs w:val="21"/>
                      <w:highlight w:val="none"/>
                    </w:rPr>
                    <w:t>钻孔</w:t>
                  </w:r>
                </w:p>
              </w:tc>
              <w:tc>
                <w:tcPr>
                  <w:tcW w:w="1516" w:type="dxa"/>
                  <w:tcBorders>
                    <w:tl2br w:val="nil"/>
                    <w:tr2bl w:val="nil"/>
                  </w:tcBorders>
                  <w:vAlign w:val="center"/>
                </w:tcPr>
                <w:p w14:paraId="782323BB">
                  <w:pPr>
                    <w:widowControl/>
                    <w:spacing w:line="340" w:lineRule="exact"/>
                    <w:ind w:firstLine="0" w:firstLineChars="0"/>
                    <w:jc w:val="center"/>
                    <w:rPr>
                      <w:bCs/>
                      <w:sz w:val="21"/>
                      <w:szCs w:val="21"/>
                      <w:highlight w:val="none"/>
                    </w:rPr>
                  </w:pPr>
                  <w:r>
                    <w:rPr>
                      <w:rFonts w:hint="eastAsia"/>
                      <w:bCs/>
                      <w:sz w:val="21"/>
                      <w:szCs w:val="21"/>
                      <w:highlight w:val="none"/>
                    </w:rPr>
                    <w:t>立式钻</w:t>
                  </w:r>
                  <w:r>
                    <w:rPr>
                      <w:bCs/>
                      <w:sz w:val="21"/>
                      <w:szCs w:val="21"/>
                      <w:highlight w:val="none"/>
                    </w:rPr>
                    <w:t>床</w:t>
                  </w:r>
                </w:p>
              </w:tc>
              <w:tc>
                <w:tcPr>
                  <w:tcW w:w="1380" w:type="dxa"/>
                  <w:tcBorders>
                    <w:tl2br w:val="nil"/>
                    <w:tr2bl w:val="nil"/>
                  </w:tcBorders>
                  <w:vAlign w:val="center"/>
                </w:tcPr>
                <w:p w14:paraId="4BEAF644">
                  <w:pPr>
                    <w:widowControl/>
                    <w:spacing w:line="340" w:lineRule="exact"/>
                    <w:ind w:firstLine="0" w:firstLineChars="0"/>
                    <w:jc w:val="center"/>
                    <w:rPr>
                      <w:bCs/>
                      <w:sz w:val="21"/>
                      <w:szCs w:val="21"/>
                      <w:highlight w:val="none"/>
                    </w:rPr>
                  </w:pPr>
                  <w:r>
                    <w:rPr>
                      <w:rFonts w:hint="eastAsia"/>
                      <w:bCs/>
                      <w:sz w:val="21"/>
                      <w:szCs w:val="21"/>
                      <w:highlight w:val="none"/>
                    </w:rPr>
                    <w:t>Z5150B</w:t>
                  </w:r>
                </w:p>
              </w:tc>
              <w:tc>
                <w:tcPr>
                  <w:tcW w:w="570" w:type="dxa"/>
                  <w:tcBorders>
                    <w:tl2br w:val="nil"/>
                    <w:tr2bl w:val="nil"/>
                  </w:tcBorders>
                  <w:vAlign w:val="center"/>
                </w:tcPr>
                <w:p w14:paraId="079CDBC1">
                  <w:pPr>
                    <w:widowControl/>
                    <w:spacing w:line="340" w:lineRule="exact"/>
                    <w:ind w:firstLine="0" w:firstLineChars="0"/>
                    <w:jc w:val="center"/>
                    <w:rPr>
                      <w:bCs/>
                      <w:sz w:val="21"/>
                      <w:szCs w:val="21"/>
                      <w:highlight w:val="none"/>
                    </w:rPr>
                  </w:pPr>
                  <w:r>
                    <w:rPr>
                      <w:bCs/>
                      <w:sz w:val="21"/>
                      <w:szCs w:val="21"/>
                      <w:highlight w:val="none"/>
                    </w:rPr>
                    <w:t>5</w:t>
                  </w:r>
                </w:p>
              </w:tc>
              <w:tc>
                <w:tcPr>
                  <w:tcW w:w="614" w:type="dxa"/>
                  <w:tcBorders>
                    <w:tl2br w:val="nil"/>
                    <w:tr2bl w:val="nil"/>
                  </w:tcBorders>
                  <w:vAlign w:val="center"/>
                </w:tcPr>
                <w:p w14:paraId="56540F38">
                  <w:pPr>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661239A6">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6.5KW</w:t>
                  </w:r>
                </w:p>
              </w:tc>
              <w:tc>
                <w:tcPr>
                  <w:tcW w:w="825" w:type="dxa"/>
                  <w:vMerge w:val="continue"/>
                  <w:tcBorders>
                    <w:tl2br w:val="nil"/>
                    <w:tr2bl w:val="nil"/>
                  </w:tcBorders>
                  <w:vAlign w:val="center"/>
                </w:tcPr>
                <w:p w14:paraId="5DD58432">
                  <w:pPr>
                    <w:spacing w:line="340" w:lineRule="exact"/>
                    <w:ind w:firstLine="420"/>
                    <w:jc w:val="center"/>
                    <w:rPr>
                      <w:bCs/>
                      <w:sz w:val="21"/>
                      <w:szCs w:val="21"/>
                      <w:highlight w:val="none"/>
                    </w:rPr>
                  </w:pPr>
                </w:p>
              </w:tc>
              <w:tc>
                <w:tcPr>
                  <w:tcW w:w="884" w:type="dxa"/>
                  <w:tcBorders>
                    <w:tl2br w:val="nil"/>
                    <w:tr2bl w:val="nil"/>
                  </w:tcBorders>
                  <w:vAlign w:val="center"/>
                </w:tcPr>
                <w:p w14:paraId="5B29B0B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210E9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710843EB">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tcBorders>
                    <w:tl2br w:val="nil"/>
                    <w:tr2bl w:val="nil"/>
                  </w:tcBorders>
                  <w:vAlign w:val="center"/>
                </w:tcPr>
                <w:p w14:paraId="0126C390">
                  <w:pPr>
                    <w:widowControl/>
                    <w:spacing w:line="340" w:lineRule="exact"/>
                    <w:ind w:firstLine="0" w:firstLineChars="0"/>
                    <w:jc w:val="center"/>
                    <w:rPr>
                      <w:bCs/>
                      <w:sz w:val="21"/>
                      <w:szCs w:val="21"/>
                      <w:highlight w:val="none"/>
                    </w:rPr>
                  </w:pPr>
                  <w:r>
                    <w:rPr>
                      <w:rFonts w:hint="eastAsia"/>
                      <w:bCs/>
                      <w:sz w:val="21"/>
                      <w:szCs w:val="21"/>
                      <w:highlight w:val="none"/>
                    </w:rPr>
                    <w:t>粗车</w:t>
                  </w:r>
                </w:p>
              </w:tc>
              <w:tc>
                <w:tcPr>
                  <w:tcW w:w="1516" w:type="dxa"/>
                  <w:tcBorders>
                    <w:tl2br w:val="nil"/>
                    <w:tr2bl w:val="nil"/>
                  </w:tcBorders>
                  <w:vAlign w:val="center"/>
                </w:tcPr>
                <w:p w14:paraId="70602A38">
                  <w:pPr>
                    <w:widowControl/>
                    <w:spacing w:line="340" w:lineRule="exact"/>
                    <w:ind w:firstLine="0" w:firstLineChars="0"/>
                    <w:jc w:val="center"/>
                    <w:rPr>
                      <w:bCs/>
                      <w:sz w:val="21"/>
                      <w:szCs w:val="21"/>
                      <w:highlight w:val="none"/>
                    </w:rPr>
                  </w:pPr>
                  <w:r>
                    <w:rPr>
                      <w:bCs/>
                      <w:sz w:val="21"/>
                      <w:szCs w:val="21"/>
                      <w:highlight w:val="none"/>
                    </w:rPr>
                    <w:t>数控车床</w:t>
                  </w:r>
                </w:p>
              </w:tc>
              <w:tc>
                <w:tcPr>
                  <w:tcW w:w="1380" w:type="dxa"/>
                  <w:tcBorders>
                    <w:tl2br w:val="nil"/>
                    <w:tr2bl w:val="nil"/>
                  </w:tcBorders>
                  <w:vAlign w:val="center"/>
                </w:tcPr>
                <w:p w14:paraId="080A3D82">
                  <w:pPr>
                    <w:spacing w:line="340" w:lineRule="exact"/>
                    <w:ind w:firstLine="0" w:firstLineChars="0"/>
                    <w:jc w:val="center"/>
                    <w:rPr>
                      <w:bCs/>
                      <w:sz w:val="21"/>
                      <w:szCs w:val="21"/>
                      <w:highlight w:val="none"/>
                    </w:rPr>
                  </w:pPr>
                  <w:r>
                    <w:rPr>
                      <w:rFonts w:hint="eastAsia"/>
                      <w:bCs/>
                      <w:sz w:val="21"/>
                      <w:szCs w:val="21"/>
                      <w:highlight w:val="none"/>
                    </w:rPr>
                    <w:t>CAK6150</w:t>
                  </w:r>
                </w:p>
              </w:tc>
              <w:tc>
                <w:tcPr>
                  <w:tcW w:w="570" w:type="dxa"/>
                  <w:tcBorders>
                    <w:tl2br w:val="nil"/>
                    <w:tr2bl w:val="nil"/>
                  </w:tcBorders>
                  <w:vAlign w:val="center"/>
                </w:tcPr>
                <w:p w14:paraId="7AE5DBCA">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42044C27">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2D8B627D">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10.4KW</w:t>
                  </w:r>
                </w:p>
              </w:tc>
              <w:tc>
                <w:tcPr>
                  <w:tcW w:w="825" w:type="dxa"/>
                  <w:vMerge w:val="continue"/>
                  <w:tcBorders>
                    <w:tl2br w:val="nil"/>
                    <w:tr2bl w:val="nil"/>
                  </w:tcBorders>
                  <w:vAlign w:val="center"/>
                </w:tcPr>
                <w:p w14:paraId="4874A031">
                  <w:pPr>
                    <w:spacing w:line="340" w:lineRule="exact"/>
                    <w:ind w:firstLine="420"/>
                    <w:jc w:val="center"/>
                    <w:rPr>
                      <w:bCs/>
                      <w:sz w:val="21"/>
                      <w:szCs w:val="21"/>
                      <w:highlight w:val="none"/>
                    </w:rPr>
                  </w:pPr>
                </w:p>
              </w:tc>
              <w:tc>
                <w:tcPr>
                  <w:tcW w:w="884" w:type="dxa"/>
                  <w:tcBorders>
                    <w:tl2br w:val="nil"/>
                    <w:tr2bl w:val="nil"/>
                  </w:tcBorders>
                  <w:vAlign w:val="center"/>
                </w:tcPr>
                <w:p w14:paraId="6E787A1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551E4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033D81C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7B91B577">
                  <w:pPr>
                    <w:widowControl/>
                    <w:spacing w:line="340" w:lineRule="exact"/>
                    <w:ind w:firstLine="0" w:firstLineChars="0"/>
                    <w:jc w:val="center"/>
                    <w:rPr>
                      <w:bCs/>
                      <w:sz w:val="21"/>
                      <w:szCs w:val="21"/>
                      <w:highlight w:val="none"/>
                    </w:rPr>
                  </w:pPr>
                  <w:r>
                    <w:rPr>
                      <w:rFonts w:hint="eastAsia"/>
                      <w:bCs/>
                      <w:sz w:val="21"/>
                      <w:szCs w:val="21"/>
                      <w:highlight w:val="none"/>
                    </w:rPr>
                    <w:t>精车</w:t>
                  </w:r>
                </w:p>
              </w:tc>
              <w:tc>
                <w:tcPr>
                  <w:tcW w:w="1516" w:type="dxa"/>
                  <w:tcBorders>
                    <w:tl2br w:val="nil"/>
                    <w:tr2bl w:val="nil"/>
                  </w:tcBorders>
                  <w:vAlign w:val="center"/>
                </w:tcPr>
                <w:p w14:paraId="7FB02E16">
                  <w:pPr>
                    <w:widowControl/>
                    <w:spacing w:line="340" w:lineRule="exact"/>
                    <w:ind w:firstLine="0" w:firstLineChars="0"/>
                    <w:jc w:val="center"/>
                    <w:rPr>
                      <w:bCs/>
                      <w:sz w:val="21"/>
                      <w:szCs w:val="21"/>
                      <w:highlight w:val="none"/>
                    </w:rPr>
                  </w:pPr>
                  <w:r>
                    <w:rPr>
                      <w:bCs/>
                      <w:sz w:val="21"/>
                      <w:szCs w:val="21"/>
                      <w:highlight w:val="none"/>
                    </w:rPr>
                    <w:t>数控车床</w:t>
                  </w:r>
                </w:p>
              </w:tc>
              <w:tc>
                <w:tcPr>
                  <w:tcW w:w="1380" w:type="dxa"/>
                  <w:tcBorders>
                    <w:tl2br w:val="nil"/>
                    <w:tr2bl w:val="nil"/>
                  </w:tcBorders>
                  <w:vAlign w:val="center"/>
                </w:tcPr>
                <w:p w14:paraId="1783D8F5">
                  <w:pPr>
                    <w:spacing w:line="340" w:lineRule="exact"/>
                    <w:ind w:firstLine="0" w:firstLineChars="0"/>
                    <w:jc w:val="center"/>
                    <w:rPr>
                      <w:bCs/>
                      <w:sz w:val="21"/>
                      <w:szCs w:val="21"/>
                      <w:highlight w:val="none"/>
                    </w:rPr>
                  </w:pPr>
                  <w:r>
                    <w:rPr>
                      <w:rFonts w:hint="eastAsia"/>
                      <w:bCs/>
                      <w:sz w:val="21"/>
                      <w:szCs w:val="21"/>
                      <w:highlight w:val="none"/>
                    </w:rPr>
                    <w:t>CAK6132</w:t>
                  </w:r>
                </w:p>
              </w:tc>
              <w:tc>
                <w:tcPr>
                  <w:tcW w:w="570" w:type="dxa"/>
                  <w:tcBorders>
                    <w:tl2br w:val="nil"/>
                    <w:tr2bl w:val="nil"/>
                  </w:tcBorders>
                  <w:vAlign w:val="center"/>
                </w:tcPr>
                <w:p w14:paraId="0B7D00A4">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56327AE4">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94A35A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8KW</w:t>
                  </w:r>
                </w:p>
              </w:tc>
              <w:tc>
                <w:tcPr>
                  <w:tcW w:w="825" w:type="dxa"/>
                  <w:vMerge w:val="continue"/>
                  <w:tcBorders>
                    <w:tl2br w:val="nil"/>
                    <w:tr2bl w:val="nil"/>
                  </w:tcBorders>
                  <w:vAlign w:val="center"/>
                </w:tcPr>
                <w:p w14:paraId="0EE817D6">
                  <w:pPr>
                    <w:spacing w:line="340" w:lineRule="exact"/>
                    <w:ind w:firstLine="420"/>
                    <w:jc w:val="center"/>
                    <w:rPr>
                      <w:bCs/>
                      <w:sz w:val="21"/>
                      <w:szCs w:val="21"/>
                      <w:highlight w:val="none"/>
                    </w:rPr>
                  </w:pPr>
                </w:p>
              </w:tc>
              <w:tc>
                <w:tcPr>
                  <w:tcW w:w="884" w:type="dxa"/>
                  <w:tcBorders>
                    <w:tl2br w:val="nil"/>
                    <w:tr2bl w:val="nil"/>
                  </w:tcBorders>
                  <w:vAlign w:val="center"/>
                </w:tcPr>
                <w:p w14:paraId="5A99B6D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5360A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C2EF429">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43912ECB">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16263B2E">
                  <w:pPr>
                    <w:widowControl/>
                    <w:spacing w:line="340" w:lineRule="exact"/>
                    <w:ind w:firstLine="0" w:firstLineChars="0"/>
                    <w:jc w:val="center"/>
                    <w:rPr>
                      <w:bCs/>
                      <w:sz w:val="21"/>
                      <w:szCs w:val="21"/>
                      <w:highlight w:val="none"/>
                    </w:rPr>
                  </w:pPr>
                  <w:r>
                    <w:rPr>
                      <w:bCs/>
                      <w:sz w:val="21"/>
                      <w:szCs w:val="21"/>
                      <w:highlight w:val="none"/>
                    </w:rPr>
                    <w:t>数控车床</w:t>
                  </w:r>
                </w:p>
              </w:tc>
              <w:tc>
                <w:tcPr>
                  <w:tcW w:w="1380" w:type="dxa"/>
                  <w:tcBorders>
                    <w:tl2br w:val="nil"/>
                    <w:tr2bl w:val="nil"/>
                  </w:tcBorders>
                  <w:vAlign w:val="center"/>
                </w:tcPr>
                <w:p w14:paraId="52F28F56">
                  <w:pPr>
                    <w:spacing w:line="340" w:lineRule="exact"/>
                    <w:ind w:firstLine="0" w:firstLineChars="0"/>
                    <w:jc w:val="center"/>
                    <w:rPr>
                      <w:bCs/>
                      <w:sz w:val="21"/>
                      <w:szCs w:val="21"/>
                      <w:highlight w:val="none"/>
                    </w:rPr>
                  </w:pPr>
                  <w:r>
                    <w:rPr>
                      <w:bCs/>
                      <w:sz w:val="21"/>
                      <w:szCs w:val="21"/>
                      <w:highlight w:val="none"/>
                    </w:rPr>
                    <w:t>I5</w:t>
                  </w:r>
                </w:p>
              </w:tc>
              <w:tc>
                <w:tcPr>
                  <w:tcW w:w="570" w:type="dxa"/>
                  <w:tcBorders>
                    <w:tl2br w:val="nil"/>
                    <w:tr2bl w:val="nil"/>
                  </w:tcBorders>
                  <w:vAlign w:val="center"/>
                </w:tcPr>
                <w:p w14:paraId="7163C7A2">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5336619F">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3B1BC34">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22.4KW</w:t>
                  </w:r>
                </w:p>
              </w:tc>
              <w:tc>
                <w:tcPr>
                  <w:tcW w:w="825" w:type="dxa"/>
                  <w:vMerge w:val="restart"/>
                  <w:tcBorders>
                    <w:tl2br w:val="nil"/>
                    <w:tr2bl w:val="nil"/>
                  </w:tcBorders>
                  <w:vAlign w:val="center"/>
                </w:tcPr>
                <w:p w14:paraId="63A6B39D">
                  <w:pPr>
                    <w:spacing w:line="340" w:lineRule="exact"/>
                    <w:ind w:left="0" w:leftChars="0" w:firstLine="0" w:firstLineChars="0"/>
                    <w:jc w:val="center"/>
                    <w:rPr>
                      <w:bCs/>
                      <w:sz w:val="21"/>
                      <w:szCs w:val="21"/>
                      <w:highlight w:val="none"/>
                    </w:rPr>
                  </w:pPr>
                  <w:r>
                    <w:rPr>
                      <w:rFonts w:hint="eastAsia"/>
                      <w:bCs/>
                      <w:sz w:val="21"/>
                      <w:szCs w:val="21"/>
                      <w:highlight w:val="none"/>
                    </w:rPr>
                    <w:t>1#厂房一层</w:t>
                  </w:r>
                </w:p>
              </w:tc>
              <w:tc>
                <w:tcPr>
                  <w:tcW w:w="884" w:type="dxa"/>
                  <w:tcBorders>
                    <w:tl2br w:val="nil"/>
                    <w:tr2bl w:val="nil"/>
                  </w:tcBorders>
                  <w:vAlign w:val="center"/>
                </w:tcPr>
                <w:p w14:paraId="7EF2EDD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1D7AA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3E567244">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3FE23CBA">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342AABF5">
                  <w:pPr>
                    <w:widowControl/>
                    <w:spacing w:line="340" w:lineRule="exact"/>
                    <w:ind w:firstLine="0" w:firstLineChars="0"/>
                    <w:jc w:val="center"/>
                    <w:rPr>
                      <w:bCs/>
                      <w:sz w:val="21"/>
                      <w:szCs w:val="21"/>
                      <w:highlight w:val="none"/>
                    </w:rPr>
                  </w:pPr>
                  <w:r>
                    <w:rPr>
                      <w:bCs/>
                      <w:sz w:val="21"/>
                      <w:szCs w:val="21"/>
                      <w:highlight w:val="none"/>
                    </w:rPr>
                    <w:t>数控车床</w:t>
                  </w:r>
                </w:p>
              </w:tc>
              <w:tc>
                <w:tcPr>
                  <w:tcW w:w="1380" w:type="dxa"/>
                  <w:tcBorders>
                    <w:tl2br w:val="nil"/>
                    <w:tr2bl w:val="nil"/>
                  </w:tcBorders>
                  <w:vAlign w:val="center"/>
                </w:tcPr>
                <w:p w14:paraId="2123B369">
                  <w:pPr>
                    <w:spacing w:line="340" w:lineRule="exact"/>
                    <w:ind w:firstLine="0" w:firstLineChars="0"/>
                    <w:jc w:val="center"/>
                    <w:rPr>
                      <w:bCs/>
                      <w:sz w:val="21"/>
                      <w:szCs w:val="21"/>
                      <w:highlight w:val="none"/>
                    </w:rPr>
                  </w:pPr>
                  <w:r>
                    <w:rPr>
                      <w:rFonts w:hint="eastAsia"/>
                      <w:bCs/>
                      <w:sz w:val="21"/>
                      <w:szCs w:val="21"/>
                      <w:highlight w:val="none"/>
                    </w:rPr>
                    <w:t>HTC2050N</w:t>
                  </w:r>
                </w:p>
              </w:tc>
              <w:tc>
                <w:tcPr>
                  <w:tcW w:w="570" w:type="dxa"/>
                  <w:tcBorders>
                    <w:tl2br w:val="nil"/>
                    <w:tr2bl w:val="nil"/>
                  </w:tcBorders>
                  <w:vAlign w:val="center"/>
                </w:tcPr>
                <w:p w14:paraId="6D16F04D">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102AFF45">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3EA7CA04">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22.4KW</w:t>
                  </w:r>
                </w:p>
              </w:tc>
              <w:tc>
                <w:tcPr>
                  <w:tcW w:w="825" w:type="dxa"/>
                  <w:vMerge w:val="continue"/>
                  <w:tcBorders>
                    <w:tl2br w:val="nil"/>
                    <w:tr2bl w:val="nil"/>
                  </w:tcBorders>
                  <w:vAlign w:val="center"/>
                </w:tcPr>
                <w:p w14:paraId="246CF3DF">
                  <w:pPr>
                    <w:spacing w:line="340" w:lineRule="exact"/>
                    <w:ind w:firstLine="420"/>
                    <w:jc w:val="center"/>
                    <w:rPr>
                      <w:bCs/>
                      <w:sz w:val="21"/>
                      <w:szCs w:val="21"/>
                      <w:highlight w:val="none"/>
                    </w:rPr>
                  </w:pPr>
                </w:p>
              </w:tc>
              <w:tc>
                <w:tcPr>
                  <w:tcW w:w="884" w:type="dxa"/>
                  <w:tcBorders>
                    <w:tl2br w:val="nil"/>
                    <w:tr2bl w:val="nil"/>
                  </w:tcBorders>
                  <w:vAlign w:val="center"/>
                </w:tcPr>
                <w:p w14:paraId="09569548">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155B1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1CAFAD9">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07FEBD04">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4907B3AE">
                  <w:pPr>
                    <w:widowControl/>
                    <w:spacing w:line="340" w:lineRule="exact"/>
                    <w:ind w:firstLine="0" w:firstLineChars="0"/>
                    <w:jc w:val="center"/>
                    <w:rPr>
                      <w:bCs/>
                      <w:sz w:val="21"/>
                      <w:szCs w:val="21"/>
                      <w:highlight w:val="none"/>
                    </w:rPr>
                  </w:pPr>
                  <w:r>
                    <w:rPr>
                      <w:bCs/>
                      <w:sz w:val="21"/>
                      <w:szCs w:val="21"/>
                      <w:highlight w:val="none"/>
                    </w:rPr>
                    <w:t>数控车床</w:t>
                  </w:r>
                </w:p>
              </w:tc>
              <w:tc>
                <w:tcPr>
                  <w:tcW w:w="1380" w:type="dxa"/>
                  <w:tcBorders>
                    <w:tl2br w:val="nil"/>
                    <w:tr2bl w:val="nil"/>
                  </w:tcBorders>
                  <w:vAlign w:val="center"/>
                </w:tcPr>
                <w:p w14:paraId="4286AB24">
                  <w:pPr>
                    <w:spacing w:line="340" w:lineRule="exact"/>
                    <w:ind w:firstLine="0" w:firstLineChars="0"/>
                    <w:jc w:val="center"/>
                    <w:rPr>
                      <w:bCs/>
                      <w:sz w:val="21"/>
                      <w:szCs w:val="21"/>
                      <w:highlight w:val="none"/>
                    </w:rPr>
                  </w:pPr>
                  <w:r>
                    <w:rPr>
                      <w:rFonts w:hint="eastAsia"/>
                      <w:bCs/>
                      <w:sz w:val="21"/>
                      <w:szCs w:val="21"/>
                      <w:highlight w:val="none"/>
                    </w:rPr>
                    <w:t>SH36T</w:t>
                  </w:r>
                </w:p>
              </w:tc>
              <w:tc>
                <w:tcPr>
                  <w:tcW w:w="570" w:type="dxa"/>
                  <w:tcBorders>
                    <w:tl2br w:val="nil"/>
                    <w:tr2bl w:val="nil"/>
                  </w:tcBorders>
                  <w:vAlign w:val="center"/>
                </w:tcPr>
                <w:p w14:paraId="395052D6">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18DB219D">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3971839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22.4KW</w:t>
                  </w:r>
                </w:p>
              </w:tc>
              <w:tc>
                <w:tcPr>
                  <w:tcW w:w="825" w:type="dxa"/>
                  <w:vMerge w:val="continue"/>
                  <w:tcBorders>
                    <w:tl2br w:val="nil"/>
                    <w:tr2bl w:val="nil"/>
                  </w:tcBorders>
                  <w:vAlign w:val="center"/>
                </w:tcPr>
                <w:p w14:paraId="7E75CCEE">
                  <w:pPr>
                    <w:spacing w:line="340" w:lineRule="exact"/>
                    <w:ind w:firstLine="420"/>
                    <w:jc w:val="center"/>
                    <w:rPr>
                      <w:bCs/>
                      <w:sz w:val="21"/>
                      <w:szCs w:val="21"/>
                      <w:highlight w:val="none"/>
                    </w:rPr>
                  </w:pPr>
                </w:p>
              </w:tc>
              <w:tc>
                <w:tcPr>
                  <w:tcW w:w="884" w:type="dxa"/>
                  <w:tcBorders>
                    <w:tl2br w:val="nil"/>
                    <w:tr2bl w:val="nil"/>
                  </w:tcBorders>
                  <w:vAlign w:val="center"/>
                </w:tcPr>
                <w:p w14:paraId="67FD71E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23849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480AAF15">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tcBorders>
                    <w:tl2br w:val="nil"/>
                    <w:tr2bl w:val="nil"/>
                  </w:tcBorders>
                  <w:vAlign w:val="center"/>
                </w:tcPr>
                <w:p w14:paraId="6C56E8D3">
                  <w:pPr>
                    <w:widowControl/>
                    <w:spacing w:line="340" w:lineRule="exact"/>
                    <w:ind w:firstLine="0" w:firstLineChars="0"/>
                    <w:jc w:val="center"/>
                    <w:rPr>
                      <w:bCs/>
                      <w:sz w:val="21"/>
                      <w:szCs w:val="21"/>
                      <w:highlight w:val="none"/>
                    </w:rPr>
                  </w:pPr>
                  <w:r>
                    <w:rPr>
                      <w:rFonts w:hint="eastAsia"/>
                      <w:bCs/>
                      <w:sz w:val="21"/>
                      <w:szCs w:val="21"/>
                      <w:highlight w:val="none"/>
                    </w:rPr>
                    <w:t>备用</w:t>
                  </w:r>
                </w:p>
              </w:tc>
              <w:tc>
                <w:tcPr>
                  <w:tcW w:w="1516" w:type="dxa"/>
                  <w:tcBorders>
                    <w:tl2br w:val="nil"/>
                    <w:tr2bl w:val="nil"/>
                  </w:tcBorders>
                  <w:vAlign w:val="center"/>
                </w:tcPr>
                <w:p w14:paraId="5F05E154">
                  <w:pPr>
                    <w:widowControl/>
                    <w:spacing w:line="340" w:lineRule="exact"/>
                    <w:ind w:firstLine="0" w:firstLineChars="0"/>
                    <w:jc w:val="center"/>
                    <w:rPr>
                      <w:bCs/>
                      <w:sz w:val="21"/>
                      <w:szCs w:val="21"/>
                      <w:highlight w:val="none"/>
                    </w:rPr>
                  </w:pPr>
                  <w:r>
                    <w:rPr>
                      <w:bCs/>
                      <w:sz w:val="21"/>
                      <w:szCs w:val="21"/>
                      <w:highlight w:val="none"/>
                    </w:rPr>
                    <w:t>普通卧式车床</w:t>
                  </w:r>
                </w:p>
              </w:tc>
              <w:tc>
                <w:tcPr>
                  <w:tcW w:w="1380" w:type="dxa"/>
                  <w:tcBorders>
                    <w:tl2br w:val="nil"/>
                    <w:tr2bl w:val="nil"/>
                  </w:tcBorders>
                  <w:vAlign w:val="center"/>
                </w:tcPr>
                <w:p w14:paraId="7E335A6E">
                  <w:pPr>
                    <w:spacing w:line="340" w:lineRule="exact"/>
                    <w:ind w:firstLine="0" w:firstLineChars="0"/>
                    <w:jc w:val="center"/>
                    <w:rPr>
                      <w:bCs/>
                      <w:sz w:val="21"/>
                      <w:szCs w:val="21"/>
                      <w:highlight w:val="none"/>
                    </w:rPr>
                  </w:pPr>
                  <w:r>
                    <w:rPr>
                      <w:rFonts w:hint="eastAsia"/>
                      <w:bCs/>
                      <w:sz w:val="21"/>
                      <w:szCs w:val="21"/>
                      <w:highlight w:val="none"/>
                    </w:rPr>
                    <w:t>CA6140</w:t>
                  </w:r>
                </w:p>
              </w:tc>
              <w:tc>
                <w:tcPr>
                  <w:tcW w:w="570" w:type="dxa"/>
                  <w:tcBorders>
                    <w:tl2br w:val="nil"/>
                    <w:tr2bl w:val="nil"/>
                  </w:tcBorders>
                  <w:vAlign w:val="center"/>
                </w:tcPr>
                <w:p w14:paraId="6B19020C">
                  <w:pPr>
                    <w:spacing w:line="340" w:lineRule="exact"/>
                    <w:ind w:firstLine="0" w:firstLineChars="0"/>
                    <w:jc w:val="center"/>
                    <w:rPr>
                      <w:bCs/>
                      <w:sz w:val="21"/>
                      <w:szCs w:val="21"/>
                      <w:highlight w:val="none"/>
                    </w:rPr>
                  </w:pPr>
                  <w:r>
                    <w:rPr>
                      <w:rFonts w:hint="eastAsia"/>
                      <w:bCs/>
                      <w:sz w:val="21"/>
                      <w:szCs w:val="21"/>
                      <w:highlight w:val="none"/>
                    </w:rPr>
                    <w:t>3</w:t>
                  </w:r>
                </w:p>
              </w:tc>
              <w:tc>
                <w:tcPr>
                  <w:tcW w:w="614" w:type="dxa"/>
                  <w:tcBorders>
                    <w:tl2br w:val="nil"/>
                    <w:tr2bl w:val="nil"/>
                  </w:tcBorders>
                  <w:vAlign w:val="center"/>
                </w:tcPr>
                <w:p w14:paraId="2DAA1E2F">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0FBC7D78">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6.5KW</w:t>
                  </w:r>
                </w:p>
              </w:tc>
              <w:tc>
                <w:tcPr>
                  <w:tcW w:w="825" w:type="dxa"/>
                  <w:vMerge w:val="continue"/>
                  <w:tcBorders>
                    <w:tl2br w:val="nil"/>
                    <w:tr2bl w:val="nil"/>
                  </w:tcBorders>
                  <w:vAlign w:val="center"/>
                </w:tcPr>
                <w:p w14:paraId="01512A11">
                  <w:pPr>
                    <w:spacing w:line="340" w:lineRule="exact"/>
                    <w:ind w:firstLine="420"/>
                    <w:jc w:val="center"/>
                    <w:rPr>
                      <w:bCs/>
                      <w:sz w:val="21"/>
                      <w:szCs w:val="21"/>
                      <w:highlight w:val="none"/>
                    </w:rPr>
                  </w:pPr>
                </w:p>
              </w:tc>
              <w:tc>
                <w:tcPr>
                  <w:tcW w:w="884" w:type="dxa"/>
                  <w:tcBorders>
                    <w:tl2br w:val="nil"/>
                    <w:tr2bl w:val="nil"/>
                  </w:tcBorders>
                  <w:vAlign w:val="center"/>
                </w:tcPr>
                <w:p w14:paraId="2BA46E32">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330C3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1983871E">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022560E5">
                  <w:pPr>
                    <w:widowControl/>
                    <w:spacing w:line="340" w:lineRule="exact"/>
                    <w:ind w:firstLine="0" w:firstLineChars="0"/>
                    <w:jc w:val="center"/>
                    <w:rPr>
                      <w:bCs/>
                      <w:sz w:val="21"/>
                      <w:szCs w:val="21"/>
                      <w:highlight w:val="none"/>
                    </w:rPr>
                  </w:pPr>
                  <w:r>
                    <w:rPr>
                      <w:rFonts w:hint="eastAsia"/>
                      <w:bCs/>
                      <w:sz w:val="21"/>
                      <w:szCs w:val="21"/>
                      <w:highlight w:val="none"/>
                    </w:rPr>
                    <w:t>加工中心</w:t>
                  </w:r>
                </w:p>
              </w:tc>
              <w:tc>
                <w:tcPr>
                  <w:tcW w:w="1516" w:type="dxa"/>
                  <w:tcBorders>
                    <w:tl2br w:val="nil"/>
                    <w:tr2bl w:val="nil"/>
                  </w:tcBorders>
                  <w:vAlign w:val="center"/>
                </w:tcPr>
                <w:p w14:paraId="7C4507DE">
                  <w:pPr>
                    <w:widowControl/>
                    <w:spacing w:line="340" w:lineRule="exact"/>
                    <w:ind w:firstLine="0" w:firstLineChars="0"/>
                    <w:jc w:val="center"/>
                    <w:rPr>
                      <w:bCs/>
                      <w:sz w:val="21"/>
                      <w:szCs w:val="21"/>
                      <w:highlight w:val="none"/>
                    </w:rPr>
                  </w:pPr>
                  <w:r>
                    <w:rPr>
                      <w:bCs/>
                      <w:sz w:val="21"/>
                      <w:szCs w:val="21"/>
                      <w:highlight w:val="none"/>
                    </w:rPr>
                    <w:t>立式加工中心</w:t>
                  </w:r>
                </w:p>
              </w:tc>
              <w:tc>
                <w:tcPr>
                  <w:tcW w:w="1380" w:type="dxa"/>
                  <w:tcBorders>
                    <w:tl2br w:val="nil"/>
                    <w:tr2bl w:val="nil"/>
                  </w:tcBorders>
                  <w:vAlign w:val="center"/>
                </w:tcPr>
                <w:p w14:paraId="3F829140">
                  <w:pPr>
                    <w:spacing w:line="340" w:lineRule="exact"/>
                    <w:ind w:firstLine="0" w:firstLineChars="0"/>
                    <w:jc w:val="center"/>
                    <w:rPr>
                      <w:bCs/>
                      <w:sz w:val="21"/>
                      <w:szCs w:val="21"/>
                      <w:highlight w:val="none"/>
                    </w:rPr>
                  </w:pPr>
                  <w:r>
                    <w:rPr>
                      <w:rFonts w:hint="eastAsia"/>
                      <w:bCs/>
                      <w:sz w:val="21"/>
                      <w:szCs w:val="21"/>
                      <w:highlight w:val="none"/>
                    </w:rPr>
                    <w:t>VF-2V</w:t>
                  </w:r>
                </w:p>
              </w:tc>
              <w:tc>
                <w:tcPr>
                  <w:tcW w:w="570" w:type="dxa"/>
                  <w:tcBorders>
                    <w:tl2br w:val="nil"/>
                    <w:tr2bl w:val="nil"/>
                  </w:tcBorders>
                  <w:vAlign w:val="center"/>
                </w:tcPr>
                <w:p w14:paraId="725A4FF1">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27F5DDEE">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F3C84B1">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22.4KW</w:t>
                  </w:r>
                </w:p>
              </w:tc>
              <w:tc>
                <w:tcPr>
                  <w:tcW w:w="825" w:type="dxa"/>
                  <w:vMerge w:val="continue"/>
                  <w:tcBorders>
                    <w:tl2br w:val="nil"/>
                    <w:tr2bl w:val="nil"/>
                  </w:tcBorders>
                  <w:vAlign w:val="center"/>
                </w:tcPr>
                <w:p w14:paraId="751B2615">
                  <w:pPr>
                    <w:spacing w:line="340" w:lineRule="exact"/>
                    <w:ind w:firstLine="420"/>
                    <w:jc w:val="center"/>
                    <w:rPr>
                      <w:bCs/>
                      <w:sz w:val="21"/>
                      <w:szCs w:val="21"/>
                      <w:highlight w:val="none"/>
                    </w:rPr>
                  </w:pPr>
                </w:p>
              </w:tc>
              <w:tc>
                <w:tcPr>
                  <w:tcW w:w="884" w:type="dxa"/>
                  <w:tcBorders>
                    <w:tl2br w:val="nil"/>
                    <w:tr2bl w:val="nil"/>
                  </w:tcBorders>
                  <w:vAlign w:val="center"/>
                </w:tcPr>
                <w:p w14:paraId="740A251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5576F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789345E">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6A614026">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4D51A8FC">
                  <w:pPr>
                    <w:widowControl/>
                    <w:spacing w:line="340" w:lineRule="exact"/>
                    <w:ind w:firstLine="0" w:firstLineChars="0"/>
                    <w:jc w:val="center"/>
                    <w:rPr>
                      <w:bCs/>
                      <w:sz w:val="21"/>
                      <w:szCs w:val="21"/>
                      <w:highlight w:val="none"/>
                    </w:rPr>
                  </w:pPr>
                  <w:r>
                    <w:rPr>
                      <w:bCs/>
                      <w:sz w:val="21"/>
                      <w:szCs w:val="21"/>
                      <w:highlight w:val="none"/>
                    </w:rPr>
                    <w:t>立式加工中心</w:t>
                  </w:r>
                </w:p>
              </w:tc>
              <w:tc>
                <w:tcPr>
                  <w:tcW w:w="1380" w:type="dxa"/>
                  <w:tcBorders>
                    <w:tl2br w:val="nil"/>
                    <w:tr2bl w:val="nil"/>
                  </w:tcBorders>
                  <w:vAlign w:val="center"/>
                </w:tcPr>
                <w:p w14:paraId="18A4D59E">
                  <w:pPr>
                    <w:spacing w:line="340" w:lineRule="exact"/>
                    <w:ind w:firstLine="0" w:firstLineChars="0"/>
                    <w:jc w:val="center"/>
                    <w:rPr>
                      <w:bCs/>
                      <w:sz w:val="21"/>
                      <w:szCs w:val="21"/>
                      <w:highlight w:val="none"/>
                    </w:rPr>
                  </w:pPr>
                  <w:r>
                    <w:rPr>
                      <w:rFonts w:hint="eastAsia"/>
                      <w:bCs/>
                      <w:sz w:val="21"/>
                      <w:szCs w:val="21"/>
                      <w:highlight w:val="none"/>
                    </w:rPr>
                    <w:t>HS1066</w:t>
                  </w:r>
                </w:p>
              </w:tc>
              <w:tc>
                <w:tcPr>
                  <w:tcW w:w="570" w:type="dxa"/>
                  <w:tcBorders>
                    <w:tl2br w:val="nil"/>
                    <w:tr2bl w:val="nil"/>
                  </w:tcBorders>
                  <w:vAlign w:val="center"/>
                </w:tcPr>
                <w:p w14:paraId="70EAAD4F">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14F01BF5">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201873D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24KW</w:t>
                  </w:r>
                </w:p>
              </w:tc>
              <w:tc>
                <w:tcPr>
                  <w:tcW w:w="825" w:type="dxa"/>
                  <w:vMerge w:val="continue"/>
                  <w:tcBorders>
                    <w:tl2br w:val="nil"/>
                    <w:tr2bl w:val="nil"/>
                  </w:tcBorders>
                  <w:vAlign w:val="center"/>
                </w:tcPr>
                <w:p w14:paraId="355010B0">
                  <w:pPr>
                    <w:spacing w:line="340" w:lineRule="exact"/>
                    <w:ind w:firstLine="420"/>
                    <w:jc w:val="center"/>
                    <w:rPr>
                      <w:bCs/>
                      <w:sz w:val="21"/>
                      <w:szCs w:val="21"/>
                      <w:highlight w:val="none"/>
                    </w:rPr>
                  </w:pPr>
                </w:p>
              </w:tc>
              <w:tc>
                <w:tcPr>
                  <w:tcW w:w="884" w:type="dxa"/>
                  <w:tcBorders>
                    <w:tl2br w:val="nil"/>
                    <w:tr2bl w:val="nil"/>
                  </w:tcBorders>
                  <w:vAlign w:val="center"/>
                </w:tcPr>
                <w:p w14:paraId="792C1CE9">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13D3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15CA90B">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6D79CE61">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5F0C968F">
                  <w:pPr>
                    <w:widowControl/>
                    <w:spacing w:line="340" w:lineRule="exact"/>
                    <w:ind w:firstLine="0" w:firstLineChars="0"/>
                    <w:jc w:val="center"/>
                    <w:rPr>
                      <w:bCs/>
                      <w:sz w:val="21"/>
                      <w:szCs w:val="21"/>
                      <w:highlight w:val="none"/>
                    </w:rPr>
                  </w:pPr>
                  <w:r>
                    <w:rPr>
                      <w:bCs/>
                      <w:sz w:val="21"/>
                      <w:szCs w:val="21"/>
                      <w:highlight w:val="none"/>
                    </w:rPr>
                    <w:t>立式加工中心</w:t>
                  </w:r>
                </w:p>
              </w:tc>
              <w:tc>
                <w:tcPr>
                  <w:tcW w:w="1380" w:type="dxa"/>
                  <w:tcBorders>
                    <w:tl2br w:val="nil"/>
                    <w:tr2bl w:val="nil"/>
                  </w:tcBorders>
                  <w:vAlign w:val="center"/>
                </w:tcPr>
                <w:p w14:paraId="34282398">
                  <w:pPr>
                    <w:spacing w:line="340" w:lineRule="exact"/>
                    <w:ind w:firstLine="0" w:firstLineChars="0"/>
                    <w:jc w:val="center"/>
                    <w:rPr>
                      <w:bCs/>
                      <w:sz w:val="21"/>
                      <w:szCs w:val="21"/>
                      <w:highlight w:val="none"/>
                    </w:rPr>
                  </w:pPr>
                  <w:r>
                    <w:rPr>
                      <w:rFonts w:hint="eastAsia"/>
                      <w:bCs/>
                      <w:sz w:val="21"/>
                      <w:szCs w:val="21"/>
                      <w:highlight w:val="none"/>
                    </w:rPr>
                    <w:t>I5VMC850</w:t>
                  </w:r>
                </w:p>
              </w:tc>
              <w:tc>
                <w:tcPr>
                  <w:tcW w:w="570" w:type="dxa"/>
                  <w:tcBorders>
                    <w:tl2br w:val="nil"/>
                    <w:tr2bl w:val="nil"/>
                  </w:tcBorders>
                  <w:vAlign w:val="center"/>
                </w:tcPr>
                <w:p w14:paraId="0A3D12AC">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68CAA935">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999093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22KW</w:t>
                  </w:r>
                </w:p>
              </w:tc>
              <w:tc>
                <w:tcPr>
                  <w:tcW w:w="825" w:type="dxa"/>
                  <w:vMerge w:val="continue"/>
                  <w:tcBorders>
                    <w:tl2br w:val="nil"/>
                    <w:tr2bl w:val="nil"/>
                  </w:tcBorders>
                  <w:vAlign w:val="center"/>
                </w:tcPr>
                <w:p w14:paraId="07FDA058">
                  <w:pPr>
                    <w:spacing w:line="340" w:lineRule="exact"/>
                    <w:ind w:firstLine="420"/>
                    <w:jc w:val="center"/>
                    <w:rPr>
                      <w:bCs/>
                      <w:sz w:val="21"/>
                      <w:szCs w:val="21"/>
                      <w:highlight w:val="none"/>
                    </w:rPr>
                  </w:pPr>
                </w:p>
              </w:tc>
              <w:tc>
                <w:tcPr>
                  <w:tcW w:w="884" w:type="dxa"/>
                  <w:tcBorders>
                    <w:tl2br w:val="nil"/>
                    <w:tr2bl w:val="nil"/>
                  </w:tcBorders>
                  <w:vAlign w:val="center"/>
                </w:tcPr>
                <w:p w14:paraId="00937B6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0CF2E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BF4622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49C560D3">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2DD4B0AA">
                  <w:pPr>
                    <w:widowControl/>
                    <w:spacing w:line="340" w:lineRule="exact"/>
                    <w:ind w:firstLine="0" w:firstLineChars="0"/>
                    <w:jc w:val="center"/>
                    <w:rPr>
                      <w:bCs/>
                      <w:sz w:val="21"/>
                      <w:szCs w:val="21"/>
                      <w:highlight w:val="none"/>
                    </w:rPr>
                  </w:pPr>
                  <w:r>
                    <w:rPr>
                      <w:bCs/>
                      <w:sz w:val="21"/>
                      <w:szCs w:val="21"/>
                      <w:highlight w:val="none"/>
                    </w:rPr>
                    <w:t>立式加工中心</w:t>
                  </w:r>
                </w:p>
              </w:tc>
              <w:tc>
                <w:tcPr>
                  <w:tcW w:w="1380" w:type="dxa"/>
                  <w:tcBorders>
                    <w:tl2br w:val="nil"/>
                    <w:tr2bl w:val="nil"/>
                  </w:tcBorders>
                  <w:vAlign w:val="center"/>
                </w:tcPr>
                <w:p w14:paraId="551BE380">
                  <w:pPr>
                    <w:spacing w:line="340" w:lineRule="exact"/>
                    <w:ind w:firstLine="0" w:firstLineChars="0"/>
                    <w:jc w:val="center"/>
                    <w:rPr>
                      <w:bCs/>
                      <w:sz w:val="21"/>
                      <w:szCs w:val="21"/>
                      <w:highlight w:val="none"/>
                    </w:rPr>
                  </w:pPr>
                  <w:r>
                    <w:rPr>
                      <w:rFonts w:hint="eastAsia"/>
                      <w:bCs/>
                      <w:sz w:val="21"/>
                      <w:szCs w:val="21"/>
                      <w:highlight w:val="none"/>
                    </w:rPr>
                    <w:t>ACNE-8L</w:t>
                  </w:r>
                </w:p>
              </w:tc>
              <w:tc>
                <w:tcPr>
                  <w:tcW w:w="570" w:type="dxa"/>
                  <w:tcBorders>
                    <w:tl2br w:val="nil"/>
                    <w:tr2bl w:val="nil"/>
                  </w:tcBorders>
                  <w:vAlign w:val="center"/>
                </w:tcPr>
                <w:p w14:paraId="19AB3559">
                  <w:pPr>
                    <w:spacing w:line="340" w:lineRule="exact"/>
                    <w:ind w:firstLine="0" w:firstLineChars="0"/>
                    <w:jc w:val="center"/>
                    <w:rPr>
                      <w:bCs/>
                      <w:sz w:val="21"/>
                      <w:szCs w:val="21"/>
                      <w:highlight w:val="none"/>
                    </w:rPr>
                  </w:pPr>
                  <w:r>
                    <w:rPr>
                      <w:rFonts w:hint="eastAsia"/>
                      <w:bCs/>
                      <w:sz w:val="21"/>
                      <w:szCs w:val="21"/>
                      <w:highlight w:val="none"/>
                    </w:rPr>
                    <w:t>16</w:t>
                  </w:r>
                </w:p>
              </w:tc>
              <w:tc>
                <w:tcPr>
                  <w:tcW w:w="614" w:type="dxa"/>
                  <w:tcBorders>
                    <w:tl2br w:val="nil"/>
                    <w:tr2bl w:val="nil"/>
                  </w:tcBorders>
                  <w:vAlign w:val="center"/>
                </w:tcPr>
                <w:p w14:paraId="65E620BC">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74E51E8">
                  <w:pPr>
                    <w:spacing w:line="340" w:lineRule="exact"/>
                    <w:ind w:firstLine="0" w:firstLineChars="0"/>
                    <w:jc w:val="center"/>
                    <w:rPr>
                      <w:bCs/>
                      <w:sz w:val="21"/>
                      <w:szCs w:val="21"/>
                      <w:highlight w:val="none"/>
                    </w:rPr>
                  </w:pPr>
                  <w:r>
                    <w:rPr>
                      <w:rFonts w:hint="eastAsia"/>
                      <w:bCs/>
                      <w:sz w:val="21"/>
                      <w:szCs w:val="21"/>
                      <w:highlight w:val="none"/>
                    </w:rPr>
                    <w:t>K22W</w:t>
                  </w:r>
                </w:p>
              </w:tc>
              <w:tc>
                <w:tcPr>
                  <w:tcW w:w="825" w:type="dxa"/>
                  <w:vMerge w:val="continue"/>
                  <w:tcBorders>
                    <w:tl2br w:val="nil"/>
                    <w:tr2bl w:val="nil"/>
                  </w:tcBorders>
                  <w:vAlign w:val="center"/>
                </w:tcPr>
                <w:p w14:paraId="6745049E">
                  <w:pPr>
                    <w:spacing w:line="340" w:lineRule="exact"/>
                    <w:ind w:firstLine="420"/>
                    <w:jc w:val="center"/>
                    <w:rPr>
                      <w:bCs/>
                      <w:sz w:val="21"/>
                      <w:szCs w:val="21"/>
                      <w:highlight w:val="none"/>
                    </w:rPr>
                  </w:pPr>
                </w:p>
              </w:tc>
              <w:tc>
                <w:tcPr>
                  <w:tcW w:w="884" w:type="dxa"/>
                  <w:tcBorders>
                    <w:tl2br w:val="nil"/>
                    <w:tr2bl w:val="nil"/>
                  </w:tcBorders>
                  <w:vAlign w:val="center"/>
                </w:tcPr>
                <w:p w14:paraId="7AEB975A">
                  <w:pPr>
                    <w:spacing w:line="340" w:lineRule="exact"/>
                    <w:ind w:firstLine="0" w:firstLineChars="0"/>
                    <w:jc w:val="center"/>
                    <w:rPr>
                      <w:bCs/>
                      <w:sz w:val="21"/>
                      <w:szCs w:val="21"/>
                      <w:highlight w:val="none"/>
                    </w:rPr>
                  </w:pPr>
                  <w:r>
                    <w:rPr>
                      <w:rFonts w:hint="eastAsia"/>
                      <w:bCs/>
                      <w:sz w:val="21"/>
                      <w:szCs w:val="21"/>
                      <w:highlight w:val="none"/>
                    </w:rPr>
                    <w:t>/</w:t>
                  </w:r>
                </w:p>
              </w:tc>
            </w:tr>
            <w:tr w14:paraId="0A6E0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30776B41">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2F7BCC39">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41AD70DB">
                  <w:pPr>
                    <w:widowControl/>
                    <w:spacing w:line="340" w:lineRule="exact"/>
                    <w:ind w:firstLine="0" w:firstLineChars="0"/>
                    <w:jc w:val="center"/>
                    <w:rPr>
                      <w:bCs/>
                      <w:sz w:val="21"/>
                      <w:szCs w:val="21"/>
                      <w:highlight w:val="none"/>
                    </w:rPr>
                  </w:pPr>
                  <w:r>
                    <w:rPr>
                      <w:rFonts w:hint="eastAsia"/>
                      <w:bCs/>
                      <w:sz w:val="21"/>
                      <w:szCs w:val="21"/>
                      <w:highlight w:val="none"/>
                    </w:rPr>
                    <w:t>立式数控铣床</w:t>
                  </w:r>
                </w:p>
              </w:tc>
              <w:tc>
                <w:tcPr>
                  <w:tcW w:w="1380" w:type="dxa"/>
                  <w:tcBorders>
                    <w:tl2br w:val="nil"/>
                    <w:tr2bl w:val="nil"/>
                  </w:tcBorders>
                  <w:vAlign w:val="center"/>
                </w:tcPr>
                <w:p w14:paraId="27BC1615">
                  <w:pPr>
                    <w:spacing w:line="340" w:lineRule="exact"/>
                    <w:ind w:firstLine="0" w:firstLineChars="0"/>
                    <w:jc w:val="center"/>
                    <w:rPr>
                      <w:bCs/>
                      <w:sz w:val="21"/>
                      <w:szCs w:val="21"/>
                      <w:highlight w:val="none"/>
                    </w:rPr>
                  </w:pPr>
                  <w:r>
                    <w:rPr>
                      <w:rFonts w:hint="eastAsia"/>
                      <w:bCs/>
                      <w:sz w:val="21"/>
                      <w:szCs w:val="21"/>
                      <w:highlight w:val="none"/>
                    </w:rPr>
                    <w:t>XK7125</w:t>
                  </w:r>
                </w:p>
              </w:tc>
              <w:tc>
                <w:tcPr>
                  <w:tcW w:w="570" w:type="dxa"/>
                  <w:tcBorders>
                    <w:tl2br w:val="nil"/>
                    <w:tr2bl w:val="nil"/>
                  </w:tcBorders>
                  <w:vAlign w:val="center"/>
                </w:tcPr>
                <w:p w14:paraId="3585B90E">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768D2D68">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2E58904C">
                  <w:pPr>
                    <w:spacing w:line="340" w:lineRule="exact"/>
                    <w:ind w:firstLine="0" w:firstLineChars="0"/>
                    <w:jc w:val="center"/>
                    <w:rPr>
                      <w:bCs/>
                      <w:sz w:val="21"/>
                      <w:szCs w:val="21"/>
                      <w:highlight w:val="none"/>
                    </w:rPr>
                  </w:pPr>
                  <w:r>
                    <w:rPr>
                      <w:rFonts w:hint="eastAsia"/>
                      <w:bCs/>
                      <w:sz w:val="21"/>
                      <w:szCs w:val="21"/>
                      <w:highlight w:val="none"/>
                    </w:rPr>
                    <w:t>8KW</w:t>
                  </w:r>
                </w:p>
              </w:tc>
              <w:tc>
                <w:tcPr>
                  <w:tcW w:w="825" w:type="dxa"/>
                  <w:vMerge w:val="continue"/>
                  <w:tcBorders>
                    <w:tl2br w:val="nil"/>
                    <w:tr2bl w:val="nil"/>
                  </w:tcBorders>
                  <w:vAlign w:val="center"/>
                </w:tcPr>
                <w:p w14:paraId="602F5A91">
                  <w:pPr>
                    <w:spacing w:line="340" w:lineRule="exact"/>
                    <w:ind w:firstLine="420"/>
                    <w:jc w:val="center"/>
                    <w:rPr>
                      <w:bCs/>
                      <w:sz w:val="21"/>
                      <w:szCs w:val="21"/>
                      <w:highlight w:val="none"/>
                    </w:rPr>
                  </w:pPr>
                </w:p>
              </w:tc>
              <w:tc>
                <w:tcPr>
                  <w:tcW w:w="884" w:type="dxa"/>
                  <w:tcBorders>
                    <w:tl2br w:val="nil"/>
                    <w:tr2bl w:val="nil"/>
                  </w:tcBorders>
                  <w:vAlign w:val="center"/>
                </w:tcPr>
                <w:p w14:paraId="7FFAA8FA">
                  <w:pPr>
                    <w:spacing w:line="340" w:lineRule="exact"/>
                    <w:ind w:firstLine="0" w:firstLineChars="0"/>
                    <w:jc w:val="center"/>
                    <w:rPr>
                      <w:bCs/>
                      <w:sz w:val="21"/>
                      <w:szCs w:val="21"/>
                      <w:highlight w:val="none"/>
                    </w:rPr>
                  </w:pPr>
                  <w:r>
                    <w:rPr>
                      <w:rFonts w:hint="eastAsia"/>
                      <w:bCs/>
                      <w:sz w:val="21"/>
                      <w:szCs w:val="21"/>
                      <w:highlight w:val="none"/>
                    </w:rPr>
                    <w:t>/</w:t>
                  </w:r>
                </w:p>
              </w:tc>
            </w:tr>
            <w:tr w14:paraId="475EE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28182BC">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721B579E">
                  <w:pPr>
                    <w:widowControl/>
                    <w:tabs>
                      <w:tab w:val="left" w:pos="395"/>
                    </w:tabs>
                    <w:spacing w:line="340" w:lineRule="exact"/>
                    <w:ind w:firstLine="0" w:firstLineChars="0"/>
                    <w:jc w:val="center"/>
                    <w:rPr>
                      <w:bCs/>
                      <w:sz w:val="21"/>
                      <w:szCs w:val="21"/>
                      <w:highlight w:val="none"/>
                    </w:rPr>
                  </w:pPr>
                  <w:r>
                    <w:rPr>
                      <w:rFonts w:hint="eastAsia"/>
                      <w:bCs/>
                      <w:sz w:val="21"/>
                      <w:szCs w:val="21"/>
                      <w:highlight w:val="none"/>
                    </w:rPr>
                    <w:t>齿形</w:t>
                  </w:r>
                </w:p>
              </w:tc>
              <w:tc>
                <w:tcPr>
                  <w:tcW w:w="1516" w:type="dxa"/>
                  <w:tcBorders>
                    <w:tl2br w:val="nil"/>
                    <w:tr2bl w:val="nil"/>
                  </w:tcBorders>
                  <w:vAlign w:val="center"/>
                </w:tcPr>
                <w:p w14:paraId="278EDF5C">
                  <w:pPr>
                    <w:widowControl/>
                    <w:spacing w:line="340" w:lineRule="exact"/>
                    <w:ind w:firstLine="0" w:firstLineChars="0"/>
                    <w:jc w:val="center"/>
                    <w:rPr>
                      <w:bCs/>
                      <w:sz w:val="21"/>
                      <w:szCs w:val="21"/>
                      <w:highlight w:val="none"/>
                    </w:rPr>
                  </w:pPr>
                  <w:r>
                    <w:rPr>
                      <w:bCs/>
                      <w:sz w:val="21"/>
                      <w:szCs w:val="21"/>
                      <w:highlight w:val="none"/>
                    </w:rPr>
                    <w:t>卧式拉床</w:t>
                  </w:r>
                </w:p>
              </w:tc>
              <w:tc>
                <w:tcPr>
                  <w:tcW w:w="1380" w:type="dxa"/>
                  <w:tcBorders>
                    <w:tl2br w:val="nil"/>
                    <w:tr2bl w:val="nil"/>
                  </w:tcBorders>
                  <w:vAlign w:val="center"/>
                </w:tcPr>
                <w:p w14:paraId="0E3A5B53">
                  <w:pPr>
                    <w:spacing w:line="340" w:lineRule="exact"/>
                    <w:ind w:firstLine="0" w:firstLineChars="0"/>
                    <w:jc w:val="center"/>
                    <w:rPr>
                      <w:bCs/>
                      <w:sz w:val="21"/>
                      <w:szCs w:val="21"/>
                      <w:highlight w:val="none"/>
                    </w:rPr>
                  </w:pPr>
                  <w:r>
                    <w:rPr>
                      <w:rFonts w:hint="eastAsia"/>
                      <w:bCs/>
                      <w:sz w:val="21"/>
                      <w:szCs w:val="21"/>
                      <w:highlight w:val="none"/>
                    </w:rPr>
                    <w:t>L-620</w:t>
                  </w:r>
                </w:p>
              </w:tc>
              <w:tc>
                <w:tcPr>
                  <w:tcW w:w="570" w:type="dxa"/>
                  <w:tcBorders>
                    <w:tl2br w:val="nil"/>
                    <w:tr2bl w:val="nil"/>
                  </w:tcBorders>
                  <w:vAlign w:val="center"/>
                </w:tcPr>
                <w:p w14:paraId="69FA9D91">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13EA0CEE">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05E53F2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23KW</w:t>
                  </w:r>
                </w:p>
              </w:tc>
              <w:tc>
                <w:tcPr>
                  <w:tcW w:w="825" w:type="dxa"/>
                  <w:vMerge w:val="continue"/>
                  <w:tcBorders>
                    <w:tl2br w:val="nil"/>
                    <w:tr2bl w:val="nil"/>
                  </w:tcBorders>
                  <w:vAlign w:val="center"/>
                </w:tcPr>
                <w:p w14:paraId="5C9AE8FE">
                  <w:pPr>
                    <w:spacing w:line="340" w:lineRule="exact"/>
                    <w:ind w:firstLine="420"/>
                    <w:jc w:val="center"/>
                    <w:rPr>
                      <w:bCs/>
                      <w:sz w:val="21"/>
                      <w:szCs w:val="21"/>
                      <w:highlight w:val="none"/>
                    </w:rPr>
                  </w:pPr>
                </w:p>
              </w:tc>
              <w:tc>
                <w:tcPr>
                  <w:tcW w:w="884" w:type="dxa"/>
                  <w:tcBorders>
                    <w:tl2br w:val="nil"/>
                    <w:tr2bl w:val="nil"/>
                  </w:tcBorders>
                  <w:vAlign w:val="center"/>
                </w:tcPr>
                <w:p w14:paraId="1071A7C9">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4300F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0C11BF92">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44124853">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16896B0E">
                  <w:pPr>
                    <w:widowControl/>
                    <w:spacing w:line="340" w:lineRule="exact"/>
                    <w:ind w:firstLine="0" w:firstLineChars="0"/>
                    <w:jc w:val="center"/>
                    <w:rPr>
                      <w:bCs/>
                      <w:sz w:val="21"/>
                      <w:szCs w:val="21"/>
                      <w:highlight w:val="none"/>
                    </w:rPr>
                  </w:pPr>
                  <w:r>
                    <w:rPr>
                      <w:bCs/>
                      <w:sz w:val="21"/>
                      <w:szCs w:val="21"/>
                      <w:highlight w:val="none"/>
                    </w:rPr>
                    <w:t>立式拉床</w:t>
                  </w:r>
                </w:p>
              </w:tc>
              <w:tc>
                <w:tcPr>
                  <w:tcW w:w="1380" w:type="dxa"/>
                  <w:tcBorders>
                    <w:tl2br w:val="nil"/>
                    <w:tr2bl w:val="nil"/>
                  </w:tcBorders>
                  <w:vAlign w:val="center"/>
                </w:tcPr>
                <w:p w14:paraId="6DD0C7E3">
                  <w:pPr>
                    <w:spacing w:line="340" w:lineRule="exact"/>
                    <w:ind w:firstLine="0" w:firstLineChars="0"/>
                    <w:jc w:val="center"/>
                    <w:rPr>
                      <w:bCs/>
                      <w:sz w:val="21"/>
                      <w:szCs w:val="21"/>
                      <w:highlight w:val="none"/>
                    </w:rPr>
                  </w:pPr>
                  <w:r>
                    <w:rPr>
                      <w:rFonts w:hint="eastAsia"/>
                      <w:bCs/>
                      <w:sz w:val="21"/>
                      <w:szCs w:val="21"/>
                      <w:highlight w:val="none"/>
                    </w:rPr>
                    <w:t>L5710B</w:t>
                  </w:r>
                </w:p>
              </w:tc>
              <w:tc>
                <w:tcPr>
                  <w:tcW w:w="570" w:type="dxa"/>
                  <w:tcBorders>
                    <w:tl2br w:val="nil"/>
                    <w:tr2bl w:val="nil"/>
                  </w:tcBorders>
                  <w:vAlign w:val="center"/>
                </w:tcPr>
                <w:p w14:paraId="4D5F5C24">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01FFD52A">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463E8B24">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26KW</w:t>
                  </w:r>
                </w:p>
              </w:tc>
              <w:tc>
                <w:tcPr>
                  <w:tcW w:w="825" w:type="dxa"/>
                  <w:vMerge w:val="continue"/>
                  <w:tcBorders>
                    <w:tl2br w:val="nil"/>
                    <w:tr2bl w:val="nil"/>
                  </w:tcBorders>
                  <w:vAlign w:val="center"/>
                </w:tcPr>
                <w:p w14:paraId="3975C7FF">
                  <w:pPr>
                    <w:spacing w:line="340" w:lineRule="exact"/>
                    <w:ind w:firstLine="0" w:firstLineChars="0"/>
                    <w:jc w:val="center"/>
                    <w:rPr>
                      <w:bCs/>
                      <w:sz w:val="21"/>
                      <w:szCs w:val="21"/>
                      <w:highlight w:val="none"/>
                    </w:rPr>
                  </w:pPr>
                </w:p>
              </w:tc>
              <w:tc>
                <w:tcPr>
                  <w:tcW w:w="884" w:type="dxa"/>
                  <w:tcBorders>
                    <w:tl2br w:val="nil"/>
                    <w:tr2bl w:val="nil"/>
                  </w:tcBorders>
                  <w:vAlign w:val="center"/>
                </w:tcPr>
                <w:p w14:paraId="115F356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5742B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DC1D8A2">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1B26FE33">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5ABDCD14">
                  <w:pPr>
                    <w:widowControl/>
                    <w:spacing w:line="340" w:lineRule="exact"/>
                    <w:ind w:firstLine="0" w:firstLineChars="0"/>
                    <w:jc w:val="center"/>
                    <w:rPr>
                      <w:bCs/>
                      <w:sz w:val="21"/>
                      <w:szCs w:val="21"/>
                      <w:highlight w:val="none"/>
                    </w:rPr>
                  </w:pPr>
                  <w:r>
                    <w:rPr>
                      <w:bCs/>
                      <w:sz w:val="21"/>
                      <w:szCs w:val="21"/>
                      <w:highlight w:val="none"/>
                    </w:rPr>
                    <w:t>滚齿机</w:t>
                  </w:r>
                </w:p>
              </w:tc>
              <w:tc>
                <w:tcPr>
                  <w:tcW w:w="1380" w:type="dxa"/>
                  <w:tcBorders>
                    <w:tl2br w:val="nil"/>
                    <w:tr2bl w:val="nil"/>
                  </w:tcBorders>
                  <w:vAlign w:val="center"/>
                </w:tcPr>
                <w:p w14:paraId="3EB7BBA2">
                  <w:pPr>
                    <w:spacing w:line="340" w:lineRule="exact"/>
                    <w:ind w:firstLine="0" w:firstLineChars="0"/>
                    <w:jc w:val="center"/>
                    <w:rPr>
                      <w:bCs/>
                      <w:sz w:val="21"/>
                      <w:szCs w:val="21"/>
                      <w:highlight w:val="none"/>
                    </w:rPr>
                  </w:pPr>
                  <w:r>
                    <w:rPr>
                      <w:rFonts w:hint="eastAsia"/>
                      <w:bCs/>
                      <w:sz w:val="21"/>
                      <w:szCs w:val="21"/>
                      <w:highlight w:val="none"/>
                    </w:rPr>
                    <w:t>YB3120A</w:t>
                  </w:r>
                </w:p>
              </w:tc>
              <w:tc>
                <w:tcPr>
                  <w:tcW w:w="570" w:type="dxa"/>
                  <w:tcBorders>
                    <w:tl2br w:val="nil"/>
                    <w:tr2bl w:val="nil"/>
                  </w:tcBorders>
                  <w:vAlign w:val="center"/>
                </w:tcPr>
                <w:p w14:paraId="41AECC89">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0A801565">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6EB55EC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9.04KW</w:t>
                  </w:r>
                </w:p>
              </w:tc>
              <w:tc>
                <w:tcPr>
                  <w:tcW w:w="825" w:type="dxa"/>
                  <w:vMerge w:val="continue"/>
                  <w:tcBorders>
                    <w:tl2br w:val="nil"/>
                    <w:tr2bl w:val="nil"/>
                  </w:tcBorders>
                  <w:vAlign w:val="center"/>
                </w:tcPr>
                <w:p w14:paraId="1C9E6CE2">
                  <w:pPr>
                    <w:spacing w:line="340" w:lineRule="exact"/>
                    <w:ind w:firstLine="0" w:firstLineChars="0"/>
                    <w:jc w:val="center"/>
                    <w:rPr>
                      <w:bCs/>
                      <w:sz w:val="21"/>
                      <w:szCs w:val="21"/>
                      <w:highlight w:val="none"/>
                    </w:rPr>
                  </w:pPr>
                </w:p>
              </w:tc>
              <w:tc>
                <w:tcPr>
                  <w:tcW w:w="884" w:type="dxa"/>
                  <w:vMerge w:val="restart"/>
                  <w:tcBorders>
                    <w:tl2br w:val="nil"/>
                    <w:tr2bl w:val="nil"/>
                  </w:tcBorders>
                  <w:vAlign w:val="center"/>
                </w:tcPr>
                <w:p w14:paraId="2993433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用液压油</w:t>
                  </w:r>
                </w:p>
              </w:tc>
            </w:tr>
            <w:tr w14:paraId="4CF64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4257E43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2FEF8E05">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5D20DACB">
                  <w:pPr>
                    <w:widowControl/>
                    <w:spacing w:line="340" w:lineRule="exact"/>
                    <w:ind w:firstLine="0" w:firstLineChars="0"/>
                    <w:jc w:val="center"/>
                    <w:rPr>
                      <w:bCs/>
                      <w:sz w:val="21"/>
                      <w:szCs w:val="21"/>
                      <w:highlight w:val="none"/>
                    </w:rPr>
                  </w:pPr>
                  <w:r>
                    <w:rPr>
                      <w:bCs/>
                      <w:sz w:val="21"/>
                      <w:szCs w:val="21"/>
                      <w:highlight w:val="none"/>
                    </w:rPr>
                    <w:t>滚齿机</w:t>
                  </w:r>
                </w:p>
              </w:tc>
              <w:tc>
                <w:tcPr>
                  <w:tcW w:w="1380" w:type="dxa"/>
                  <w:tcBorders>
                    <w:tl2br w:val="nil"/>
                    <w:tr2bl w:val="nil"/>
                  </w:tcBorders>
                  <w:vAlign w:val="center"/>
                </w:tcPr>
                <w:p w14:paraId="258EDCD6">
                  <w:pPr>
                    <w:spacing w:line="340" w:lineRule="exact"/>
                    <w:ind w:firstLine="0" w:firstLineChars="0"/>
                    <w:jc w:val="center"/>
                    <w:rPr>
                      <w:bCs/>
                      <w:sz w:val="21"/>
                      <w:szCs w:val="21"/>
                      <w:highlight w:val="none"/>
                    </w:rPr>
                  </w:pPr>
                  <w:r>
                    <w:rPr>
                      <w:rFonts w:hint="eastAsia"/>
                      <w:bCs/>
                      <w:sz w:val="21"/>
                      <w:szCs w:val="21"/>
                      <w:highlight w:val="none"/>
                    </w:rPr>
                    <w:t>YB3120K</w:t>
                  </w:r>
                </w:p>
              </w:tc>
              <w:tc>
                <w:tcPr>
                  <w:tcW w:w="570" w:type="dxa"/>
                  <w:tcBorders>
                    <w:tl2br w:val="nil"/>
                    <w:tr2bl w:val="nil"/>
                  </w:tcBorders>
                  <w:vAlign w:val="center"/>
                </w:tcPr>
                <w:p w14:paraId="7E1C322C">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49A9550A">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E9026A8">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9.04KW</w:t>
                  </w:r>
                </w:p>
              </w:tc>
              <w:tc>
                <w:tcPr>
                  <w:tcW w:w="825" w:type="dxa"/>
                  <w:vMerge w:val="continue"/>
                  <w:tcBorders>
                    <w:tl2br w:val="nil"/>
                    <w:tr2bl w:val="nil"/>
                  </w:tcBorders>
                  <w:vAlign w:val="center"/>
                </w:tcPr>
                <w:p w14:paraId="0A27CDB3">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2ECB9332">
                  <w:pPr>
                    <w:pStyle w:val="40"/>
                    <w:spacing w:line="340" w:lineRule="exact"/>
                    <w:ind w:firstLine="0" w:firstLineChars="0"/>
                    <w:jc w:val="center"/>
                    <w:rPr>
                      <w:rFonts w:ascii="Times New Roman" w:hAnsi="Times New Roman"/>
                      <w:bCs/>
                      <w:sz w:val="21"/>
                      <w:szCs w:val="21"/>
                      <w:highlight w:val="none"/>
                    </w:rPr>
                  </w:pPr>
                </w:p>
              </w:tc>
            </w:tr>
            <w:tr w14:paraId="01B6B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389272F8">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7FBDD319">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405DE805">
                  <w:pPr>
                    <w:widowControl/>
                    <w:spacing w:line="340" w:lineRule="exact"/>
                    <w:ind w:firstLine="0" w:firstLineChars="0"/>
                    <w:jc w:val="center"/>
                    <w:rPr>
                      <w:bCs/>
                      <w:sz w:val="21"/>
                      <w:szCs w:val="21"/>
                      <w:highlight w:val="none"/>
                    </w:rPr>
                  </w:pPr>
                  <w:r>
                    <w:rPr>
                      <w:bCs/>
                      <w:sz w:val="21"/>
                      <w:szCs w:val="21"/>
                      <w:highlight w:val="none"/>
                    </w:rPr>
                    <w:t>滚齿机</w:t>
                  </w:r>
                </w:p>
              </w:tc>
              <w:tc>
                <w:tcPr>
                  <w:tcW w:w="1380" w:type="dxa"/>
                  <w:tcBorders>
                    <w:tl2br w:val="nil"/>
                    <w:tr2bl w:val="nil"/>
                  </w:tcBorders>
                  <w:vAlign w:val="center"/>
                </w:tcPr>
                <w:p w14:paraId="2A374DD5">
                  <w:pPr>
                    <w:spacing w:line="340" w:lineRule="exact"/>
                    <w:ind w:firstLine="0" w:firstLineChars="0"/>
                    <w:jc w:val="center"/>
                    <w:rPr>
                      <w:bCs/>
                      <w:sz w:val="21"/>
                      <w:szCs w:val="21"/>
                      <w:highlight w:val="none"/>
                    </w:rPr>
                  </w:pPr>
                  <w:r>
                    <w:rPr>
                      <w:rFonts w:hint="eastAsia"/>
                      <w:bCs/>
                      <w:sz w:val="21"/>
                      <w:szCs w:val="21"/>
                      <w:highlight w:val="none"/>
                    </w:rPr>
                    <w:t>YSN3132</w:t>
                  </w:r>
                </w:p>
              </w:tc>
              <w:tc>
                <w:tcPr>
                  <w:tcW w:w="570" w:type="dxa"/>
                  <w:tcBorders>
                    <w:tl2br w:val="nil"/>
                    <w:tr2bl w:val="nil"/>
                  </w:tcBorders>
                  <w:vAlign w:val="center"/>
                </w:tcPr>
                <w:p w14:paraId="1D39B70B">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7B33C4CC">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2A2C00E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9.5KW</w:t>
                  </w:r>
                </w:p>
              </w:tc>
              <w:tc>
                <w:tcPr>
                  <w:tcW w:w="825" w:type="dxa"/>
                  <w:vMerge w:val="continue"/>
                  <w:tcBorders>
                    <w:tl2br w:val="nil"/>
                    <w:tr2bl w:val="nil"/>
                  </w:tcBorders>
                  <w:vAlign w:val="center"/>
                </w:tcPr>
                <w:p w14:paraId="6631FC56">
                  <w:pPr>
                    <w:spacing w:line="340" w:lineRule="exact"/>
                    <w:ind w:firstLine="0" w:firstLineChars="0"/>
                    <w:jc w:val="center"/>
                    <w:rPr>
                      <w:bCs/>
                      <w:sz w:val="21"/>
                      <w:szCs w:val="21"/>
                      <w:highlight w:val="none"/>
                    </w:rPr>
                  </w:pPr>
                </w:p>
              </w:tc>
              <w:tc>
                <w:tcPr>
                  <w:tcW w:w="884" w:type="dxa"/>
                  <w:vMerge w:val="continue"/>
                  <w:tcBorders>
                    <w:tl2br w:val="nil"/>
                    <w:tr2bl w:val="nil"/>
                  </w:tcBorders>
                  <w:vAlign w:val="center"/>
                </w:tcPr>
                <w:p w14:paraId="42E8EE15">
                  <w:pPr>
                    <w:pStyle w:val="40"/>
                    <w:spacing w:line="340" w:lineRule="exact"/>
                    <w:ind w:firstLine="0" w:firstLineChars="0"/>
                    <w:jc w:val="center"/>
                    <w:rPr>
                      <w:rFonts w:ascii="Times New Roman" w:hAnsi="Times New Roman"/>
                      <w:bCs/>
                      <w:sz w:val="21"/>
                      <w:szCs w:val="21"/>
                      <w:highlight w:val="none"/>
                    </w:rPr>
                  </w:pPr>
                </w:p>
              </w:tc>
            </w:tr>
            <w:tr w14:paraId="60F74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A6592D1">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048B7B46">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746033DC">
                  <w:pPr>
                    <w:widowControl/>
                    <w:spacing w:line="340" w:lineRule="exact"/>
                    <w:ind w:firstLine="0" w:firstLineChars="0"/>
                    <w:jc w:val="center"/>
                    <w:rPr>
                      <w:bCs/>
                      <w:sz w:val="21"/>
                      <w:szCs w:val="21"/>
                      <w:highlight w:val="none"/>
                    </w:rPr>
                  </w:pPr>
                  <w:r>
                    <w:rPr>
                      <w:bCs/>
                      <w:sz w:val="21"/>
                      <w:szCs w:val="21"/>
                      <w:highlight w:val="none"/>
                    </w:rPr>
                    <w:t>数控滚齿机</w:t>
                  </w:r>
                </w:p>
                <w:p w14:paraId="54446CBC">
                  <w:pPr>
                    <w:widowControl/>
                    <w:spacing w:line="340" w:lineRule="exact"/>
                    <w:ind w:firstLine="0" w:firstLineChars="0"/>
                    <w:jc w:val="center"/>
                    <w:rPr>
                      <w:highlight w:val="none"/>
                    </w:rPr>
                  </w:pPr>
                  <w:r>
                    <w:rPr>
                      <w:rFonts w:hint="eastAsia"/>
                      <w:bCs/>
                      <w:sz w:val="21"/>
                      <w:szCs w:val="21"/>
                      <w:highlight w:val="none"/>
                    </w:rPr>
                    <w:t>（高速运转）</w:t>
                  </w:r>
                </w:p>
              </w:tc>
              <w:tc>
                <w:tcPr>
                  <w:tcW w:w="1380" w:type="dxa"/>
                  <w:tcBorders>
                    <w:tl2br w:val="nil"/>
                    <w:tr2bl w:val="nil"/>
                  </w:tcBorders>
                  <w:vAlign w:val="center"/>
                </w:tcPr>
                <w:p w14:paraId="75E544D5">
                  <w:pPr>
                    <w:spacing w:line="340" w:lineRule="exact"/>
                    <w:ind w:firstLine="0" w:firstLineChars="0"/>
                    <w:jc w:val="center"/>
                    <w:rPr>
                      <w:bCs/>
                      <w:sz w:val="21"/>
                      <w:szCs w:val="21"/>
                      <w:highlight w:val="none"/>
                    </w:rPr>
                  </w:pPr>
                  <w:r>
                    <w:rPr>
                      <w:rFonts w:hint="eastAsia"/>
                      <w:bCs/>
                      <w:sz w:val="21"/>
                      <w:szCs w:val="21"/>
                      <w:highlight w:val="none"/>
                    </w:rPr>
                    <w:t>YS3118CNC</w:t>
                  </w:r>
                </w:p>
              </w:tc>
              <w:tc>
                <w:tcPr>
                  <w:tcW w:w="570" w:type="dxa"/>
                  <w:tcBorders>
                    <w:tl2br w:val="nil"/>
                    <w:tr2bl w:val="nil"/>
                  </w:tcBorders>
                  <w:vAlign w:val="center"/>
                </w:tcPr>
                <w:p w14:paraId="78417062">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7807A4CA">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1EAA9DD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24KW</w:t>
                  </w:r>
                </w:p>
              </w:tc>
              <w:tc>
                <w:tcPr>
                  <w:tcW w:w="825" w:type="dxa"/>
                  <w:vMerge w:val="continue"/>
                  <w:tcBorders>
                    <w:tl2br w:val="nil"/>
                    <w:tr2bl w:val="nil"/>
                  </w:tcBorders>
                  <w:vAlign w:val="center"/>
                </w:tcPr>
                <w:p w14:paraId="24C9ECEC">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1FA7CC34">
                  <w:pPr>
                    <w:pStyle w:val="40"/>
                    <w:spacing w:line="340" w:lineRule="exact"/>
                    <w:ind w:firstLine="0" w:firstLineChars="0"/>
                    <w:jc w:val="center"/>
                    <w:rPr>
                      <w:rFonts w:ascii="Times New Roman" w:hAnsi="Times New Roman"/>
                      <w:bCs/>
                      <w:sz w:val="21"/>
                      <w:szCs w:val="21"/>
                      <w:highlight w:val="none"/>
                    </w:rPr>
                  </w:pPr>
                </w:p>
              </w:tc>
            </w:tr>
            <w:tr w14:paraId="6AF4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877CCA8">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78D4FF8D">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21082064">
                  <w:pPr>
                    <w:widowControl/>
                    <w:spacing w:line="340" w:lineRule="exact"/>
                    <w:ind w:firstLine="0" w:firstLineChars="0"/>
                    <w:jc w:val="center"/>
                    <w:rPr>
                      <w:bCs/>
                      <w:sz w:val="21"/>
                      <w:szCs w:val="21"/>
                      <w:highlight w:val="none"/>
                    </w:rPr>
                  </w:pPr>
                  <w:r>
                    <w:rPr>
                      <w:rFonts w:hint="eastAsia"/>
                      <w:bCs/>
                      <w:sz w:val="21"/>
                      <w:szCs w:val="21"/>
                      <w:highlight w:val="none"/>
                    </w:rPr>
                    <w:t>数控插齿机</w:t>
                  </w:r>
                </w:p>
              </w:tc>
              <w:tc>
                <w:tcPr>
                  <w:tcW w:w="1380" w:type="dxa"/>
                  <w:tcBorders>
                    <w:tl2br w:val="nil"/>
                    <w:tr2bl w:val="nil"/>
                  </w:tcBorders>
                  <w:vAlign w:val="center"/>
                </w:tcPr>
                <w:p w14:paraId="27716EB7">
                  <w:pPr>
                    <w:spacing w:line="340" w:lineRule="exact"/>
                    <w:ind w:firstLine="0" w:firstLineChars="0"/>
                    <w:jc w:val="center"/>
                    <w:rPr>
                      <w:bCs/>
                      <w:sz w:val="21"/>
                      <w:szCs w:val="21"/>
                      <w:highlight w:val="none"/>
                    </w:rPr>
                  </w:pPr>
                  <w:r>
                    <w:rPr>
                      <w:rFonts w:hint="eastAsia"/>
                      <w:bCs/>
                      <w:sz w:val="21"/>
                      <w:szCs w:val="21"/>
                      <w:highlight w:val="none"/>
                    </w:rPr>
                    <w:t>YK5120</w:t>
                  </w:r>
                </w:p>
              </w:tc>
              <w:tc>
                <w:tcPr>
                  <w:tcW w:w="570" w:type="dxa"/>
                  <w:tcBorders>
                    <w:tl2br w:val="nil"/>
                    <w:tr2bl w:val="nil"/>
                  </w:tcBorders>
                  <w:vAlign w:val="center"/>
                </w:tcPr>
                <w:p w14:paraId="23EAECE8">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1404AF77">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AB9CDF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16KW</w:t>
                  </w:r>
                </w:p>
              </w:tc>
              <w:tc>
                <w:tcPr>
                  <w:tcW w:w="825" w:type="dxa"/>
                  <w:vMerge w:val="continue"/>
                  <w:tcBorders>
                    <w:tl2br w:val="nil"/>
                    <w:tr2bl w:val="nil"/>
                  </w:tcBorders>
                  <w:vAlign w:val="center"/>
                </w:tcPr>
                <w:p w14:paraId="38D0B40E">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1AFE95C9">
                  <w:pPr>
                    <w:pStyle w:val="40"/>
                    <w:spacing w:line="340" w:lineRule="exact"/>
                    <w:ind w:firstLine="0" w:firstLineChars="0"/>
                    <w:jc w:val="center"/>
                    <w:rPr>
                      <w:rFonts w:ascii="Times New Roman" w:hAnsi="Times New Roman"/>
                      <w:bCs/>
                      <w:sz w:val="21"/>
                      <w:szCs w:val="21"/>
                      <w:highlight w:val="none"/>
                    </w:rPr>
                  </w:pPr>
                </w:p>
              </w:tc>
            </w:tr>
            <w:tr w14:paraId="1082D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995DAA5">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1C97B167">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20C36E9C">
                  <w:pPr>
                    <w:widowControl/>
                    <w:spacing w:line="340" w:lineRule="exact"/>
                    <w:ind w:firstLine="0" w:firstLineChars="0"/>
                    <w:jc w:val="center"/>
                    <w:rPr>
                      <w:bCs/>
                      <w:sz w:val="21"/>
                      <w:szCs w:val="21"/>
                      <w:highlight w:val="none"/>
                    </w:rPr>
                  </w:pPr>
                  <w:r>
                    <w:rPr>
                      <w:bCs/>
                      <w:sz w:val="21"/>
                      <w:szCs w:val="21"/>
                      <w:highlight w:val="none"/>
                    </w:rPr>
                    <w:t>插齿机</w:t>
                  </w:r>
                </w:p>
              </w:tc>
              <w:tc>
                <w:tcPr>
                  <w:tcW w:w="1380" w:type="dxa"/>
                  <w:tcBorders>
                    <w:tl2br w:val="nil"/>
                    <w:tr2bl w:val="nil"/>
                  </w:tcBorders>
                  <w:vAlign w:val="center"/>
                </w:tcPr>
                <w:p w14:paraId="7064EA82">
                  <w:pPr>
                    <w:spacing w:line="340" w:lineRule="exact"/>
                    <w:ind w:firstLine="0" w:firstLineChars="0"/>
                    <w:jc w:val="center"/>
                    <w:rPr>
                      <w:bCs/>
                      <w:sz w:val="21"/>
                      <w:szCs w:val="21"/>
                      <w:highlight w:val="none"/>
                    </w:rPr>
                  </w:pPr>
                  <w:r>
                    <w:rPr>
                      <w:rFonts w:hint="eastAsia"/>
                      <w:bCs/>
                      <w:sz w:val="21"/>
                      <w:szCs w:val="21"/>
                      <w:highlight w:val="none"/>
                    </w:rPr>
                    <w:t>Y54</w:t>
                  </w:r>
                </w:p>
              </w:tc>
              <w:tc>
                <w:tcPr>
                  <w:tcW w:w="570" w:type="dxa"/>
                  <w:tcBorders>
                    <w:tl2br w:val="nil"/>
                    <w:tr2bl w:val="nil"/>
                  </w:tcBorders>
                  <w:vAlign w:val="center"/>
                </w:tcPr>
                <w:p w14:paraId="1810A526">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2A96901F">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6BF6B22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8KW</w:t>
                  </w:r>
                </w:p>
              </w:tc>
              <w:tc>
                <w:tcPr>
                  <w:tcW w:w="825" w:type="dxa"/>
                  <w:vMerge w:val="continue"/>
                  <w:tcBorders>
                    <w:tl2br w:val="nil"/>
                    <w:tr2bl w:val="nil"/>
                  </w:tcBorders>
                  <w:vAlign w:val="center"/>
                </w:tcPr>
                <w:p w14:paraId="15937285">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5E81F262">
                  <w:pPr>
                    <w:pStyle w:val="40"/>
                    <w:spacing w:line="340" w:lineRule="exact"/>
                    <w:ind w:firstLine="0" w:firstLineChars="0"/>
                    <w:jc w:val="center"/>
                    <w:rPr>
                      <w:rFonts w:ascii="Times New Roman" w:hAnsi="Times New Roman"/>
                      <w:bCs/>
                      <w:sz w:val="21"/>
                      <w:szCs w:val="21"/>
                      <w:highlight w:val="none"/>
                    </w:rPr>
                  </w:pPr>
                </w:p>
              </w:tc>
            </w:tr>
            <w:tr w14:paraId="3E6E3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1F0D164B">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3F69DDBA">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743995E6">
                  <w:pPr>
                    <w:widowControl/>
                    <w:spacing w:line="340" w:lineRule="exact"/>
                    <w:ind w:firstLine="0" w:firstLineChars="0"/>
                    <w:jc w:val="center"/>
                    <w:rPr>
                      <w:bCs/>
                      <w:sz w:val="21"/>
                      <w:szCs w:val="21"/>
                      <w:highlight w:val="none"/>
                    </w:rPr>
                  </w:pPr>
                  <w:r>
                    <w:rPr>
                      <w:rFonts w:hint="eastAsia"/>
                      <w:bCs/>
                      <w:sz w:val="21"/>
                      <w:szCs w:val="21"/>
                      <w:highlight w:val="none"/>
                    </w:rPr>
                    <w:t>剃齿机</w:t>
                  </w:r>
                </w:p>
              </w:tc>
              <w:tc>
                <w:tcPr>
                  <w:tcW w:w="1380" w:type="dxa"/>
                  <w:tcBorders>
                    <w:tl2br w:val="nil"/>
                    <w:tr2bl w:val="nil"/>
                  </w:tcBorders>
                  <w:vAlign w:val="center"/>
                </w:tcPr>
                <w:p w14:paraId="3A93F74B">
                  <w:pPr>
                    <w:widowControl/>
                    <w:spacing w:line="340" w:lineRule="exact"/>
                    <w:ind w:firstLine="0" w:firstLineChars="0"/>
                    <w:jc w:val="center"/>
                    <w:rPr>
                      <w:bCs/>
                      <w:sz w:val="21"/>
                      <w:szCs w:val="21"/>
                      <w:highlight w:val="none"/>
                    </w:rPr>
                  </w:pPr>
                  <w:r>
                    <w:rPr>
                      <w:rFonts w:hint="eastAsia"/>
                      <w:bCs/>
                      <w:sz w:val="21"/>
                      <w:szCs w:val="21"/>
                      <w:highlight w:val="none"/>
                    </w:rPr>
                    <w:t>YWA4232</w:t>
                  </w:r>
                </w:p>
              </w:tc>
              <w:tc>
                <w:tcPr>
                  <w:tcW w:w="570" w:type="dxa"/>
                  <w:tcBorders>
                    <w:tl2br w:val="nil"/>
                    <w:tr2bl w:val="nil"/>
                  </w:tcBorders>
                  <w:vAlign w:val="center"/>
                </w:tcPr>
                <w:p w14:paraId="7E6D3936">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5A4A2CFD">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6F84B7E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10KW</w:t>
                  </w:r>
                </w:p>
              </w:tc>
              <w:tc>
                <w:tcPr>
                  <w:tcW w:w="825" w:type="dxa"/>
                  <w:vMerge w:val="continue"/>
                  <w:tcBorders>
                    <w:tl2br w:val="nil"/>
                    <w:tr2bl w:val="nil"/>
                  </w:tcBorders>
                  <w:vAlign w:val="center"/>
                </w:tcPr>
                <w:p w14:paraId="4F3CF452">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44851672">
                  <w:pPr>
                    <w:pStyle w:val="40"/>
                    <w:spacing w:line="340" w:lineRule="exact"/>
                    <w:ind w:firstLine="0" w:firstLineChars="0"/>
                    <w:jc w:val="center"/>
                    <w:rPr>
                      <w:rFonts w:ascii="Times New Roman" w:hAnsi="Times New Roman"/>
                      <w:bCs/>
                      <w:sz w:val="21"/>
                      <w:szCs w:val="21"/>
                      <w:highlight w:val="none"/>
                    </w:rPr>
                  </w:pPr>
                </w:p>
              </w:tc>
            </w:tr>
            <w:tr w14:paraId="42E7A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325033FD">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70975353">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684F9EF2">
                  <w:pPr>
                    <w:widowControl/>
                    <w:spacing w:line="340" w:lineRule="exact"/>
                    <w:ind w:firstLine="0" w:firstLineChars="0"/>
                    <w:jc w:val="center"/>
                    <w:rPr>
                      <w:bCs/>
                      <w:sz w:val="21"/>
                      <w:szCs w:val="21"/>
                      <w:highlight w:val="none"/>
                    </w:rPr>
                  </w:pPr>
                  <w:r>
                    <w:rPr>
                      <w:rFonts w:hint="eastAsia"/>
                      <w:bCs/>
                      <w:sz w:val="21"/>
                      <w:szCs w:val="21"/>
                      <w:highlight w:val="none"/>
                    </w:rPr>
                    <w:t>数控倒角机</w:t>
                  </w:r>
                </w:p>
              </w:tc>
              <w:tc>
                <w:tcPr>
                  <w:tcW w:w="1380" w:type="dxa"/>
                  <w:tcBorders>
                    <w:tl2br w:val="nil"/>
                    <w:tr2bl w:val="nil"/>
                  </w:tcBorders>
                  <w:vAlign w:val="center"/>
                </w:tcPr>
                <w:p w14:paraId="1E8E6DD4">
                  <w:pPr>
                    <w:spacing w:line="340" w:lineRule="exact"/>
                    <w:ind w:firstLine="0" w:firstLineChars="0"/>
                    <w:jc w:val="center"/>
                    <w:rPr>
                      <w:bCs/>
                      <w:sz w:val="21"/>
                      <w:szCs w:val="21"/>
                      <w:highlight w:val="none"/>
                    </w:rPr>
                  </w:pPr>
                  <w:r>
                    <w:rPr>
                      <w:rFonts w:hint="eastAsia"/>
                      <w:bCs/>
                      <w:sz w:val="21"/>
                      <w:szCs w:val="21"/>
                      <w:highlight w:val="none"/>
                    </w:rPr>
                    <w:t>YH9332F</w:t>
                  </w:r>
                </w:p>
              </w:tc>
              <w:tc>
                <w:tcPr>
                  <w:tcW w:w="570" w:type="dxa"/>
                  <w:tcBorders>
                    <w:tl2br w:val="nil"/>
                    <w:tr2bl w:val="nil"/>
                  </w:tcBorders>
                  <w:vAlign w:val="center"/>
                </w:tcPr>
                <w:p w14:paraId="6C766A64">
                  <w:pPr>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47CD186C">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5BBE66E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6.4KW</w:t>
                  </w:r>
                </w:p>
              </w:tc>
              <w:tc>
                <w:tcPr>
                  <w:tcW w:w="825" w:type="dxa"/>
                  <w:vMerge w:val="continue"/>
                  <w:tcBorders>
                    <w:tl2br w:val="nil"/>
                    <w:tr2bl w:val="nil"/>
                  </w:tcBorders>
                  <w:vAlign w:val="center"/>
                </w:tcPr>
                <w:p w14:paraId="1C53B828">
                  <w:pPr>
                    <w:spacing w:line="340" w:lineRule="exact"/>
                    <w:ind w:firstLine="420"/>
                    <w:jc w:val="center"/>
                    <w:rPr>
                      <w:bCs/>
                      <w:sz w:val="21"/>
                      <w:szCs w:val="21"/>
                      <w:highlight w:val="none"/>
                    </w:rPr>
                  </w:pPr>
                </w:p>
              </w:tc>
              <w:tc>
                <w:tcPr>
                  <w:tcW w:w="884" w:type="dxa"/>
                  <w:tcBorders>
                    <w:tl2br w:val="nil"/>
                    <w:tr2bl w:val="nil"/>
                  </w:tcBorders>
                  <w:vAlign w:val="center"/>
                </w:tcPr>
                <w:p w14:paraId="5386102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25E47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D87EC4F">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5EAE2514">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42343ADC">
                  <w:pPr>
                    <w:widowControl/>
                    <w:spacing w:line="340" w:lineRule="exact"/>
                    <w:ind w:firstLine="0" w:firstLineChars="0"/>
                    <w:jc w:val="center"/>
                    <w:rPr>
                      <w:bCs/>
                      <w:sz w:val="21"/>
                      <w:szCs w:val="21"/>
                      <w:highlight w:val="none"/>
                    </w:rPr>
                  </w:pPr>
                  <w:r>
                    <w:rPr>
                      <w:rFonts w:hint="eastAsia"/>
                      <w:bCs/>
                      <w:sz w:val="21"/>
                      <w:szCs w:val="21"/>
                      <w:highlight w:val="none"/>
                    </w:rPr>
                    <w:t>电火花线切割</w:t>
                  </w:r>
                </w:p>
              </w:tc>
              <w:tc>
                <w:tcPr>
                  <w:tcW w:w="1380" w:type="dxa"/>
                  <w:tcBorders>
                    <w:tl2br w:val="nil"/>
                    <w:tr2bl w:val="nil"/>
                  </w:tcBorders>
                  <w:vAlign w:val="center"/>
                </w:tcPr>
                <w:p w14:paraId="4D38B675">
                  <w:pPr>
                    <w:spacing w:line="340" w:lineRule="exact"/>
                    <w:ind w:firstLine="0" w:firstLineChars="0"/>
                    <w:jc w:val="center"/>
                    <w:rPr>
                      <w:bCs/>
                      <w:sz w:val="21"/>
                      <w:szCs w:val="21"/>
                      <w:highlight w:val="none"/>
                    </w:rPr>
                  </w:pPr>
                  <w:r>
                    <w:rPr>
                      <w:rFonts w:hint="eastAsia"/>
                      <w:bCs/>
                      <w:sz w:val="21"/>
                      <w:szCs w:val="21"/>
                      <w:highlight w:val="none"/>
                    </w:rPr>
                    <w:t>DK350</w:t>
                  </w:r>
                </w:p>
              </w:tc>
              <w:tc>
                <w:tcPr>
                  <w:tcW w:w="570" w:type="dxa"/>
                  <w:tcBorders>
                    <w:tl2br w:val="nil"/>
                    <w:tr2bl w:val="nil"/>
                  </w:tcBorders>
                  <w:vAlign w:val="center"/>
                </w:tcPr>
                <w:p w14:paraId="64590E47">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56C8636E">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4069E2F8">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4KW</w:t>
                  </w:r>
                </w:p>
              </w:tc>
              <w:tc>
                <w:tcPr>
                  <w:tcW w:w="825" w:type="dxa"/>
                  <w:vMerge w:val="continue"/>
                  <w:tcBorders>
                    <w:tl2br w:val="nil"/>
                    <w:tr2bl w:val="nil"/>
                  </w:tcBorders>
                  <w:vAlign w:val="center"/>
                </w:tcPr>
                <w:p w14:paraId="453A8D05">
                  <w:pPr>
                    <w:spacing w:line="340" w:lineRule="exact"/>
                    <w:ind w:firstLine="420"/>
                    <w:jc w:val="center"/>
                    <w:rPr>
                      <w:bCs/>
                      <w:sz w:val="21"/>
                      <w:szCs w:val="21"/>
                      <w:highlight w:val="none"/>
                    </w:rPr>
                  </w:pPr>
                </w:p>
              </w:tc>
              <w:tc>
                <w:tcPr>
                  <w:tcW w:w="884" w:type="dxa"/>
                  <w:tcBorders>
                    <w:tl2br w:val="nil"/>
                    <w:tr2bl w:val="nil"/>
                  </w:tcBorders>
                  <w:vAlign w:val="center"/>
                </w:tcPr>
                <w:p w14:paraId="2303DC9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6B38F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27BFEF3">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207D83AD">
                  <w:pPr>
                    <w:widowControl/>
                    <w:spacing w:line="340" w:lineRule="exact"/>
                    <w:ind w:firstLine="0" w:firstLineChars="0"/>
                    <w:jc w:val="center"/>
                    <w:rPr>
                      <w:bCs/>
                      <w:sz w:val="21"/>
                      <w:szCs w:val="21"/>
                      <w:highlight w:val="none"/>
                    </w:rPr>
                  </w:pPr>
                  <w:r>
                    <w:rPr>
                      <w:rFonts w:hint="eastAsia"/>
                      <w:bCs/>
                      <w:sz w:val="21"/>
                      <w:szCs w:val="21"/>
                      <w:highlight w:val="none"/>
                    </w:rPr>
                    <w:t>热处理</w:t>
                  </w:r>
                </w:p>
              </w:tc>
              <w:tc>
                <w:tcPr>
                  <w:tcW w:w="1516" w:type="dxa"/>
                  <w:tcBorders>
                    <w:tl2br w:val="nil"/>
                    <w:tr2bl w:val="nil"/>
                  </w:tcBorders>
                  <w:vAlign w:val="center"/>
                </w:tcPr>
                <w:p w14:paraId="36A8CE96">
                  <w:pPr>
                    <w:widowControl/>
                    <w:spacing w:line="340" w:lineRule="exact"/>
                    <w:ind w:firstLine="0" w:firstLineChars="0"/>
                    <w:jc w:val="center"/>
                    <w:rPr>
                      <w:bCs/>
                      <w:sz w:val="21"/>
                      <w:szCs w:val="21"/>
                      <w:highlight w:val="none"/>
                    </w:rPr>
                  </w:pPr>
                  <w:r>
                    <w:rPr>
                      <w:rFonts w:hint="eastAsia"/>
                      <w:bCs/>
                      <w:sz w:val="21"/>
                      <w:szCs w:val="21"/>
                      <w:highlight w:val="none"/>
                    </w:rPr>
                    <w:t>高温预热炉</w:t>
                  </w:r>
                </w:p>
              </w:tc>
              <w:tc>
                <w:tcPr>
                  <w:tcW w:w="1380" w:type="dxa"/>
                  <w:vMerge w:val="restart"/>
                  <w:tcBorders>
                    <w:tl2br w:val="nil"/>
                    <w:tr2bl w:val="nil"/>
                  </w:tcBorders>
                  <w:vAlign w:val="center"/>
                </w:tcPr>
                <w:p w14:paraId="4A83DE38">
                  <w:pPr>
                    <w:spacing w:line="340" w:lineRule="exact"/>
                    <w:ind w:firstLine="0" w:firstLineChars="0"/>
                    <w:jc w:val="center"/>
                    <w:rPr>
                      <w:bCs/>
                      <w:sz w:val="21"/>
                      <w:szCs w:val="21"/>
                      <w:highlight w:val="none"/>
                    </w:rPr>
                  </w:pPr>
                  <w:r>
                    <w:rPr>
                      <w:rFonts w:hint="eastAsia"/>
                      <w:bCs/>
                      <w:sz w:val="21"/>
                      <w:szCs w:val="21"/>
                      <w:highlight w:val="none"/>
                    </w:rPr>
                    <w:t>VKEs3-600/65/110CN</w:t>
                  </w:r>
                </w:p>
              </w:tc>
              <w:tc>
                <w:tcPr>
                  <w:tcW w:w="570" w:type="dxa"/>
                  <w:tcBorders>
                    <w:tl2br w:val="nil"/>
                    <w:tr2bl w:val="nil"/>
                  </w:tcBorders>
                  <w:vAlign w:val="center"/>
                </w:tcPr>
                <w:p w14:paraId="7DDD849F">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5920E5C1">
                  <w:pPr>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12012BA2">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420℃</w:t>
                  </w:r>
                </w:p>
              </w:tc>
              <w:tc>
                <w:tcPr>
                  <w:tcW w:w="825" w:type="dxa"/>
                  <w:vMerge w:val="continue"/>
                  <w:tcBorders>
                    <w:tl2br w:val="nil"/>
                    <w:tr2bl w:val="nil"/>
                  </w:tcBorders>
                  <w:vAlign w:val="center"/>
                </w:tcPr>
                <w:p w14:paraId="4B1348A0">
                  <w:pPr>
                    <w:spacing w:line="340" w:lineRule="exact"/>
                    <w:ind w:firstLine="420"/>
                    <w:jc w:val="center"/>
                    <w:rPr>
                      <w:bCs/>
                      <w:sz w:val="21"/>
                      <w:szCs w:val="21"/>
                      <w:highlight w:val="none"/>
                    </w:rPr>
                  </w:pPr>
                </w:p>
              </w:tc>
              <w:tc>
                <w:tcPr>
                  <w:tcW w:w="884" w:type="dxa"/>
                  <w:vMerge w:val="restart"/>
                  <w:tcBorders>
                    <w:tl2br w:val="nil"/>
                    <w:tr2bl w:val="nil"/>
                  </w:tcBorders>
                  <w:vAlign w:val="center"/>
                </w:tcPr>
                <w:p w14:paraId="4BD254E1">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最大装650KG</w:t>
                  </w:r>
                </w:p>
              </w:tc>
            </w:tr>
            <w:tr w14:paraId="03903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D0E4815">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57739E37">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0DE2BD3F">
                  <w:pPr>
                    <w:widowControl/>
                    <w:spacing w:line="340" w:lineRule="exact"/>
                    <w:ind w:firstLine="0" w:firstLineChars="0"/>
                    <w:jc w:val="center"/>
                    <w:rPr>
                      <w:bCs/>
                      <w:sz w:val="21"/>
                      <w:szCs w:val="21"/>
                      <w:highlight w:val="none"/>
                    </w:rPr>
                  </w:pPr>
                  <w:r>
                    <w:rPr>
                      <w:rFonts w:hint="eastAsia"/>
                      <w:bCs/>
                      <w:sz w:val="21"/>
                      <w:szCs w:val="21"/>
                      <w:highlight w:val="none"/>
                    </w:rPr>
                    <w:t>清洗机</w:t>
                  </w:r>
                </w:p>
              </w:tc>
              <w:tc>
                <w:tcPr>
                  <w:tcW w:w="1380" w:type="dxa"/>
                  <w:vMerge w:val="continue"/>
                  <w:tcBorders>
                    <w:tl2br w:val="nil"/>
                    <w:tr2bl w:val="nil"/>
                  </w:tcBorders>
                  <w:vAlign w:val="center"/>
                </w:tcPr>
                <w:p w14:paraId="0A342445">
                  <w:pPr>
                    <w:spacing w:line="340" w:lineRule="exact"/>
                    <w:ind w:firstLine="0" w:firstLineChars="0"/>
                    <w:jc w:val="center"/>
                    <w:rPr>
                      <w:bCs/>
                      <w:sz w:val="21"/>
                      <w:szCs w:val="21"/>
                      <w:highlight w:val="none"/>
                    </w:rPr>
                  </w:pPr>
                </w:p>
              </w:tc>
              <w:tc>
                <w:tcPr>
                  <w:tcW w:w="570" w:type="dxa"/>
                  <w:tcBorders>
                    <w:tl2br w:val="nil"/>
                    <w:tr2bl w:val="nil"/>
                  </w:tcBorders>
                  <w:vAlign w:val="center"/>
                </w:tcPr>
                <w:p w14:paraId="77AD41AC">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4D821A3B">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1DBE23C8">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0.6m³</w:t>
                  </w:r>
                </w:p>
              </w:tc>
              <w:tc>
                <w:tcPr>
                  <w:tcW w:w="825" w:type="dxa"/>
                  <w:vMerge w:val="continue"/>
                  <w:tcBorders>
                    <w:tl2br w:val="nil"/>
                    <w:tr2bl w:val="nil"/>
                  </w:tcBorders>
                  <w:vAlign w:val="center"/>
                </w:tcPr>
                <w:p w14:paraId="56087EDB">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67DF70B6">
                  <w:pPr>
                    <w:pStyle w:val="40"/>
                    <w:spacing w:line="340" w:lineRule="exact"/>
                    <w:ind w:firstLine="0" w:firstLineChars="0"/>
                    <w:jc w:val="center"/>
                    <w:rPr>
                      <w:rFonts w:ascii="Times New Roman" w:hAnsi="Times New Roman"/>
                      <w:bCs/>
                      <w:sz w:val="21"/>
                      <w:szCs w:val="21"/>
                      <w:highlight w:val="none"/>
                    </w:rPr>
                  </w:pPr>
                </w:p>
              </w:tc>
            </w:tr>
            <w:tr w14:paraId="5C3F4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0D5E5FC5">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37EF3E73">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23732250">
                  <w:pPr>
                    <w:widowControl/>
                    <w:spacing w:line="340" w:lineRule="exact"/>
                    <w:ind w:firstLine="0" w:firstLineChars="0"/>
                    <w:jc w:val="center"/>
                    <w:rPr>
                      <w:bCs/>
                      <w:sz w:val="21"/>
                      <w:szCs w:val="21"/>
                      <w:highlight w:val="none"/>
                    </w:rPr>
                  </w:pPr>
                  <w:r>
                    <w:rPr>
                      <w:rFonts w:hint="eastAsia"/>
                      <w:bCs/>
                      <w:sz w:val="21"/>
                      <w:szCs w:val="21"/>
                      <w:highlight w:val="none"/>
                    </w:rPr>
                    <w:t>渗碳多用炉</w:t>
                  </w:r>
                </w:p>
              </w:tc>
              <w:tc>
                <w:tcPr>
                  <w:tcW w:w="1380" w:type="dxa"/>
                  <w:vMerge w:val="continue"/>
                  <w:tcBorders>
                    <w:tl2br w:val="nil"/>
                    <w:tr2bl w:val="nil"/>
                  </w:tcBorders>
                  <w:vAlign w:val="center"/>
                </w:tcPr>
                <w:p w14:paraId="4BABF835">
                  <w:pPr>
                    <w:spacing w:line="340" w:lineRule="exact"/>
                    <w:ind w:firstLine="0" w:firstLineChars="0"/>
                    <w:jc w:val="center"/>
                    <w:rPr>
                      <w:bCs/>
                      <w:sz w:val="21"/>
                      <w:szCs w:val="21"/>
                      <w:highlight w:val="none"/>
                    </w:rPr>
                  </w:pPr>
                </w:p>
              </w:tc>
              <w:tc>
                <w:tcPr>
                  <w:tcW w:w="570" w:type="dxa"/>
                  <w:tcBorders>
                    <w:tl2br w:val="nil"/>
                    <w:tr2bl w:val="nil"/>
                  </w:tcBorders>
                  <w:vAlign w:val="center"/>
                </w:tcPr>
                <w:p w14:paraId="075DA69C">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2D3E32D5">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249B64C6">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900℃</w:t>
                  </w:r>
                </w:p>
                <w:p w14:paraId="641F4F2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/淬火槽7m³</w:t>
                  </w:r>
                </w:p>
              </w:tc>
              <w:tc>
                <w:tcPr>
                  <w:tcW w:w="825" w:type="dxa"/>
                  <w:vMerge w:val="continue"/>
                  <w:tcBorders>
                    <w:tl2br w:val="nil"/>
                    <w:tr2bl w:val="nil"/>
                  </w:tcBorders>
                  <w:vAlign w:val="center"/>
                </w:tcPr>
                <w:p w14:paraId="72EE2CBE">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4E76E9DA">
                  <w:pPr>
                    <w:pStyle w:val="40"/>
                    <w:spacing w:line="340" w:lineRule="exact"/>
                    <w:ind w:firstLine="0" w:firstLineChars="0"/>
                    <w:jc w:val="center"/>
                    <w:rPr>
                      <w:rFonts w:ascii="Times New Roman" w:hAnsi="Times New Roman"/>
                      <w:bCs/>
                      <w:sz w:val="21"/>
                      <w:szCs w:val="21"/>
                      <w:highlight w:val="none"/>
                    </w:rPr>
                  </w:pPr>
                </w:p>
              </w:tc>
            </w:tr>
            <w:tr w14:paraId="77F4C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10247FE0">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0D87F486">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2462C6DC">
                  <w:pPr>
                    <w:widowControl/>
                    <w:spacing w:line="340" w:lineRule="exact"/>
                    <w:ind w:firstLine="0" w:firstLineChars="0"/>
                    <w:jc w:val="center"/>
                    <w:rPr>
                      <w:bCs/>
                      <w:sz w:val="21"/>
                      <w:szCs w:val="21"/>
                      <w:highlight w:val="none"/>
                    </w:rPr>
                  </w:pPr>
                  <w:r>
                    <w:rPr>
                      <w:rFonts w:hint="eastAsia"/>
                      <w:bCs/>
                      <w:sz w:val="21"/>
                      <w:szCs w:val="21"/>
                      <w:highlight w:val="none"/>
                    </w:rPr>
                    <w:t>低温回火炉</w:t>
                  </w:r>
                </w:p>
              </w:tc>
              <w:tc>
                <w:tcPr>
                  <w:tcW w:w="1380" w:type="dxa"/>
                  <w:vMerge w:val="continue"/>
                  <w:tcBorders>
                    <w:tl2br w:val="nil"/>
                    <w:tr2bl w:val="nil"/>
                  </w:tcBorders>
                  <w:vAlign w:val="center"/>
                </w:tcPr>
                <w:p w14:paraId="53ADC31D">
                  <w:pPr>
                    <w:spacing w:line="340" w:lineRule="exact"/>
                    <w:ind w:firstLine="0" w:firstLineChars="0"/>
                    <w:jc w:val="center"/>
                    <w:rPr>
                      <w:bCs/>
                      <w:sz w:val="21"/>
                      <w:szCs w:val="21"/>
                      <w:highlight w:val="none"/>
                    </w:rPr>
                  </w:pPr>
                </w:p>
              </w:tc>
              <w:tc>
                <w:tcPr>
                  <w:tcW w:w="570" w:type="dxa"/>
                  <w:tcBorders>
                    <w:tl2br w:val="nil"/>
                    <w:tr2bl w:val="nil"/>
                  </w:tcBorders>
                  <w:vAlign w:val="center"/>
                </w:tcPr>
                <w:p w14:paraId="1E76176A">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1542F6DC">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0AB1F326">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170℃</w:t>
                  </w:r>
                </w:p>
              </w:tc>
              <w:tc>
                <w:tcPr>
                  <w:tcW w:w="825" w:type="dxa"/>
                  <w:vMerge w:val="continue"/>
                  <w:tcBorders>
                    <w:tl2br w:val="nil"/>
                    <w:tr2bl w:val="nil"/>
                  </w:tcBorders>
                  <w:vAlign w:val="center"/>
                </w:tcPr>
                <w:p w14:paraId="6FE6F1F8">
                  <w:pPr>
                    <w:spacing w:line="340" w:lineRule="exact"/>
                    <w:ind w:firstLine="420"/>
                    <w:jc w:val="center"/>
                    <w:rPr>
                      <w:bCs/>
                      <w:sz w:val="21"/>
                      <w:szCs w:val="21"/>
                      <w:highlight w:val="none"/>
                    </w:rPr>
                  </w:pPr>
                </w:p>
              </w:tc>
              <w:tc>
                <w:tcPr>
                  <w:tcW w:w="884" w:type="dxa"/>
                  <w:vMerge w:val="continue"/>
                  <w:tcBorders>
                    <w:tl2br w:val="nil"/>
                    <w:tr2bl w:val="nil"/>
                  </w:tcBorders>
                  <w:vAlign w:val="center"/>
                </w:tcPr>
                <w:p w14:paraId="0DDD34A9">
                  <w:pPr>
                    <w:pStyle w:val="40"/>
                    <w:spacing w:line="340" w:lineRule="exact"/>
                    <w:ind w:firstLine="0" w:firstLineChars="0"/>
                    <w:jc w:val="center"/>
                    <w:rPr>
                      <w:rFonts w:ascii="Times New Roman" w:hAnsi="Times New Roman"/>
                      <w:bCs/>
                      <w:sz w:val="21"/>
                      <w:szCs w:val="21"/>
                      <w:highlight w:val="none"/>
                    </w:rPr>
                  </w:pPr>
                </w:p>
              </w:tc>
            </w:tr>
            <w:tr w14:paraId="1197C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0CA7D42">
                  <w:pPr>
                    <w:pStyle w:val="40"/>
                    <w:numPr>
                      <w:ilvl w:val="0"/>
                      <w:numId w:val="9"/>
                    </w:numPr>
                    <w:spacing w:line="340" w:lineRule="exact"/>
                    <w:ind w:firstLineChars="0"/>
                    <w:jc w:val="center"/>
                    <w:rPr>
                      <w:rFonts w:ascii="Times New Roman" w:hAnsi="Times New Roman"/>
                      <w:bCs/>
                      <w:sz w:val="21"/>
                      <w:szCs w:val="21"/>
                      <w:highlight w:val="none"/>
                    </w:rPr>
                  </w:pPr>
                  <w:r>
                    <w:rPr>
                      <w:rFonts w:hint="eastAsia" w:ascii="Times New Roman" w:hAnsi="Times New Roman"/>
                      <w:bCs/>
                      <w:sz w:val="21"/>
                      <w:szCs w:val="21"/>
                      <w:highlight w:val="none"/>
                    </w:rPr>
                    <w:t xml:space="preserve"> </w:t>
                  </w:r>
                </w:p>
              </w:tc>
              <w:tc>
                <w:tcPr>
                  <w:tcW w:w="645" w:type="dxa"/>
                  <w:vMerge w:val="continue"/>
                  <w:tcBorders>
                    <w:tl2br w:val="nil"/>
                    <w:tr2bl w:val="nil"/>
                  </w:tcBorders>
                  <w:vAlign w:val="center"/>
                </w:tcPr>
                <w:p w14:paraId="58027FB2">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04DD0CE5">
                  <w:pPr>
                    <w:widowControl/>
                    <w:spacing w:line="340" w:lineRule="exact"/>
                    <w:ind w:firstLine="0" w:firstLineChars="0"/>
                    <w:jc w:val="center"/>
                    <w:rPr>
                      <w:bCs/>
                      <w:sz w:val="21"/>
                      <w:szCs w:val="21"/>
                      <w:highlight w:val="none"/>
                    </w:rPr>
                  </w:pPr>
                  <w:r>
                    <w:rPr>
                      <w:rFonts w:hint="eastAsia"/>
                      <w:bCs/>
                      <w:sz w:val="21"/>
                      <w:szCs w:val="21"/>
                      <w:highlight w:val="none"/>
                    </w:rPr>
                    <w:t>制氮机</w:t>
                  </w:r>
                </w:p>
              </w:tc>
              <w:tc>
                <w:tcPr>
                  <w:tcW w:w="1380" w:type="dxa"/>
                  <w:tcBorders>
                    <w:tl2br w:val="nil"/>
                    <w:tr2bl w:val="nil"/>
                  </w:tcBorders>
                  <w:vAlign w:val="center"/>
                </w:tcPr>
                <w:p w14:paraId="1622A231">
                  <w:pPr>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74C5C47D">
                  <w:pPr>
                    <w:spacing w:line="340" w:lineRule="exact"/>
                    <w:ind w:firstLine="0" w:firstLineChars="0"/>
                    <w:jc w:val="center"/>
                    <w:rPr>
                      <w:bCs/>
                      <w:sz w:val="21"/>
                      <w:szCs w:val="21"/>
                      <w:highlight w:val="none"/>
                    </w:rPr>
                  </w:pPr>
                  <w:r>
                    <w:rPr>
                      <w:rFonts w:hint="eastAsia"/>
                      <w:bCs/>
                      <w:sz w:val="21"/>
                      <w:szCs w:val="21"/>
                      <w:highlight w:val="none"/>
                    </w:rPr>
                    <w:t>1</w:t>
                  </w:r>
                </w:p>
              </w:tc>
              <w:tc>
                <w:tcPr>
                  <w:tcW w:w="614" w:type="dxa"/>
                  <w:tcBorders>
                    <w:tl2br w:val="nil"/>
                    <w:tr2bl w:val="nil"/>
                  </w:tcBorders>
                  <w:vAlign w:val="center"/>
                </w:tcPr>
                <w:p w14:paraId="06B28F51">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6B866EA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380KW</w:t>
                  </w:r>
                </w:p>
              </w:tc>
              <w:tc>
                <w:tcPr>
                  <w:tcW w:w="825" w:type="dxa"/>
                  <w:vMerge w:val="continue"/>
                  <w:tcBorders>
                    <w:tl2br w:val="nil"/>
                    <w:tr2bl w:val="nil"/>
                  </w:tcBorders>
                  <w:vAlign w:val="center"/>
                </w:tcPr>
                <w:p w14:paraId="73F8DD22">
                  <w:pPr>
                    <w:spacing w:line="340" w:lineRule="exact"/>
                    <w:ind w:firstLine="420"/>
                    <w:jc w:val="center"/>
                    <w:rPr>
                      <w:bCs/>
                      <w:sz w:val="21"/>
                      <w:szCs w:val="21"/>
                      <w:highlight w:val="none"/>
                    </w:rPr>
                  </w:pPr>
                </w:p>
              </w:tc>
              <w:tc>
                <w:tcPr>
                  <w:tcW w:w="884" w:type="dxa"/>
                  <w:tcBorders>
                    <w:tl2br w:val="nil"/>
                    <w:tr2bl w:val="nil"/>
                  </w:tcBorders>
                  <w:vAlign w:val="center"/>
                </w:tcPr>
                <w:p w14:paraId="60405AA8">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0B543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800F7B5">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3AA65D09">
                  <w:pPr>
                    <w:widowControl/>
                    <w:spacing w:line="340" w:lineRule="exact"/>
                    <w:ind w:firstLine="0" w:firstLineChars="0"/>
                    <w:jc w:val="center"/>
                    <w:rPr>
                      <w:bCs/>
                      <w:sz w:val="21"/>
                      <w:szCs w:val="21"/>
                      <w:highlight w:val="none"/>
                    </w:rPr>
                  </w:pPr>
                  <w:r>
                    <w:rPr>
                      <w:rFonts w:hint="eastAsia"/>
                      <w:bCs/>
                      <w:sz w:val="21"/>
                      <w:szCs w:val="21"/>
                      <w:highlight w:val="none"/>
                    </w:rPr>
                    <w:t>抛丸清理</w:t>
                  </w:r>
                </w:p>
              </w:tc>
              <w:tc>
                <w:tcPr>
                  <w:tcW w:w="1516" w:type="dxa"/>
                  <w:tcBorders>
                    <w:tl2br w:val="nil"/>
                    <w:tr2bl w:val="nil"/>
                  </w:tcBorders>
                  <w:vAlign w:val="center"/>
                </w:tcPr>
                <w:p w14:paraId="0939D250">
                  <w:pPr>
                    <w:widowControl/>
                    <w:spacing w:line="340" w:lineRule="exact"/>
                    <w:ind w:firstLine="0" w:firstLineChars="0"/>
                    <w:jc w:val="center"/>
                    <w:rPr>
                      <w:bCs/>
                      <w:sz w:val="21"/>
                      <w:szCs w:val="21"/>
                      <w:highlight w:val="none"/>
                    </w:rPr>
                  </w:pPr>
                  <w:r>
                    <w:rPr>
                      <w:rFonts w:hint="eastAsia"/>
                      <w:bCs/>
                      <w:sz w:val="21"/>
                      <w:szCs w:val="21"/>
                      <w:highlight w:val="none"/>
                    </w:rPr>
                    <w:t>抛丸机</w:t>
                  </w:r>
                </w:p>
              </w:tc>
              <w:tc>
                <w:tcPr>
                  <w:tcW w:w="1380" w:type="dxa"/>
                  <w:tcBorders>
                    <w:tl2br w:val="nil"/>
                    <w:tr2bl w:val="nil"/>
                  </w:tcBorders>
                  <w:vAlign w:val="center"/>
                </w:tcPr>
                <w:p w14:paraId="3066145E">
                  <w:pPr>
                    <w:spacing w:line="340" w:lineRule="exact"/>
                    <w:ind w:firstLine="0" w:firstLineChars="0"/>
                    <w:jc w:val="center"/>
                    <w:rPr>
                      <w:bCs/>
                      <w:sz w:val="21"/>
                      <w:szCs w:val="21"/>
                      <w:highlight w:val="none"/>
                    </w:rPr>
                  </w:pPr>
                  <w:r>
                    <w:rPr>
                      <w:rFonts w:hint="eastAsia"/>
                      <w:bCs/>
                      <w:sz w:val="21"/>
                      <w:szCs w:val="21"/>
                      <w:highlight w:val="none"/>
                    </w:rPr>
                    <w:t>Q3516</w:t>
                  </w:r>
                </w:p>
              </w:tc>
              <w:tc>
                <w:tcPr>
                  <w:tcW w:w="570" w:type="dxa"/>
                  <w:tcBorders>
                    <w:tl2br w:val="nil"/>
                    <w:tr2bl w:val="nil"/>
                  </w:tcBorders>
                  <w:vAlign w:val="center"/>
                </w:tcPr>
                <w:p w14:paraId="08DD4FE0">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0539F969">
                  <w:pPr>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60CF7E62">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8KW</w:t>
                  </w:r>
                </w:p>
              </w:tc>
              <w:tc>
                <w:tcPr>
                  <w:tcW w:w="825" w:type="dxa"/>
                  <w:vMerge w:val="continue"/>
                  <w:tcBorders>
                    <w:tl2br w:val="nil"/>
                    <w:tr2bl w:val="nil"/>
                  </w:tcBorders>
                  <w:vAlign w:val="center"/>
                </w:tcPr>
                <w:p w14:paraId="693140BD">
                  <w:pPr>
                    <w:spacing w:line="340" w:lineRule="exact"/>
                    <w:ind w:firstLine="420"/>
                    <w:jc w:val="center"/>
                    <w:rPr>
                      <w:bCs/>
                      <w:sz w:val="21"/>
                      <w:szCs w:val="21"/>
                      <w:highlight w:val="none"/>
                    </w:rPr>
                  </w:pPr>
                </w:p>
              </w:tc>
              <w:tc>
                <w:tcPr>
                  <w:tcW w:w="884" w:type="dxa"/>
                  <w:tcBorders>
                    <w:tl2br w:val="nil"/>
                    <w:tr2bl w:val="nil"/>
                  </w:tcBorders>
                  <w:vAlign w:val="center"/>
                </w:tcPr>
                <w:p w14:paraId="66C25BF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最大装500KG</w:t>
                  </w:r>
                </w:p>
              </w:tc>
            </w:tr>
            <w:tr w14:paraId="6E7AA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73F2C38C">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3BEF0D42">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1BBAA7C2">
                  <w:pPr>
                    <w:widowControl/>
                    <w:spacing w:line="340" w:lineRule="exact"/>
                    <w:ind w:firstLine="0" w:firstLineChars="0"/>
                    <w:jc w:val="center"/>
                    <w:rPr>
                      <w:bCs/>
                      <w:sz w:val="21"/>
                      <w:szCs w:val="21"/>
                      <w:highlight w:val="none"/>
                    </w:rPr>
                  </w:pPr>
                  <w:r>
                    <w:rPr>
                      <w:rFonts w:hint="eastAsia"/>
                      <w:bCs/>
                      <w:sz w:val="21"/>
                      <w:szCs w:val="21"/>
                      <w:highlight w:val="none"/>
                    </w:rPr>
                    <w:t>清洗机</w:t>
                  </w:r>
                </w:p>
              </w:tc>
              <w:tc>
                <w:tcPr>
                  <w:tcW w:w="1380" w:type="dxa"/>
                  <w:tcBorders>
                    <w:tl2br w:val="nil"/>
                    <w:tr2bl w:val="nil"/>
                  </w:tcBorders>
                  <w:vAlign w:val="center"/>
                </w:tcPr>
                <w:p w14:paraId="1C1137F6">
                  <w:pPr>
                    <w:spacing w:line="340" w:lineRule="exact"/>
                    <w:ind w:firstLine="0" w:firstLineChars="0"/>
                    <w:jc w:val="center"/>
                    <w:rPr>
                      <w:bCs/>
                      <w:sz w:val="21"/>
                      <w:szCs w:val="21"/>
                      <w:highlight w:val="none"/>
                    </w:rPr>
                  </w:pPr>
                  <w:r>
                    <w:rPr>
                      <w:rFonts w:hint="eastAsia"/>
                      <w:bCs/>
                      <w:sz w:val="21"/>
                      <w:szCs w:val="21"/>
                      <w:highlight w:val="none"/>
                    </w:rPr>
                    <w:t>TW28-PFHF</w:t>
                  </w:r>
                </w:p>
              </w:tc>
              <w:tc>
                <w:tcPr>
                  <w:tcW w:w="570" w:type="dxa"/>
                  <w:tcBorders>
                    <w:tl2br w:val="nil"/>
                    <w:tr2bl w:val="nil"/>
                  </w:tcBorders>
                  <w:vAlign w:val="center"/>
                </w:tcPr>
                <w:p w14:paraId="02B99A2E">
                  <w:pPr>
                    <w:spacing w:line="340" w:lineRule="exact"/>
                    <w:ind w:firstLine="0" w:firstLineChars="0"/>
                    <w:jc w:val="center"/>
                    <w:rPr>
                      <w:bCs/>
                      <w:sz w:val="21"/>
                      <w:szCs w:val="21"/>
                      <w:highlight w:val="none"/>
                    </w:rPr>
                  </w:pPr>
                  <w:r>
                    <w:rPr>
                      <w:rFonts w:hint="eastAsia"/>
                      <w:bCs/>
                      <w:sz w:val="21"/>
                      <w:szCs w:val="21"/>
                      <w:highlight w:val="none"/>
                    </w:rPr>
                    <w:t>3</w:t>
                  </w:r>
                </w:p>
              </w:tc>
              <w:tc>
                <w:tcPr>
                  <w:tcW w:w="614" w:type="dxa"/>
                  <w:tcBorders>
                    <w:tl2br w:val="nil"/>
                    <w:tr2bl w:val="nil"/>
                  </w:tcBorders>
                  <w:vAlign w:val="center"/>
                </w:tcPr>
                <w:p w14:paraId="7E326248">
                  <w:pPr>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5B406F5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20KW</w:t>
                  </w:r>
                </w:p>
              </w:tc>
              <w:tc>
                <w:tcPr>
                  <w:tcW w:w="825" w:type="dxa"/>
                  <w:vMerge w:val="continue"/>
                  <w:tcBorders>
                    <w:tl2br w:val="nil"/>
                    <w:tr2bl w:val="nil"/>
                  </w:tcBorders>
                  <w:vAlign w:val="center"/>
                </w:tcPr>
                <w:p w14:paraId="1C7C34A1">
                  <w:pPr>
                    <w:spacing w:line="340" w:lineRule="exact"/>
                    <w:ind w:firstLine="420"/>
                    <w:jc w:val="center"/>
                    <w:rPr>
                      <w:bCs/>
                      <w:sz w:val="21"/>
                      <w:szCs w:val="21"/>
                      <w:highlight w:val="none"/>
                    </w:rPr>
                  </w:pPr>
                </w:p>
              </w:tc>
              <w:tc>
                <w:tcPr>
                  <w:tcW w:w="884" w:type="dxa"/>
                  <w:tcBorders>
                    <w:tl2br w:val="nil"/>
                    <w:tr2bl w:val="nil"/>
                  </w:tcBorders>
                  <w:vAlign w:val="center"/>
                </w:tcPr>
                <w:p w14:paraId="22B2222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最大装载100台</w:t>
                  </w:r>
                </w:p>
              </w:tc>
            </w:tr>
            <w:tr w14:paraId="0054B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425B45D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076FD401">
                  <w:pPr>
                    <w:widowControl/>
                    <w:spacing w:line="340" w:lineRule="exact"/>
                    <w:ind w:firstLine="0" w:firstLineChars="0"/>
                    <w:jc w:val="center"/>
                    <w:rPr>
                      <w:bCs/>
                      <w:sz w:val="21"/>
                      <w:szCs w:val="21"/>
                      <w:highlight w:val="none"/>
                    </w:rPr>
                  </w:pPr>
                  <w:r>
                    <w:rPr>
                      <w:rFonts w:hint="eastAsia"/>
                      <w:bCs/>
                      <w:sz w:val="21"/>
                      <w:szCs w:val="21"/>
                      <w:highlight w:val="none"/>
                    </w:rPr>
                    <w:t>热后车磨</w:t>
                  </w:r>
                </w:p>
              </w:tc>
              <w:tc>
                <w:tcPr>
                  <w:tcW w:w="1516" w:type="dxa"/>
                  <w:tcBorders>
                    <w:tl2br w:val="nil"/>
                    <w:tr2bl w:val="nil"/>
                  </w:tcBorders>
                  <w:vAlign w:val="center"/>
                </w:tcPr>
                <w:p w14:paraId="60871F01">
                  <w:pPr>
                    <w:widowControl/>
                    <w:spacing w:line="340" w:lineRule="exact"/>
                    <w:ind w:firstLine="0" w:firstLineChars="0"/>
                    <w:jc w:val="center"/>
                    <w:rPr>
                      <w:bCs/>
                      <w:sz w:val="21"/>
                      <w:szCs w:val="21"/>
                      <w:highlight w:val="none"/>
                    </w:rPr>
                  </w:pPr>
                  <w:r>
                    <w:rPr>
                      <w:rFonts w:hint="eastAsia"/>
                      <w:bCs/>
                      <w:sz w:val="21"/>
                      <w:szCs w:val="21"/>
                      <w:highlight w:val="none"/>
                    </w:rPr>
                    <w:t>外圆磨床</w:t>
                  </w:r>
                </w:p>
              </w:tc>
              <w:tc>
                <w:tcPr>
                  <w:tcW w:w="1380" w:type="dxa"/>
                  <w:tcBorders>
                    <w:tl2br w:val="nil"/>
                    <w:tr2bl w:val="nil"/>
                  </w:tcBorders>
                  <w:vAlign w:val="center"/>
                </w:tcPr>
                <w:p w14:paraId="56B20114">
                  <w:pPr>
                    <w:spacing w:line="340" w:lineRule="exact"/>
                    <w:ind w:firstLine="0" w:firstLineChars="0"/>
                    <w:jc w:val="center"/>
                    <w:rPr>
                      <w:bCs/>
                      <w:sz w:val="21"/>
                      <w:szCs w:val="21"/>
                      <w:highlight w:val="none"/>
                    </w:rPr>
                  </w:pPr>
                  <w:r>
                    <w:rPr>
                      <w:rFonts w:hint="eastAsia"/>
                      <w:bCs/>
                      <w:sz w:val="21"/>
                      <w:szCs w:val="21"/>
                      <w:highlight w:val="none"/>
                    </w:rPr>
                    <w:t>MGB1320E</w:t>
                  </w:r>
                </w:p>
              </w:tc>
              <w:tc>
                <w:tcPr>
                  <w:tcW w:w="570" w:type="dxa"/>
                  <w:tcBorders>
                    <w:tl2br w:val="nil"/>
                    <w:tr2bl w:val="nil"/>
                  </w:tcBorders>
                  <w:vAlign w:val="center"/>
                </w:tcPr>
                <w:p w14:paraId="779F9667">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73EAA92F">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4631A928">
                  <w:pPr>
                    <w:pStyle w:val="40"/>
                    <w:spacing w:line="340" w:lineRule="exact"/>
                    <w:ind w:firstLine="0" w:firstLineChars="0"/>
                    <w:jc w:val="center"/>
                    <w:rPr>
                      <w:rFonts w:ascii="Times New Roman" w:hAnsi="Times New Roman"/>
                      <w:b/>
                      <w:bCs/>
                      <w:sz w:val="21"/>
                      <w:szCs w:val="21"/>
                      <w:highlight w:val="none"/>
                    </w:rPr>
                  </w:pPr>
                  <w:r>
                    <w:rPr>
                      <w:rFonts w:hint="eastAsia" w:ascii="Times New Roman" w:hAnsi="Times New Roman"/>
                      <w:bCs/>
                      <w:sz w:val="21"/>
                      <w:szCs w:val="21"/>
                      <w:highlight w:val="none"/>
                    </w:rPr>
                    <w:t>20KW</w:t>
                  </w:r>
                </w:p>
              </w:tc>
              <w:tc>
                <w:tcPr>
                  <w:tcW w:w="825" w:type="dxa"/>
                  <w:vMerge w:val="continue"/>
                  <w:tcBorders>
                    <w:tl2br w:val="nil"/>
                    <w:tr2bl w:val="nil"/>
                  </w:tcBorders>
                  <w:vAlign w:val="center"/>
                </w:tcPr>
                <w:p w14:paraId="540679C4">
                  <w:pPr>
                    <w:spacing w:line="340" w:lineRule="exact"/>
                    <w:ind w:firstLine="420"/>
                    <w:jc w:val="center"/>
                    <w:rPr>
                      <w:bCs/>
                      <w:sz w:val="21"/>
                      <w:szCs w:val="21"/>
                      <w:highlight w:val="none"/>
                    </w:rPr>
                  </w:pPr>
                </w:p>
              </w:tc>
              <w:tc>
                <w:tcPr>
                  <w:tcW w:w="884" w:type="dxa"/>
                  <w:tcBorders>
                    <w:tl2br w:val="nil"/>
                    <w:tr2bl w:val="nil"/>
                  </w:tcBorders>
                  <w:vAlign w:val="center"/>
                </w:tcPr>
                <w:p w14:paraId="589A4B4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336CE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31B64AFC">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3CCB341B">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4915A8E9">
                  <w:pPr>
                    <w:widowControl/>
                    <w:spacing w:line="340" w:lineRule="exact"/>
                    <w:ind w:firstLine="0" w:firstLineChars="0"/>
                    <w:jc w:val="center"/>
                    <w:rPr>
                      <w:bCs/>
                      <w:sz w:val="21"/>
                      <w:szCs w:val="21"/>
                      <w:highlight w:val="none"/>
                    </w:rPr>
                  </w:pPr>
                  <w:r>
                    <w:rPr>
                      <w:rFonts w:hint="eastAsia"/>
                      <w:bCs/>
                      <w:sz w:val="21"/>
                      <w:szCs w:val="21"/>
                      <w:highlight w:val="none"/>
                    </w:rPr>
                    <w:t>平面磨床</w:t>
                  </w:r>
                </w:p>
              </w:tc>
              <w:tc>
                <w:tcPr>
                  <w:tcW w:w="1380" w:type="dxa"/>
                  <w:tcBorders>
                    <w:tl2br w:val="nil"/>
                    <w:tr2bl w:val="nil"/>
                  </w:tcBorders>
                  <w:vAlign w:val="center"/>
                </w:tcPr>
                <w:p w14:paraId="6C5E271C">
                  <w:pPr>
                    <w:spacing w:line="340" w:lineRule="exact"/>
                    <w:ind w:firstLine="0" w:firstLineChars="0"/>
                    <w:jc w:val="center"/>
                    <w:rPr>
                      <w:bCs/>
                      <w:sz w:val="21"/>
                      <w:szCs w:val="21"/>
                      <w:highlight w:val="none"/>
                    </w:rPr>
                  </w:pPr>
                  <w:r>
                    <w:rPr>
                      <w:rFonts w:hint="eastAsia"/>
                      <w:bCs/>
                      <w:sz w:val="21"/>
                      <w:szCs w:val="21"/>
                      <w:highlight w:val="none"/>
                    </w:rPr>
                    <w:t>MY7130C</w:t>
                  </w:r>
                </w:p>
              </w:tc>
              <w:tc>
                <w:tcPr>
                  <w:tcW w:w="570" w:type="dxa"/>
                  <w:tcBorders>
                    <w:tl2br w:val="nil"/>
                    <w:tr2bl w:val="nil"/>
                  </w:tcBorders>
                  <w:vAlign w:val="center"/>
                </w:tcPr>
                <w:p w14:paraId="62FB4B33">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65DCE152">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7837D58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20KW</w:t>
                  </w:r>
                </w:p>
              </w:tc>
              <w:tc>
                <w:tcPr>
                  <w:tcW w:w="825" w:type="dxa"/>
                  <w:vMerge w:val="continue"/>
                  <w:tcBorders>
                    <w:tl2br w:val="nil"/>
                    <w:tr2bl w:val="nil"/>
                  </w:tcBorders>
                  <w:vAlign w:val="center"/>
                </w:tcPr>
                <w:p w14:paraId="540DE000">
                  <w:pPr>
                    <w:spacing w:line="340" w:lineRule="exact"/>
                    <w:ind w:firstLine="420"/>
                    <w:jc w:val="center"/>
                    <w:rPr>
                      <w:bCs/>
                      <w:sz w:val="21"/>
                      <w:szCs w:val="21"/>
                      <w:highlight w:val="none"/>
                    </w:rPr>
                  </w:pPr>
                </w:p>
              </w:tc>
              <w:tc>
                <w:tcPr>
                  <w:tcW w:w="884" w:type="dxa"/>
                  <w:tcBorders>
                    <w:tl2br w:val="nil"/>
                    <w:tr2bl w:val="nil"/>
                  </w:tcBorders>
                  <w:vAlign w:val="center"/>
                </w:tcPr>
                <w:p w14:paraId="415FCF19">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44B6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4B95C38B">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6EDAB170">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069EF797">
                  <w:pPr>
                    <w:widowControl/>
                    <w:spacing w:line="340" w:lineRule="exact"/>
                    <w:ind w:firstLine="0" w:firstLineChars="0"/>
                    <w:jc w:val="center"/>
                    <w:rPr>
                      <w:bCs/>
                      <w:sz w:val="21"/>
                      <w:szCs w:val="21"/>
                      <w:highlight w:val="none"/>
                    </w:rPr>
                  </w:pPr>
                  <w:r>
                    <w:rPr>
                      <w:rFonts w:hint="eastAsia"/>
                      <w:bCs/>
                      <w:sz w:val="21"/>
                      <w:szCs w:val="21"/>
                      <w:highlight w:val="none"/>
                    </w:rPr>
                    <w:t>数控内圆磨床</w:t>
                  </w:r>
                </w:p>
              </w:tc>
              <w:tc>
                <w:tcPr>
                  <w:tcW w:w="1380" w:type="dxa"/>
                  <w:tcBorders>
                    <w:tl2br w:val="nil"/>
                    <w:tr2bl w:val="nil"/>
                  </w:tcBorders>
                  <w:vAlign w:val="center"/>
                </w:tcPr>
                <w:p w14:paraId="2DF5C4C3">
                  <w:pPr>
                    <w:spacing w:line="340" w:lineRule="exact"/>
                    <w:ind w:firstLine="0" w:firstLineChars="0"/>
                    <w:jc w:val="center"/>
                    <w:rPr>
                      <w:bCs/>
                      <w:sz w:val="21"/>
                      <w:szCs w:val="21"/>
                      <w:highlight w:val="none"/>
                    </w:rPr>
                  </w:pPr>
                  <w:r>
                    <w:rPr>
                      <w:rFonts w:hint="eastAsia"/>
                      <w:bCs/>
                      <w:sz w:val="21"/>
                      <w:szCs w:val="21"/>
                      <w:highlight w:val="none"/>
                    </w:rPr>
                    <w:t>M2110C</w:t>
                  </w:r>
                </w:p>
              </w:tc>
              <w:tc>
                <w:tcPr>
                  <w:tcW w:w="570" w:type="dxa"/>
                  <w:tcBorders>
                    <w:tl2br w:val="nil"/>
                    <w:tr2bl w:val="nil"/>
                  </w:tcBorders>
                  <w:vAlign w:val="center"/>
                </w:tcPr>
                <w:p w14:paraId="10A205D1">
                  <w:pPr>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242DBE2D">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24029DA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22KW</w:t>
                  </w:r>
                </w:p>
              </w:tc>
              <w:tc>
                <w:tcPr>
                  <w:tcW w:w="825" w:type="dxa"/>
                  <w:tcBorders>
                    <w:tl2br w:val="nil"/>
                    <w:tr2bl w:val="nil"/>
                  </w:tcBorders>
                  <w:vAlign w:val="center"/>
                </w:tcPr>
                <w:p w14:paraId="72AA5571">
                  <w:pPr>
                    <w:spacing w:line="340" w:lineRule="exact"/>
                    <w:ind w:firstLine="0" w:firstLineChars="0"/>
                    <w:jc w:val="center"/>
                    <w:rPr>
                      <w:bCs/>
                      <w:sz w:val="21"/>
                      <w:szCs w:val="21"/>
                      <w:highlight w:val="none"/>
                    </w:rPr>
                  </w:pPr>
                </w:p>
              </w:tc>
              <w:tc>
                <w:tcPr>
                  <w:tcW w:w="884" w:type="dxa"/>
                  <w:tcBorders>
                    <w:tl2br w:val="nil"/>
                    <w:tr2bl w:val="nil"/>
                  </w:tcBorders>
                  <w:vAlign w:val="center"/>
                </w:tcPr>
                <w:p w14:paraId="395C5D5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7B749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B2340D7">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tcBorders>
                    <w:tl2br w:val="nil"/>
                    <w:tr2bl w:val="nil"/>
                  </w:tcBorders>
                  <w:vAlign w:val="center"/>
                </w:tcPr>
                <w:p w14:paraId="1CC8349D">
                  <w:pPr>
                    <w:widowControl/>
                    <w:spacing w:line="340" w:lineRule="exact"/>
                    <w:ind w:firstLine="0" w:firstLineChars="0"/>
                    <w:jc w:val="center"/>
                    <w:rPr>
                      <w:bCs/>
                      <w:sz w:val="21"/>
                      <w:szCs w:val="21"/>
                      <w:highlight w:val="none"/>
                    </w:rPr>
                  </w:pPr>
                  <w:r>
                    <w:rPr>
                      <w:rFonts w:hint="eastAsia"/>
                      <w:bCs/>
                      <w:sz w:val="21"/>
                      <w:szCs w:val="21"/>
                      <w:highlight w:val="none"/>
                    </w:rPr>
                    <w:t>组装</w:t>
                  </w:r>
                </w:p>
              </w:tc>
              <w:tc>
                <w:tcPr>
                  <w:tcW w:w="1516" w:type="dxa"/>
                  <w:tcBorders>
                    <w:tl2br w:val="nil"/>
                    <w:tr2bl w:val="nil"/>
                  </w:tcBorders>
                  <w:vAlign w:val="center"/>
                </w:tcPr>
                <w:p w14:paraId="740A3AD0">
                  <w:pPr>
                    <w:widowControl/>
                    <w:spacing w:line="340" w:lineRule="exact"/>
                    <w:ind w:firstLine="0" w:firstLineChars="0"/>
                    <w:jc w:val="center"/>
                    <w:rPr>
                      <w:bCs/>
                      <w:sz w:val="21"/>
                      <w:szCs w:val="21"/>
                      <w:highlight w:val="none"/>
                    </w:rPr>
                  </w:pPr>
                  <w:r>
                    <w:rPr>
                      <w:rFonts w:hint="eastAsia"/>
                      <w:bCs/>
                      <w:sz w:val="21"/>
                      <w:szCs w:val="21"/>
                      <w:highlight w:val="none"/>
                    </w:rPr>
                    <w:t>组装线</w:t>
                  </w:r>
                </w:p>
              </w:tc>
              <w:tc>
                <w:tcPr>
                  <w:tcW w:w="1380" w:type="dxa"/>
                  <w:tcBorders>
                    <w:tl2br w:val="nil"/>
                    <w:tr2bl w:val="nil"/>
                  </w:tcBorders>
                  <w:vAlign w:val="center"/>
                </w:tcPr>
                <w:p w14:paraId="15043086">
                  <w:pPr>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5CE3614B">
                  <w:pPr>
                    <w:spacing w:line="340" w:lineRule="exact"/>
                    <w:ind w:firstLine="0" w:firstLineChars="0"/>
                    <w:jc w:val="center"/>
                    <w:rPr>
                      <w:bCs/>
                      <w:sz w:val="21"/>
                      <w:szCs w:val="21"/>
                      <w:highlight w:val="none"/>
                    </w:rPr>
                  </w:pPr>
                  <w:r>
                    <w:rPr>
                      <w:rFonts w:hint="eastAsia"/>
                      <w:bCs/>
                      <w:sz w:val="21"/>
                      <w:szCs w:val="21"/>
                      <w:highlight w:val="none"/>
                    </w:rPr>
                    <w:t>5</w:t>
                  </w:r>
                </w:p>
              </w:tc>
              <w:tc>
                <w:tcPr>
                  <w:tcW w:w="614" w:type="dxa"/>
                  <w:tcBorders>
                    <w:tl2br w:val="nil"/>
                    <w:tr2bl w:val="nil"/>
                  </w:tcBorders>
                  <w:vAlign w:val="center"/>
                </w:tcPr>
                <w:p w14:paraId="6976AD22">
                  <w:pPr>
                    <w:spacing w:line="340" w:lineRule="exact"/>
                    <w:ind w:firstLine="0" w:firstLineChars="0"/>
                    <w:jc w:val="center"/>
                    <w:rPr>
                      <w:bCs/>
                      <w:sz w:val="21"/>
                      <w:szCs w:val="21"/>
                      <w:highlight w:val="none"/>
                    </w:rPr>
                  </w:pPr>
                  <w:r>
                    <w:rPr>
                      <w:bCs/>
                      <w:sz w:val="21"/>
                      <w:szCs w:val="21"/>
                      <w:highlight w:val="none"/>
                    </w:rPr>
                    <w:t>条</w:t>
                  </w:r>
                </w:p>
              </w:tc>
              <w:tc>
                <w:tcPr>
                  <w:tcW w:w="1080" w:type="dxa"/>
                  <w:tcBorders>
                    <w:tl2br w:val="nil"/>
                    <w:tr2bl w:val="nil"/>
                  </w:tcBorders>
                  <w:vAlign w:val="center"/>
                </w:tcPr>
                <w:p w14:paraId="24AF6AE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2KW</w:t>
                  </w:r>
                </w:p>
              </w:tc>
              <w:tc>
                <w:tcPr>
                  <w:tcW w:w="825" w:type="dxa"/>
                  <w:tcBorders>
                    <w:tl2br w:val="nil"/>
                    <w:tr2bl w:val="nil"/>
                  </w:tcBorders>
                  <w:vAlign w:val="center"/>
                </w:tcPr>
                <w:p w14:paraId="6970C927">
                  <w:pPr>
                    <w:spacing w:line="340" w:lineRule="exact"/>
                    <w:ind w:firstLine="0" w:firstLineChars="0"/>
                    <w:jc w:val="center"/>
                    <w:rPr>
                      <w:bCs/>
                      <w:sz w:val="21"/>
                      <w:szCs w:val="21"/>
                      <w:highlight w:val="none"/>
                    </w:rPr>
                  </w:pPr>
                  <w:r>
                    <w:rPr>
                      <w:rFonts w:hint="eastAsia"/>
                      <w:bCs/>
                      <w:sz w:val="21"/>
                      <w:szCs w:val="21"/>
                      <w:highlight w:val="none"/>
                    </w:rPr>
                    <w:t>2#厂房一层</w:t>
                  </w:r>
                </w:p>
              </w:tc>
              <w:tc>
                <w:tcPr>
                  <w:tcW w:w="884" w:type="dxa"/>
                  <w:tcBorders>
                    <w:tl2br w:val="nil"/>
                    <w:tr2bl w:val="nil"/>
                  </w:tcBorders>
                  <w:vAlign w:val="center"/>
                </w:tcPr>
                <w:p w14:paraId="2BBF4824">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36FEB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441E1726">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40F4F292">
                  <w:pPr>
                    <w:widowControl/>
                    <w:spacing w:line="340" w:lineRule="exact"/>
                    <w:ind w:firstLine="0" w:firstLineChars="0"/>
                    <w:jc w:val="center"/>
                    <w:rPr>
                      <w:bCs/>
                      <w:sz w:val="21"/>
                      <w:szCs w:val="21"/>
                      <w:highlight w:val="none"/>
                    </w:rPr>
                  </w:pPr>
                  <w:r>
                    <w:rPr>
                      <w:rFonts w:hint="eastAsia"/>
                      <w:bCs/>
                      <w:sz w:val="21"/>
                      <w:szCs w:val="21"/>
                      <w:highlight w:val="none"/>
                    </w:rPr>
                    <w:t>检验</w:t>
                  </w:r>
                </w:p>
              </w:tc>
              <w:tc>
                <w:tcPr>
                  <w:tcW w:w="1516" w:type="dxa"/>
                  <w:tcBorders>
                    <w:tl2br w:val="nil"/>
                    <w:tr2bl w:val="nil"/>
                  </w:tcBorders>
                  <w:vAlign w:val="center"/>
                </w:tcPr>
                <w:p w14:paraId="52B3B3C3">
                  <w:pPr>
                    <w:widowControl/>
                    <w:spacing w:line="340" w:lineRule="exact"/>
                    <w:ind w:firstLine="0" w:firstLineChars="0"/>
                    <w:jc w:val="center"/>
                    <w:rPr>
                      <w:bCs/>
                      <w:sz w:val="21"/>
                      <w:szCs w:val="21"/>
                      <w:highlight w:val="none"/>
                    </w:rPr>
                  </w:pPr>
                  <w:r>
                    <w:rPr>
                      <w:rFonts w:hint="eastAsia"/>
                      <w:bCs/>
                      <w:sz w:val="21"/>
                      <w:szCs w:val="21"/>
                      <w:highlight w:val="none"/>
                    </w:rPr>
                    <w:t>差速器检验器</w:t>
                  </w:r>
                </w:p>
              </w:tc>
              <w:tc>
                <w:tcPr>
                  <w:tcW w:w="1380" w:type="dxa"/>
                  <w:tcBorders>
                    <w:tl2br w:val="nil"/>
                    <w:tr2bl w:val="nil"/>
                  </w:tcBorders>
                  <w:vAlign w:val="center"/>
                </w:tcPr>
                <w:p w14:paraId="7080742E">
                  <w:pPr>
                    <w:widowControl/>
                    <w:spacing w:line="340" w:lineRule="exact"/>
                    <w:ind w:firstLine="0" w:firstLineChars="0"/>
                    <w:jc w:val="center"/>
                    <w:rPr>
                      <w:bCs/>
                      <w:sz w:val="21"/>
                      <w:szCs w:val="21"/>
                      <w:highlight w:val="none"/>
                    </w:rPr>
                  </w:pPr>
                  <w:r>
                    <w:rPr>
                      <w:rFonts w:hint="eastAsia"/>
                      <w:bCs/>
                      <w:sz w:val="21"/>
                      <w:szCs w:val="21"/>
                      <w:highlight w:val="none"/>
                    </w:rPr>
                    <w:t>自主研发</w:t>
                  </w:r>
                </w:p>
              </w:tc>
              <w:tc>
                <w:tcPr>
                  <w:tcW w:w="570" w:type="dxa"/>
                  <w:tcBorders>
                    <w:tl2br w:val="nil"/>
                    <w:tr2bl w:val="nil"/>
                  </w:tcBorders>
                  <w:vAlign w:val="center"/>
                </w:tcPr>
                <w:p w14:paraId="5A730E0F">
                  <w:pPr>
                    <w:spacing w:line="340" w:lineRule="exact"/>
                    <w:ind w:firstLine="0" w:firstLineChars="0"/>
                    <w:jc w:val="center"/>
                    <w:rPr>
                      <w:bCs/>
                      <w:sz w:val="21"/>
                      <w:szCs w:val="21"/>
                      <w:highlight w:val="none"/>
                    </w:rPr>
                  </w:pPr>
                  <w:r>
                    <w:rPr>
                      <w:rFonts w:hint="eastAsia"/>
                      <w:bCs/>
                      <w:sz w:val="21"/>
                      <w:szCs w:val="21"/>
                      <w:highlight w:val="none"/>
                    </w:rPr>
                    <w:t>5</w:t>
                  </w:r>
                </w:p>
              </w:tc>
              <w:tc>
                <w:tcPr>
                  <w:tcW w:w="614" w:type="dxa"/>
                  <w:tcBorders>
                    <w:tl2br w:val="nil"/>
                    <w:tr2bl w:val="nil"/>
                  </w:tcBorders>
                  <w:vAlign w:val="center"/>
                </w:tcPr>
                <w:p w14:paraId="4BE78066">
                  <w:pPr>
                    <w:spacing w:line="340" w:lineRule="exact"/>
                    <w:ind w:firstLine="0" w:firstLineChars="0"/>
                    <w:jc w:val="center"/>
                    <w:rPr>
                      <w:bCs/>
                      <w:sz w:val="21"/>
                      <w:szCs w:val="21"/>
                      <w:highlight w:val="none"/>
                    </w:rPr>
                  </w:pPr>
                  <w:r>
                    <w:rPr>
                      <w:bCs/>
                      <w:sz w:val="21"/>
                      <w:szCs w:val="21"/>
                      <w:highlight w:val="none"/>
                    </w:rPr>
                    <w:t>台</w:t>
                  </w:r>
                </w:p>
              </w:tc>
              <w:tc>
                <w:tcPr>
                  <w:tcW w:w="1080" w:type="dxa"/>
                  <w:tcBorders>
                    <w:tl2br w:val="nil"/>
                    <w:tr2bl w:val="nil"/>
                  </w:tcBorders>
                  <w:vAlign w:val="center"/>
                </w:tcPr>
                <w:p w14:paraId="36FEC992">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2.5KW</w:t>
                  </w:r>
                </w:p>
              </w:tc>
              <w:tc>
                <w:tcPr>
                  <w:tcW w:w="825" w:type="dxa"/>
                  <w:vMerge w:val="restart"/>
                  <w:tcBorders>
                    <w:tl2br w:val="nil"/>
                    <w:tr2bl w:val="nil"/>
                  </w:tcBorders>
                  <w:vAlign w:val="center"/>
                </w:tcPr>
                <w:p w14:paraId="3003612C">
                  <w:pPr>
                    <w:spacing w:line="340" w:lineRule="exact"/>
                    <w:ind w:firstLine="0" w:firstLineChars="0"/>
                    <w:jc w:val="center"/>
                    <w:rPr>
                      <w:bCs/>
                      <w:sz w:val="21"/>
                      <w:szCs w:val="21"/>
                      <w:highlight w:val="none"/>
                    </w:rPr>
                  </w:pPr>
                  <w:r>
                    <w:rPr>
                      <w:rFonts w:hint="eastAsia"/>
                      <w:bCs/>
                      <w:sz w:val="21"/>
                      <w:szCs w:val="21"/>
                      <w:highlight w:val="none"/>
                    </w:rPr>
                    <w:t>1#厂房一层</w:t>
                  </w:r>
                </w:p>
              </w:tc>
              <w:tc>
                <w:tcPr>
                  <w:tcW w:w="884" w:type="dxa"/>
                  <w:tcBorders>
                    <w:tl2br w:val="nil"/>
                    <w:tr2bl w:val="nil"/>
                  </w:tcBorders>
                  <w:vAlign w:val="center"/>
                </w:tcPr>
                <w:p w14:paraId="3C23768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7A711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460EA75">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0F5BD39B">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54DC06E2">
                  <w:pPr>
                    <w:widowControl/>
                    <w:spacing w:line="340" w:lineRule="exact"/>
                    <w:ind w:firstLine="0" w:firstLineChars="0"/>
                    <w:jc w:val="center"/>
                    <w:rPr>
                      <w:bCs/>
                      <w:sz w:val="21"/>
                      <w:szCs w:val="21"/>
                      <w:highlight w:val="none"/>
                    </w:rPr>
                  </w:pPr>
                  <w:r>
                    <w:rPr>
                      <w:rFonts w:hint="eastAsia"/>
                      <w:bCs/>
                      <w:sz w:val="21"/>
                      <w:szCs w:val="21"/>
                      <w:highlight w:val="none"/>
                    </w:rPr>
                    <w:t>三坐标</w:t>
                  </w:r>
                </w:p>
              </w:tc>
              <w:tc>
                <w:tcPr>
                  <w:tcW w:w="1380" w:type="dxa"/>
                  <w:tcBorders>
                    <w:tl2br w:val="nil"/>
                    <w:tr2bl w:val="nil"/>
                  </w:tcBorders>
                  <w:vAlign w:val="center"/>
                </w:tcPr>
                <w:p w14:paraId="3FA08493">
                  <w:pPr>
                    <w:widowControl/>
                    <w:spacing w:line="340" w:lineRule="exact"/>
                    <w:ind w:firstLine="0" w:firstLineChars="0"/>
                    <w:jc w:val="center"/>
                    <w:rPr>
                      <w:bCs/>
                      <w:sz w:val="21"/>
                      <w:szCs w:val="21"/>
                      <w:highlight w:val="none"/>
                    </w:rPr>
                  </w:pPr>
                  <w:r>
                    <w:rPr>
                      <w:rFonts w:hint="eastAsia"/>
                      <w:bCs/>
                      <w:sz w:val="21"/>
                      <w:szCs w:val="21"/>
                      <w:highlight w:val="none"/>
                    </w:rPr>
                    <w:t>Daisv564</w:t>
                  </w:r>
                </w:p>
              </w:tc>
              <w:tc>
                <w:tcPr>
                  <w:tcW w:w="570" w:type="dxa"/>
                  <w:tcBorders>
                    <w:tl2br w:val="nil"/>
                    <w:tr2bl w:val="nil"/>
                  </w:tcBorders>
                  <w:vAlign w:val="center"/>
                </w:tcPr>
                <w:p w14:paraId="45DBEE3F">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03861456">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2577FEFD">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0.8KW</w:t>
                  </w:r>
                </w:p>
              </w:tc>
              <w:tc>
                <w:tcPr>
                  <w:tcW w:w="825" w:type="dxa"/>
                  <w:vMerge w:val="continue"/>
                  <w:tcBorders>
                    <w:tl2br w:val="nil"/>
                    <w:tr2bl w:val="nil"/>
                  </w:tcBorders>
                  <w:vAlign w:val="center"/>
                </w:tcPr>
                <w:p w14:paraId="66BD6573">
                  <w:pPr>
                    <w:spacing w:line="340" w:lineRule="exact"/>
                    <w:ind w:firstLine="420"/>
                    <w:jc w:val="center"/>
                    <w:rPr>
                      <w:bCs/>
                      <w:sz w:val="21"/>
                      <w:szCs w:val="21"/>
                      <w:highlight w:val="none"/>
                    </w:rPr>
                  </w:pPr>
                </w:p>
              </w:tc>
              <w:tc>
                <w:tcPr>
                  <w:tcW w:w="884" w:type="dxa"/>
                  <w:tcBorders>
                    <w:tl2br w:val="nil"/>
                    <w:tr2bl w:val="nil"/>
                  </w:tcBorders>
                  <w:vAlign w:val="center"/>
                </w:tcPr>
                <w:p w14:paraId="5D0C89FD">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4B469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19B6721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295821D4">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309E943C">
                  <w:pPr>
                    <w:widowControl/>
                    <w:spacing w:line="340" w:lineRule="exact"/>
                    <w:ind w:firstLine="0" w:firstLineChars="0"/>
                    <w:jc w:val="center"/>
                    <w:rPr>
                      <w:bCs/>
                      <w:sz w:val="21"/>
                      <w:szCs w:val="21"/>
                      <w:highlight w:val="none"/>
                    </w:rPr>
                  </w:pPr>
                  <w:r>
                    <w:rPr>
                      <w:rFonts w:hint="eastAsia"/>
                      <w:bCs/>
                      <w:sz w:val="21"/>
                      <w:szCs w:val="21"/>
                      <w:highlight w:val="none"/>
                    </w:rPr>
                    <w:t>齿轮测量中心</w:t>
                  </w:r>
                </w:p>
              </w:tc>
              <w:tc>
                <w:tcPr>
                  <w:tcW w:w="1380" w:type="dxa"/>
                  <w:tcBorders>
                    <w:tl2br w:val="nil"/>
                    <w:tr2bl w:val="nil"/>
                  </w:tcBorders>
                  <w:vAlign w:val="center"/>
                </w:tcPr>
                <w:p w14:paraId="019F6932">
                  <w:pPr>
                    <w:widowControl/>
                    <w:spacing w:line="340" w:lineRule="exact"/>
                    <w:ind w:firstLine="0" w:firstLineChars="0"/>
                    <w:jc w:val="center"/>
                    <w:rPr>
                      <w:bCs/>
                      <w:sz w:val="21"/>
                      <w:szCs w:val="21"/>
                      <w:highlight w:val="none"/>
                    </w:rPr>
                  </w:pPr>
                  <w:r>
                    <w:rPr>
                      <w:rFonts w:hint="eastAsia"/>
                      <w:bCs/>
                      <w:sz w:val="21"/>
                      <w:szCs w:val="21"/>
                      <w:highlight w:val="none"/>
                    </w:rPr>
                    <w:t>HT-300</w:t>
                  </w:r>
                </w:p>
              </w:tc>
              <w:tc>
                <w:tcPr>
                  <w:tcW w:w="570" w:type="dxa"/>
                  <w:tcBorders>
                    <w:tl2br w:val="nil"/>
                    <w:tr2bl w:val="nil"/>
                  </w:tcBorders>
                  <w:vAlign w:val="center"/>
                </w:tcPr>
                <w:p w14:paraId="4A3EC0C8">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3BAB5FF0">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76CAE0D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0.5KW</w:t>
                  </w:r>
                </w:p>
              </w:tc>
              <w:tc>
                <w:tcPr>
                  <w:tcW w:w="825" w:type="dxa"/>
                  <w:vMerge w:val="continue"/>
                  <w:tcBorders>
                    <w:tl2br w:val="nil"/>
                    <w:tr2bl w:val="nil"/>
                  </w:tcBorders>
                  <w:vAlign w:val="center"/>
                </w:tcPr>
                <w:p w14:paraId="688E2DA9">
                  <w:pPr>
                    <w:spacing w:line="340" w:lineRule="exact"/>
                    <w:ind w:firstLine="420"/>
                    <w:jc w:val="center"/>
                    <w:rPr>
                      <w:bCs/>
                      <w:sz w:val="21"/>
                      <w:szCs w:val="21"/>
                      <w:highlight w:val="none"/>
                    </w:rPr>
                  </w:pPr>
                </w:p>
              </w:tc>
              <w:tc>
                <w:tcPr>
                  <w:tcW w:w="884" w:type="dxa"/>
                  <w:tcBorders>
                    <w:tl2br w:val="nil"/>
                    <w:tr2bl w:val="nil"/>
                  </w:tcBorders>
                  <w:vAlign w:val="center"/>
                </w:tcPr>
                <w:p w14:paraId="209D384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721DF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7B594F3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6C7BAAED">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6BF0EC4C">
                  <w:pPr>
                    <w:widowControl/>
                    <w:spacing w:line="340" w:lineRule="exact"/>
                    <w:ind w:firstLine="0" w:firstLineChars="0"/>
                    <w:jc w:val="center"/>
                    <w:rPr>
                      <w:bCs/>
                      <w:sz w:val="21"/>
                      <w:szCs w:val="21"/>
                      <w:highlight w:val="none"/>
                    </w:rPr>
                  </w:pPr>
                  <w:r>
                    <w:rPr>
                      <w:rFonts w:hint="eastAsia"/>
                      <w:bCs/>
                      <w:sz w:val="21"/>
                      <w:szCs w:val="21"/>
                      <w:highlight w:val="none"/>
                    </w:rPr>
                    <w:t>轮廓仪</w:t>
                  </w:r>
                </w:p>
              </w:tc>
              <w:tc>
                <w:tcPr>
                  <w:tcW w:w="1380" w:type="dxa"/>
                  <w:tcBorders>
                    <w:tl2br w:val="nil"/>
                    <w:tr2bl w:val="nil"/>
                  </w:tcBorders>
                  <w:vAlign w:val="center"/>
                </w:tcPr>
                <w:p w14:paraId="13CC6893">
                  <w:pPr>
                    <w:widowControl/>
                    <w:spacing w:line="340" w:lineRule="exact"/>
                    <w:ind w:firstLine="0" w:firstLineChars="0"/>
                    <w:jc w:val="center"/>
                    <w:rPr>
                      <w:bCs/>
                      <w:sz w:val="21"/>
                      <w:szCs w:val="21"/>
                      <w:highlight w:val="none"/>
                    </w:rPr>
                  </w:pPr>
                  <w:r>
                    <w:rPr>
                      <w:rFonts w:hint="eastAsia"/>
                      <w:bCs/>
                      <w:sz w:val="21"/>
                      <w:szCs w:val="21"/>
                      <w:highlight w:val="none"/>
                    </w:rPr>
                    <w:t>SP1103Q-tdi</w:t>
                  </w:r>
                </w:p>
              </w:tc>
              <w:tc>
                <w:tcPr>
                  <w:tcW w:w="570" w:type="dxa"/>
                  <w:tcBorders>
                    <w:tl2br w:val="nil"/>
                    <w:tr2bl w:val="nil"/>
                  </w:tcBorders>
                  <w:vAlign w:val="center"/>
                </w:tcPr>
                <w:p w14:paraId="1C4F8BF7">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221E2BAF">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6663F91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0.5KW</w:t>
                  </w:r>
                </w:p>
              </w:tc>
              <w:tc>
                <w:tcPr>
                  <w:tcW w:w="825" w:type="dxa"/>
                  <w:vMerge w:val="continue"/>
                  <w:tcBorders>
                    <w:tl2br w:val="nil"/>
                    <w:tr2bl w:val="nil"/>
                  </w:tcBorders>
                  <w:vAlign w:val="center"/>
                </w:tcPr>
                <w:p w14:paraId="4627F605">
                  <w:pPr>
                    <w:spacing w:line="340" w:lineRule="exact"/>
                    <w:ind w:firstLine="420"/>
                    <w:jc w:val="center"/>
                    <w:rPr>
                      <w:bCs/>
                      <w:sz w:val="21"/>
                      <w:szCs w:val="21"/>
                      <w:highlight w:val="none"/>
                    </w:rPr>
                  </w:pPr>
                </w:p>
              </w:tc>
              <w:tc>
                <w:tcPr>
                  <w:tcW w:w="884" w:type="dxa"/>
                  <w:tcBorders>
                    <w:tl2br w:val="nil"/>
                    <w:tr2bl w:val="nil"/>
                  </w:tcBorders>
                  <w:vAlign w:val="center"/>
                </w:tcPr>
                <w:p w14:paraId="14369822">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3DCA0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B4D60D2">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6738C370">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37058722">
                  <w:pPr>
                    <w:widowControl/>
                    <w:spacing w:line="340" w:lineRule="exact"/>
                    <w:ind w:firstLine="0" w:firstLineChars="0"/>
                    <w:jc w:val="center"/>
                    <w:rPr>
                      <w:bCs/>
                      <w:sz w:val="21"/>
                      <w:szCs w:val="21"/>
                      <w:highlight w:val="none"/>
                    </w:rPr>
                  </w:pPr>
                  <w:r>
                    <w:rPr>
                      <w:rFonts w:hint="eastAsia"/>
                      <w:bCs/>
                      <w:sz w:val="21"/>
                      <w:szCs w:val="21"/>
                      <w:highlight w:val="none"/>
                    </w:rPr>
                    <w:t>洛氏硬度计</w:t>
                  </w:r>
                </w:p>
              </w:tc>
              <w:tc>
                <w:tcPr>
                  <w:tcW w:w="1380" w:type="dxa"/>
                  <w:tcBorders>
                    <w:tl2br w:val="nil"/>
                    <w:tr2bl w:val="nil"/>
                  </w:tcBorders>
                  <w:vAlign w:val="center"/>
                </w:tcPr>
                <w:p w14:paraId="0D9212FB">
                  <w:pPr>
                    <w:widowControl/>
                    <w:spacing w:line="340" w:lineRule="exact"/>
                    <w:ind w:firstLine="0" w:firstLineChars="0"/>
                    <w:jc w:val="center"/>
                    <w:rPr>
                      <w:bCs/>
                      <w:sz w:val="21"/>
                      <w:szCs w:val="21"/>
                      <w:highlight w:val="none"/>
                    </w:rPr>
                  </w:pPr>
                  <w:r>
                    <w:rPr>
                      <w:rFonts w:hint="eastAsia"/>
                      <w:bCs/>
                      <w:sz w:val="21"/>
                      <w:szCs w:val="21"/>
                      <w:highlight w:val="none"/>
                    </w:rPr>
                    <w:t>HR-150A</w:t>
                  </w:r>
                </w:p>
              </w:tc>
              <w:tc>
                <w:tcPr>
                  <w:tcW w:w="570" w:type="dxa"/>
                  <w:tcBorders>
                    <w:tl2br w:val="nil"/>
                    <w:tr2bl w:val="nil"/>
                  </w:tcBorders>
                  <w:vAlign w:val="center"/>
                </w:tcPr>
                <w:p w14:paraId="53459F30">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747CD5F1">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63CB599B">
                  <w:pPr>
                    <w:pStyle w:val="40"/>
                    <w:spacing w:line="340" w:lineRule="exact"/>
                    <w:ind w:firstLine="0" w:firstLineChars="0"/>
                    <w:jc w:val="center"/>
                    <w:rPr>
                      <w:rFonts w:hint="eastAsia" w:ascii="Times New Roman" w:hAnsi="Times New Roman" w:eastAsia="宋体"/>
                      <w:bCs/>
                      <w:sz w:val="21"/>
                      <w:szCs w:val="21"/>
                      <w:highlight w:val="none"/>
                      <w:lang w:val="en-US" w:eastAsia="zh-CN"/>
                    </w:rPr>
                  </w:pPr>
                  <w:r>
                    <w:rPr>
                      <w:rFonts w:hint="eastAsia" w:ascii="Times New Roman" w:hAnsi="Times New Roman"/>
                      <w:bCs/>
                      <w:sz w:val="21"/>
                      <w:szCs w:val="21"/>
                      <w:highlight w:val="none"/>
                      <w:lang w:val="en-US" w:eastAsia="zh-CN"/>
                    </w:rPr>
                    <w:t>/</w:t>
                  </w:r>
                </w:p>
              </w:tc>
              <w:tc>
                <w:tcPr>
                  <w:tcW w:w="825" w:type="dxa"/>
                  <w:vMerge w:val="continue"/>
                  <w:tcBorders>
                    <w:tl2br w:val="nil"/>
                    <w:tr2bl w:val="nil"/>
                  </w:tcBorders>
                  <w:vAlign w:val="center"/>
                </w:tcPr>
                <w:p w14:paraId="6C04D2FB">
                  <w:pPr>
                    <w:spacing w:line="340" w:lineRule="exact"/>
                    <w:ind w:firstLine="0" w:firstLineChars="0"/>
                    <w:jc w:val="center"/>
                    <w:rPr>
                      <w:bCs/>
                      <w:sz w:val="21"/>
                      <w:szCs w:val="21"/>
                      <w:highlight w:val="none"/>
                    </w:rPr>
                  </w:pPr>
                </w:p>
              </w:tc>
              <w:tc>
                <w:tcPr>
                  <w:tcW w:w="884" w:type="dxa"/>
                  <w:tcBorders>
                    <w:tl2br w:val="nil"/>
                    <w:tr2bl w:val="nil"/>
                  </w:tcBorders>
                  <w:vAlign w:val="center"/>
                </w:tcPr>
                <w:p w14:paraId="5F2A865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5431E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4EF0A3D">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709C55F8">
                  <w:pPr>
                    <w:widowControl/>
                    <w:spacing w:line="340" w:lineRule="exact"/>
                    <w:ind w:firstLine="0" w:firstLineChars="0"/>
                    <w:jc w:val="center"/>
                    <w:rPr>
                      <w:bCs/>
                      <w:sz w:val="21"/>
                      <w:szCs w:val="21"/>
                      <w:highlight w:val="none"/>
                    </w:rPr>
                  </w:pPr>
                  <w:r>
                    <w:rPr>
                      <w:rFonts w:hint="eastAsia"/>
                      <w:bCs/>
                      <w:sz w:val="21"/>
                      <w:szCs w:val="21"/>
                      <w:highlight w:val="none"/>
                    </w:rPr>
                    <w:t>厂内运输</w:t>
                  </w:r>
                </w:p>
              </w:tc>
              <w:tc>
                <w:tcPr>
                  <w:tcW w:w="1516" w:type="dxa"/>
                  <w:tcBorders>
                    <w:tl2br w:val="nil"/>
                    <w:tr2bl w:val="nil"/>
                  </w:tcBorders>
                  <w:vAlign w:val="center"/>
                </w:tcPr>
                <w:p w14:paraId="75D16615">
                  <w:pPr>
                    <w:widowControl/>
                    <w:spacing w:line="340" w:lineRule="exact"/>
                    <w:ind w:firstLine="0" w:firstLineChars="0"/>
                    <w:jc w:val="center"/>
                    <w:rPr>
                      <w:bCs/>
                      <w:sz w:val="21"/>
                      <w:szCs w:val="21"/>
                      <w:highlight w:val="none"/>
                    </w:rPr>
                  </w:pPr>
                  <w:r>
                    <w:rPr>
                      <w:rFonts w:hint="eastAsia"/>
                      <w:bCs/>
                      <w:sz w:val="21"/>
                      <w:szCs w:val="21"/>
                      <w:highlight w:val="none"/>
                    </w:rPr>
                    <w:t>手动叉车</w:t>
                  </w:r>
                </w:p>
              </w:tc>
              <w:tc>
                <w:tcPr>
                  <w:tcW w:w="1380" w:type="dxa"/>
                  <w:tcBorders>
                    <w:tl2br w:val="nil"/>
                    <w:tr2bl w:val="nil"/>
                  </w:tcBorders>
                  <w:vAlign w:val="center"/>
                </w:tcPr>
                <w:p w14:paraId="1BBEC225">
                  <w:pPr>
                    <w:widowControl/>
                    <w:spacing w:line="340" w:lineRule="exact"/>
                    <w:ind w:firstLine="0" w:firstLineChars="0"/>
                    <w:jc w:val="center"/>
                    <w:rPr>
                      <w:bCs/>
                      <w:sz w:val="21"/>
                      <w:szCs w:val="21"/>
                      <w:highlight w:val="none"/>
                    </w:rPr>
                  </w:pPr>
                  <w:r>
                    <w:rPr>
                      <w:rFonts w:hint="eastAsia"/>
                      <w:bCs/>
                      <w:sz w:val="21"/>
                      <w:szCs w:val="21"/>
                      <w:highlight w:val="none"/>
                    </w:rPr>
                    <w:t>2T</w:t>
                  </w:r>
                </w:p>
              </w:tc>
              <w:tc>
                <w:tcPr>
                  <w:tcW w:w="570" w:type="dxa"/>
                  <w:tcBorders>
                    <w:tl2br w:val="nil"/>
                    <w:tr2bl w:val="nil"/>
                  </w:tcBorders>
                  <w:vAlign w:val="center"/>
                </w:tcPr>
                <w:p w14:paraId="50E1DD52">
                  <w:pPr>
                    <w:widowControl/>
                    <w:spacing w:line="340" w:lineRule="exact"/>
                    <w:ind w:firstLine="0" w:firstLineChars="0"/>
                    <w:jc w:val="center"/>
                    <w:rPr>
                      <w:bCs/>
                      <w:sz w:val="21"/>
                      <w:szCs w:val="21"/>
                      <w:highlight w:val="none"/>
                    </w:rPr>
                  </w:pPr>
                  <w:r>
                    <w:rPr>
                      <w:rFonts w:hint="eastAsia"/>
                      <w:bCs/>
                      <w:sz w:val="21"/>
                      <w:szCs w:val="21"/>
                      <w:highlight w:val="none"/>
                    </w:rPr>
                    <w:t>10</w:t>
                  </w:r>
                </w:p>
              </w:tc>
              <w:tc>
                <w:tcPr>
                  <w:tcW w:w="614" w:type="dxa"/>
                  <w:tcBorders>
                    <w:tl2br w:val="nil"/>
                    <w:tr2bl w:val="nil"/>
                  </w:tcBorders>
                  <w:vAlign w:val="center"/>
                </w:tcPr>
                <w:p w14:paraId="53662355">
                  <w:pPr>
                    <w:widowControl/>
                    <w:spacing w:line="340" w:lineRule="exact"/>
                    <w:ind w:firstLine="0" w:firstLineChars="0"/>
                    <w:jc w:val="center"/>
                    <w:rPr>
                      <w:bCs/>
                      <w:sz w:val="21"/>
                      <w:szCs w:val="21"/>
                      <w:highlight w:val="none"/>
                    </w:rPr>
                  </w:pPr>
                  <w:r>
                    <w:rPr>
                      <w:rFonts w:hint="eastAsia"/>
                      <w:bCs/>
                      <w:sz w:val="21"/>
                      <w:szCs w:val="21"/>
                      <w:highlight w:val="none"/>
                    </w:rPr>
                    <w:t>辆</w:t>
                  </w:r>
                </w:p>
              </w:tc>
              <w:tc>
                <w:tcPr>
                  <w:tcW w:w="1080" w:type="dxa"/>
                  <w:tcBorders>
                    <w:tl2br w:val="nil"/>
                    <w:tr2bl w:val="nil"/>
                  </w:tcBorders>
                  <w:vAlign w:val="center"/>
                </w:tcPr>
                <w:p w14:paraId="41C1A67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c>
                <w:tcPr>
                  <w:tcW w:w="825" w:type="dxa"/>
                  <w:vMerge w:val="restart"/>
                  <w:tcBorders>
                    <w:tl2br w:val="nil"/>
                    <w:tr2bl w:val="nil"/>
                  </w:tcBorders>
                  <w:vAlign w:val="center"/>
                </w:tcPr>
                <w:p w14:paraId="75F2375A">
                  <w:pPr>
                    <w:spacing w:line="340" w:lineRule="exact"/>
                    <w:ind w:firstLine="0" w:firstLineChars="0"/>
                    <w:jc w:val="center"/>
                    <w:rPr>
                      <w:bCs/>
                      <w:sz w:val="21"/>
                      <w:szCs w:val="21"/>
                      <w:highlight w:val="none"/>
                    </w:rPr>
                  </w:pPr>
                  <w:r>
                    <w:rPr>
                      <w:rFonts w:hint="eastAsia"/>
                      <w:bCs/>
                      <w:sz w:val="21"/>
                      <w:szCs w:val="21"/>
                      <w:highlight w:val="none"/>
                    </w:rPr>
                    <w:t>/</w:t>
                  </w:r>
                </w:p>
              </w:tc>
              <w:tc>
                <w:tcPr>
                  <w:tcW w:w="884" w:type="dxa"/>
                  <w:tcBorders>
                    <w:tl2br w:val="nil"/>
                    <w:tr2bl w:val="nil"/>
                  </w:tcBorders>
                  <w:vAlign w:val="center"/>
                </w:tcPr>
                <w:p w14:paraId="448D9B4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w:t>
                  </w:r>
                </w:p>
              </w:tc>
            </w:tr>
            <w:tr w14:paraId="3D6BF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6FDAE2F8">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60545CE6">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00171B59">
                  <w:pPr>
                    <w:widowControl/>
                    <w:spacing w:line="340" w:lineRule="exact"/>
                    <w:ind w:firstLine="0" w:firstLineChars="0"/>
                    <w:jc w:val="center"/>
                    <w:rPr>
                      <w:bCs/>
                      <w:color w:val="FF0000"/>
                      <w:sz w:val="21"/>
                      <w:szCs w:val="21"/>
                      <w:highlight w:val="none"/>
                    </w:rPr>
                  </w:pPr>
                  <w:r>
                    <w:rPr>
                      <w:rFonts w:hint="eastAsia"/>
                      <w:bCs/>
                      <w:sz w:val="21"/>
                      <w:szCs w:val="21"/>
                      <w:highlight w:val="none"/>
                    </w:rPr>
                    <w:t>3吨电动叉车</w:t>
                  </w:r>
                </w:p>
              </w:tc>
              <w:tc>
                <w:tcPr>
                  <w:tcW w:w="1380" w:type="dxa"/>
                  <w:tcBorders>
                    <w:tl2br w:val="nil"/>
                    <w:tr2bl w:val="nil"/>
                  </w:tcBorders>
                  <w:vAlign w:val="center"/>
                </w:tcPr>
                <w:p w14:paraId="360C5BA2">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5466160E">
                  <w:pPr>
                    <w:widowControl/>
                    <w:spacing w:line="340" w:lineRule="exact"/>
                    <w:ind w:firstLine="0" w:firstLineChars="0"/>
                    <w:jc w:val="center"/>
                    <w:rPr>
                      <w:bCs/>
                      <w:sz w:val="21"/>
                      <w:szCs w:val="21"/>
                      <w:highlight w:val="none"/>
                    </w:rPr>
                  </w:pPr>
                  <w:r>
                    <w:rPr>
                      <w:rFonts w:hint="eastAsia"/>
                      <w:bCs/>
                      <w:sz w:val="21"/>
                      <w:szCs w:val="21"/>
                      <w:highlight w:val="none"/>
                    </w:rPr>
                    <w:t>3</w:t>
                  </w:r>
                </w:p>
              </w:tc>
              <w:tc>
                <w:tcPr>
                  <w:tcW w:w="614" w:type="dxa"/>
                  <w:tcBorders>
                    <w:tl2br w:val="nil"/>
                    <w:tr2bl w:val="nil"/>
                  </w:tcBorders>
                  <w:vAlign w:val="center"/>
                </w:tcPr>
                <w:p w14:paraId="32562575">
                  <w:pPr>
                    <w:widowControl/>
                    <w:spacing w:line="340" w:lineRule="exact"/>
                    <w:ind w:firstLine="0" w:firstLineChars="0"/>
                    <w:jc w:val="center"/>
                    <w:rPr>
                      <w:bCs/>
                      <w:sz w:val="21"/>
                      <w:szCs w:val="21"/>
                      <w:highlight w:val="none"/>
                    </w:rPr>
                  </w:pPr>
                  <w:r>
                    <w:rPr>
                      <w:rFonts w:hint="eastAsia"/>
                      <w:bCs/>
                      <w:sz w:val="21"/>
                      <w:szCs w:val="21"/>
                      <w:highlight w:val="none"/>
                    </w:rPr>
                    <w:t>辆</w:t>
                  </w:r>
                </w:p>
              </w:tc>
              <w:tc>
                <w:tcPr>
                  <w:tcW w:w="1080" w:type="dxa"/>
                  <w:tcBorders>
                    <w:tl2br w:val="nil"/>
                    <w:tr2bl w:val="nil"/>
                  </w:tcBorders>
                  <w:vAlign w:val="center"/>
                </w:tcPr>
                <w:p w14:paraId="20279F2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KW</w:t>
                  </w:r>
                </w:p>
              </w:tc>
              <w:tc>
                <w:tcPr>
                  <w:tcW w:w="825" w:type="dxa"/>
                  <w:vMerge w:val="continue"/>
                  <w:tcBorders>
                    <w:tl2br w:val="nil"/>
                    <w:tr2bl w:val="nil"/>
                  </w:tcBorders>
                  <w:vAlign w:val="center"/>
                </w:tcPr>
                <w:p w14:paraId="4E1C71E2">
                  <w:pPr>
                    <w:widowControl/>
                    <w:spacing w:line="340" w:lineRule="exact"/>
                    <w:ind w:firstLine="0" w:firstLineChars="0"/>
                    <w:jc w:val="center"/>
                    <w:rPr>
                      <w:bCs/>
                      <w:sz w:val="21"/>
                      <w:szCs w:val="21"/>
                      <w:highlight w:val="none"/>
                    </w:rPr>
                  </w:pPr>
                </w:p>
              </w:tc>
              <w:tc>
                <w:tcPr>
                  <w:tcW w:w="884" w:type="dxa"/>
                  <w:tcBorders>
                    <w:tl2br w:val="nil"/>
                    <w:tr2bl w:val="nil"/>
                  </w:tcBorders>
                  <w:vAlign w:val="center"/>
                </w:tcPr>
                <w:p w14:paraId="05214B0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国三</w:t>
                  </w:r>
                </w:p>
              </w:tc>
            </w:tr>
            <w:tr w14:paraId="68A50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759B466C">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restart"/>
                  <w:tcBorders>
                    <w:tl2br w:val="nil"/>
                    <w:tr2bl w:val="nil"/>
                  </w:tcBorders>
                  <w:vAlign w:val="center"/>
                </w:tcPr>
                <w:p w14:paraId="2E02B612">
                  <w:pPr>
                    <w:widowControl/>
                    <w:spacing w:line="340" w:lineRule="exact"/>
                    <w:ind w:firstLine="0" w:firstLineChars="0"/>
                    <w:jc w:val="center"/>
                    <w:rPr>
                      <w:bCs/>
                      <w:sz w:val="21"/>
                      <w:szCs w:val="21"/>
                      <w:highlight w:val="none"/>
                    </w:rPr>
                  </w:pPr>
                  <w:r>
                    <w:rPr>
                      <w:rFonts w:hint="eastAsia"/>
                      <w:bCs/>
                      <w:sz w:val="21"/>
                      <w:szCs w:val="21"/>
                      <w:highlight w:val="none"/>
                    </w:rPr>
                    <w:t>辅助设备</w:t>
                  </w:r>
                </w:p>
              </w:tc>
              <w:tc>
                <w:tcPr>
                  <w:tcW w:w="1516" w:type="dxa"/>
                  <w:tcBorders>
                    <w:tl2br w:val="nil"/>
                    <w:tr2bl w:val="nil"/>
                  </w:tcBorders>
                  <w:vAlign w:val="center"/>
                </w:tcPr>
                <w:p w14:paraId="1E6EF0D2">
                  <w:pPr>
                    <w:widowControl/>
                    <w:spacing w:line="340" w:lineRule="exact"/>
                    <w:ind w:firstLine="0" w:firstLineChars="0"/>
                    <w:jc w:val="center"/>
                    <w:rPr>
                      <w:bCs/>
                      <w:sz w:val="21"/>
                      <w:szCs w:val="21"/>
                      <w:highlight w:val="none"/>
                    </w:rPr>
                  </w:pPr>
                  <w:r>
                    <w:rPr>
                      <w:rFonts w:hint="eastAsia"/>
                      <w:bCs/>
                      <w:sz w:val="21"/>
                      <w:szCs w:val="21"/>
                      <w:highlight w:val="none"/>
                    </w:rPr>
                    <w:t>空压机</w:t>
                  </w:r>
                </w:p>
              </w:tc>
              <w:tc>
                <w:tcPr>
                  <w:tcW w:w="1380" w:type="dxa"/>
                  <w:tcBorders>
                    <w:tl2br w:val="nil"/>
                    <w:tr2bl w:val="nil"/>
                  </w:tcBorders>
                  <w:vAlign w:val="center"/>
                </w:tcPr>
                <w:p w14:paraId="34755A2F">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5A052C95">
                  <w:pPr>
                    <w:widowControl/>
                    <w:spacing w:line="340" w:lineRule="exact"/>
                    <w:ind w:firstLine="0" w:firstLineChars="0"/>
                    <w:jc w:val="center"/>
                    <w:rPr>
                      <w:bCs/>
                      <w:sz w:val="21"/>
                      <w:szCs w:val="21"/>
                      <w:highlight w:val="none"/>
                    </w:rPr>
                  </w:pPr>
                  <w:r>
                    <w:rPr>
                      <w:rFonts w:hint="eastAsia"/>
                      <w:bCs/>
                      <w:sz w:val="21"/>
                      <w:szCs w:val="21"/>
                      <w:highlight w:val="none"/>
                    </w:rPr>
                    <w:t>4</w:t>
                  </w:r>
                </w:p>
              </w:tc>
              <w:tc>
                <w:tcPr>
                  <w:tcW w:w="614" w:type="dxa"/>
                  <w:tcBorders>
                    <w:tl2br w:val="nil"/>
                    <w:tr2bl w:val="nil"/>
                  </w:tcBorders>
                  <w:vAlign w:val="center"/>
                </w:tcPr>
                <w:p w14:paraId="26CD4104">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6EC6B3C9">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30KW</w:t>
                  </w:r>
                </w:p>
              </w:tc>
              <w:tc>
                <w:tcPr>
                  <w:tcW w:w="825" w:type="dxa"/>
                  <w:tcBorders>
                    <w:tl2br w:val="nil"/>
                    <w:tr2bl w:val="nil"/>
                  </w:tcBorders>
                  <w:vAlign w:val="center"/>
                </w:tcPr>
                <w:p w14:paraId="1C446A72">
                  <w:pPr>
                    <w:widowControl/>
                    <w:spacing w:line="340" w:lineRule="exact"/>
                    <w:ind w:firstLine="0" w:firstLineChars="0"/>
                    <w:jc w:val="center"/>
                    <w:rPr>
                      <w:bCs/>
                      <w:sz w:val="21"/>
                      <w:szCs w:val="21"/>
                      <w:highlight w:val="none"/>
                    </w:rPr>
                  </w:pPr>
                  <w:r>
                    <w:rPr>
                      <w:rFonts w:hint="eastAsia"/>
                      <w:bCs/>
                      <w:sz w:val="21"/>
                      <w:szCs w:val="21"/>
                      <w:highlight w:val="none"/>
                    </w:rPr>
                    <w:t>1#、2#厂房一层各2台</w:t>
                  </w:r>
                </w:p>
              </w:tc>
              <w:tc>
                <w:tcPr>
                  <w:tcW w:w="884" w:type="dxa"/>
                  <w:tcBorders>
                    <w:tl2br w:val="nil"/>
                    <w:tr2bl w:val="nil"/>
                  </w:tcBorders>
                  <w:vAlign w:val="center"/>
                </w:tcPr>
                <w:p w14:paraId="2C952C25">
                  <w:pPr>
                    <w:pStyle w:val="40"/>
                    <w:spacing w:line="340" w:lineRule="exact"/>
                    <w:ind w:firstLine="0" w:firstLineChars="0"/>
                    <w:jc w:val="center"/>
                    <w:rPr>
                      <w:rFonts w:hint="eastAsia" w:ascii="Times New Roman" w:hAnsi="Times New Roman" w:eastAsia="宋体"/>
                      <w:bCs/>
                      <w:sz w:val="21"/>
                      <w:szCs w:val="21"/>
                      <w:highlight w:val="none"/>
                      <w:lang w:val="en-US" w:eastAsia="zh-CN"/>
                    </w:rPr>
                  </w:pPr>
                  <w:r>
                    <w:rPr>
                      <w:rFonts w:hint="eastAsia" w:ascii="Times New Roman" w:hAnsi="Times New Roman"/>
                      <w:bCs/>
                      <w:sz w:val="21"/>
                      <w:szCs w:val="21"/>
                      <w:highlight w:val="none"/>
                      <w:lang w:val="en-US" w:eastAsia="zh-CN"/>
                    </w:rPr>
                    <w:t>/</w:t>
                  </w:r>
                </w:p>
              </w:tc>
            </w:tr>
            <w:tr w14:paraId="0131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5236AEE2">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09C94D85">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00A054B3">
                  <w:pPr>
                    <w:widowControl/>
                    <w:spacing w:line="340" w:lineRule="exact"/>
                    <w:ind w:firstLine="0" w:firstLineChars="0"/>
                    <w:jc w:val="center"/>
                    <w:rPr>
                      <w:bCs/>
                      <w:sz w:val="21"/>
                      <w:szCs w:val="21"/>
                      <w:highlight w:val="none"/>
                    </w:rPr>
                  </w:pPr>
                  <w:r>
                    <w:rPr>
                      <w:rFonts w:hint="eastAsia"/>
                      <w:bCs/>
                      <w:sz w:val="21"/>
                      <w:szCs w:val="21"/>
                      <w:highlight w:val="none"/>
                    </w:rPr>
                    <w:t>蓄热式电锅炉</w:t>
                  </w:r>
                </w:p>
              </w:tc>
              <w:tc>
                <w:tcPr>
                  <w:tcW w:w="1380" w:type="dxa"/>
                  <w:tcBorders>
                    <w:tl2br w:val="nil"/>
                    <w:tr2bl w:val="nil"/>
                  </w:tcBorders>
                  <w:vAlign w:val="center"/>
                </w:tcPr>
                <w:p w14:paraId="7B89F13B">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1D61B3A7">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15687FE9">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1080" w:type="dxa"/>
                  <w:tcBorders>
                    <w:tl2br w:val="nil"/>
                    <w:tr2bl w:val="nil"/>
                  </w:tcBorders>
                  <w:vAlign w:val="center"/>
                </w:tcPr>
                <w:p w14:paraId="47B055F1">
                  <w:pPr>
                    <w:widowControl/>
                    <w:spacing w:line="340" w:lineRule="exact"/>
                    <w:ind w:firstLine="0" w:firstLineChars="0"/>
                    <w:jc w:val="center"/>
                    <w:rPr>
                      <w:bCs/>
                      <w:sz w:val="21"/>
                      <w:szCs w:val="21"/>
                      <w:highlight w:val="none"/>
                    </w:rPr>
                  </w:pPr>
                  <w:r>
                    <w:rPr>
                      <w:rFonts w:hint="eastAsia"/>
                      <w:bCs/>
                      <w:sz w:val="21"/>
                      <w:szCs w:val="21"/>
                      <w:highlight w:val="none"/>
                    </w:rPr>
                    <w:t>120KW</w:t>
                  </w:r>
                </w:p>
              </w:tc>
              <w:tc>
                <w:tcPr>
                  <w:tcW w:w="825" w:type="dxa"/>
                  <w:vMerge w:val="restart"/>
                  <w:tcBorders>
                    <w:tl2br w:val="nil"/>
                    <w:tr2bl w:val="nil"/>
                  </w:tcBorders>
                  <w:vAlign w:val="center"/>
                </w:tcPr>
                <w:p w14:paraId="7842E7FA">
                  <w:pPr>
                    <w:widowControl/>
                    <w:spacing w:line="340" w:lineRule="exact"/>
                    <w:ind w:firstLine="0" w:firstLineChars="0"/>
                    <w:jc w:val="center"/>
                    <w:rPr>
                      <w:bCs/>
                      <w:color w:val="FF0000"/>
                      <w:sz w:val="21"/>
                      <w:szCs w:val="21"/>
                      <w:highlight w:val="none"/>
                    </w:rPr>
                  </w:pPr>
                  <w:r>
                    <w:rPr>
                      <w:rFonts w:hint="eastAsia"/>
                      <w:bCs/>
                      <w:sz w:val="21"/>
                      <w:szCs w:val="21"/>
                      <w:highlight w:val="none"/>
                    </w:rPr>
                    <w:t>1#、2#厂房一层各1套</w:t>
                  </w:r>
                </w:p>
              </w:tc>
              <w:tc>
                <w:tcPr>
                  <w:tcW w:w="884" w:type="dxa"/>
                  <w:vMerge w:val="restart"/>
                  <w:tcBorders>
                    <w:tl2br w:val="nil"/>
                    <w:tr2bl w:val="nil"/>
                  </w:tcBorders>
                  <w:vAlign w:val="center"/>
                </w:tcPr>
                <w:p w14:paraId="0B34301D">
                  <w:pPr>
                    <w:widowControl/>
                    <w:spacing w:line="340" w:lineRule="exact"/>
                    <w:ind w:firstLine="0" w:firstLineChars="0"/>
                    <w:jc w:val="center"/>
                    <w:rPr>
                      <w:bCs/>
                      <w:sz w:val="21"/>
                      <w:szCs w:val="21"/>
                      <w:highlight w:val="none"/>
                    </w:rPr>
                  </w:pPr>
                  <w:r>
                    <w:rPr>
                      <w:rFonts w:hint="eastAsia"/>
                      <w:bCs/>
                      <w:sz w:val="21"/>
                      <w:szCs w:val="21"/>
                      <w:highlight w:val="none"/>
                    </w:rPr>
                    <w:t>用于取暖各20m³的储水箱</w:t>
                  </w:r>
                </w:p>
              </w:tc>
            </w:tr>
            <w:tr w14:paraId="3B316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57415CA">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4D254678">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3A6D06F1">
                  <w:pPr>
                    <w:widowControl/>
                    <w:spacing w:line="340" w:lineRule="exact"/>
                    <w:ind w:firstLine="0" w:firstLineChars="0"/>
                    <w:jc w:val="center"/>
                    <w:rPr>
                      <w:bCs/>
                      <w:sz w:val="21"/>
                      <w:szCs w:val="21"/>
                      <w:highlight w:val="none"/>
                    </w:rPr>
                  </w:pPr>
                  <w:r>
                    <w:rPr>
                      <w:rFonts w:hint="eastAsia"/>
                      <w:bCs/>
                      <w:sz w:val="21"/>
                      <w:szCs w:val="21"/>
                      <w:highlight w:val="none"/>
                    </w:rPr>
                    <w:t>储水箱</w:t>
                  </w:r>
                </w:p>
              </w:tc>
              <w:tc>
                <w:tcPr>
                  <w:tcW w:w="1380" w:type="dxa"/>
                  <w:tcBorders>
                    <w:tl2br w:val="nil"/>
                    <w:tr2bl w:val="nil"/>
                  </w:tcBorders>
                  <w:vAlign w:val="center"/>
                </w:tcPr>
                <w:p w14:paraId="190013D3">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0FC407A2">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1C16E6FF">
                  <w:pPr>
                    <w:widowControl/>
                    <w:spacing w:line="340" w:lineRule="exact"/>
                    <w:ind w:firstLine="0" w:firstLineChars="0"/>
                    <w:jc w:val="center"/>
                    <w:rPr>
                      <w:bCs/>
                      <w:sz w:val="21"/>
                      <w:szCs w:val="21"/>
                      <w:highlight w:val="none"/>
                    </w:rPr>
                  </w:pPr>
                  <w:r>
                    <w:rPr>
                      <w:rFonts w:hint="eastAsia"/>
                      <w:bCs/>
                      <w:sz w:val="21"/>
                      <w:szCs w:val="21"/>
                      <w:highlight w:val="none"/>
                    </w:rPr>
                    <w:t>个</w:t>
                  </w:r>
                </w:p>
              </w:tc>
              <w:tc>
                <w:tcPr>
                  <w:tcW w:w="1080" w:type="dxa"/>
                  <w:tcBorders>
                    <w:tl2br w:val="nil"/>
                    <w:tr2bl w:val="nil"/>
                  </w:tcBorders>
                  <w:vAlign w:val="center"/>
                </w:tcPr>
                <w:p w14:paraId="410D1D21">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825" w:type="dxa"/>
                  <w:vMerge w:val="continue"/>
                  <w:tcBorders>
                    <w:tl2br w:val="nil"/>
                    <w:tr2bl w:val="nil"/>
                  </w:tcBorders>
                  <w:vAlign w:val="center"/>
                </w:tcPr>
                <w:p w14:paraId="2033E89F">
                  <w:pPr>
                    <w:widowControl/>
                    <w:spacing w:line="340" w:lineRule="exact"/>
                    <w:ind w:firstLine="0" w:firstLineChars="0"/>
                    <w:jc w:val="center"/>
                    <w:rPr>
                      <w:bCs/>
                      <w:sz w:val="21"/>
                      <w:szCs w:val="21"/>
                      <w:highlight w:val="none"/>
                    </w:rPr>
                  </w:pPr>
                </w:p>
              </w:tc>
              <w:tc>
                <w:tcPr>
                  <w:tcW w:w="884" w:type="dxa"/>
                  <w:vMerge w:val="continue"/>
                  <w:tcBorders>
                    <w:tl2br w:val="nil"/>
                    <w:tr2bl w:val="nil"/>
                  </w:tcBorders>
                  <w:vAlign w:val="center"/>
                </w:tcPr>
                <w:p w14:paraId="38B8C9C5">
                  <w:pPr>
                    <w:widowControl/>
                    <w:spacing w:line="340" w:lineRule="exact"/>
                    <w:ind w:firstLine="0" w:firstLineChars="0"/>
                    <w:jc w:val="center"/>
                    <w:rPr>
                      <w:bCs/>
                      <w:sz w:val="21"/>
                      <w:szCs w:val="21"/>
                      <w:highlight w:val="none"/>
                    </w:rPr>
                  </w:pPr>
                </w:p>
              </w:tc>
            </w:tr>
            <w:tr w14:paraId="5496F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tcBorders>
                    <w:tl2br w:val="nil"/>
                    <w:tr2bl w:val="nil"/>
                  </w:tcBorders>
                  <w:vAlign w:val="center"/>
                </w:tcPr>
                <w:p w14:paraId="21AA965F">
                  <w:pPr>
                    <w:pStyle w:val="40"/>
                    <w:numPr>
                      <w:ilvl w:val="0"/>
                      <w:numId w:val="9"/>
                    </w:numPr>
                    <w:spacing w:line="340" w:lineRule="exact"/>
                    <w:ind w:firstLineChars="0"/>
                    <w:jc w:val="center"/>
                    <w:rPr>
                      <w:rFonts w:ascii="Times New Roman" w:hAnsi="Times New Roman"/>
                      <w:bCs/>
                      <w:sz w:val="21"/>
                      <w:szCs w:val="21"/>
                      <w:highlight w:val="none"/>
                    </w:rPr>
                  </w:pPr>
                </w:p>
              </w:tc>
              <w:tc>
                <w:tcPr>
                  <w:tcW w:w="645" w:type="dxa"/>
                  <w:vMerge w:val="continue"/>
                  <w:tcBorders>
                    <w:tl2br w:val="nil"/>
                    <w:tr2bl w:val="nil"/>
                  </w:tcBorders>
                  <w:vAlign w:val="center"/>
                </w:tcPr>
                <w:p w14:paraId="7BD5009A">
                  <w:pPr>
                    <w:widowControl/>
                    <w:spacing w:line="340" w:lineRule="exact"/>
                    <w:ind w:firstLine="0" w:firstLineChars="0"/>
                    <w:jc w:val="center"/>
                    <w:rPr>
                      <w:bCs/>
                      <w:sz w:val="21"/>
                      <w:szCs w:val="21"/>
                      <w:highlight w:val="none"/>
                    </w:rPr>
                  </w:pPr>
                </w:p>
              </w:tc>
              <w:tc>
                <w:tcPr>
                  <w:tcW w:w="1516" w:type="dxa"/>
                  <w:tcBorders>
                    <w:tl2br w:val="nil"/>
                    <w:tr2bl w:val="nil"/>
                  </w:tcBorders>
                  <w:vAlign w:val="center"/>
                </w:tcPr>
                <w:p w14:paraId="0775F0D2">
                  <w:pPr>
                    <w:widowControl/>
                    <w:spacing w:line="340" w:lineRule="exact"/>
                    <w:ind w:firstLine="0" w:firstLineChars="0"/>
                    <w:jc w:val="center"/>
                    <w:rPr>
                      <w:bCs/>
                      <w:sz w:val="21"/>
                      <w:szCs w:val="21"/>
                      <w:highlight w:val="none"/>
                    </w:rPr>
                  </w:pPr>
                  <w:r>
                    <w:rPr>
                      <w:rFonts w:hint="eastAsia"/>
                      <w:bCs/>
                      <w:sz w:val="21"/>
                      <w:szCs w:val="21"/>
                      <w:highlight w:val="none"/>
                    </w:rPr>
                    <w:t>软化水设备</w:t>
                  </w:r>
                </w:p>
              </w:tc>
              <w:tc>
                <w:tcPr>
                  <w:tcW w:w="1380" w:type="dxa"/>
                  <w:tcBorders>
                    <w:tl2br w:val="nil"/>
                    <w:tr2bl w:val="nil"/>
                  </w:tcBorders>
                  <w:vAlign w:val="center"/>
                </w:tcPr>
                <w:p w14:paraId="337DD4CC">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570" w:type="dxa"/>
                  <w:tcBorders>
                    <w:tl2br w:val="nil"/>
                    <w:tr2bl w:val="nil"/>
                  </w:tcBorders>
                  <w:vAlign w:val="center"/>
                </w:tcPr>
                <w:p w14:paraId="15FA5949">
                  <w:pPr>
                    <w:widowControl/>
                    <w:spacing w:line="340" w:lineRule="exact"/>
                    <w:ind w:firstLine="0" w:firstLineChars="0"/>
                    <w:jc w:val="center"/>
                    <w:rPr>
                      <w:bCs/>
                      <w:sz w:val="21"/>
                      <w:szCs w:val="21"/>
                      <w:highlight w:val="none"/>
                    </w:rPr>
                  </w:pPr>
                  <w:r>
                    <w:rPr>
                      <w:rFonts w:hint="eastAsia"/>
                      <w:bCs/>
                      <w:sz w:val="21"/>
                      <w:szCs w:val="21"/>
                      <w:highlight w:val="none"/>
                    </w:rPr>
                    <w:t>2</w:t>
                  </w:r>
                </w:p>
              </w:tc>
              <w:tc>
                <w:tcPr>
                  <w:tcW w:w="614" w:type="dxa"/>
                  <w:tcBorders>
                    <w:tl2br w:val="nil"/>
                    <w:tr2bl w:val="nil"/>
                  </w:tcBorders>
                  <w:vAlign w:val="center"/>
                </w:tcPr>
                <w:p w14:paraId="3E15E441">
                  <w:pPr>
                    <w:widowControl/>
                    <w:spacing w:line="340" w:lineRule="exact"/>
                    <w:ind w:firstLine="0" w:firstLineChars="0"/>
                    <w:jc w:val="center"/>
                    <w:rPr>
                      <w:bCs/>
                      <w:sz w:val="21"/>
                      <w:szCs w:val="21"/>
                      <w:highlight w:val="none"/>
                    </w:rPr>
                  </w:pPr>
                  <w:r>
                    <w:rPr>
                      <w:rFonts w:hint="eastAsia"/>
                      <w:bCs/>
                      <w:sz w:val="21"/>
                      <w:szCs w:val="21"/>
                      <w:highlight w:val="none"/>
                    </w:rPr>
                    <w:t>个</w:t>
                  </w:r>
                </w:p>
              </w:tc>
              <w:tc>
                <w:tcPr>
                  <w:tcW w:w="1080" w:type="dxa"/>
                  <w:tcBorders>
                    <w:tl2br w:val="nil"/>
                    <w:tr2bl w:val="nil"/>
                  </w:tcBorders>
                  <w:vAlign w:val="center"/>
                </w:tcPr>
                <w:p w14:paraId="4DB4B7F6">
                  <w:pPr>
                    <w:widowControl/>
                    <w:spacing w:line="340" w:lineRule="exact"/>
                    <w:ind w:firstLine="0" w:firstLineChars="0"/>
                    <w:jc w:val="center"/>
                    <w:rPr>
                      <w:bCs/>
                      <w:sz w:val="21"/>
                      <w:szCs w:val="21"/>
                      <w:highlight w:val="none"/>
                    </w:rPr>
                  </w:pPr>
                  <w:r>
                    <w:rPr>
                      <w:rFonts w:hint="eastAsia"/>
                      <w:bCs/>
                      <w:sz w:val="21"/>
                      <w:szCs w:val="21"/>
                      <w:highlight w:val="none"/>
                    </w:rPr>
                    <w:t>/</w:t>
                  </w:r>
                </w:p>
              </w:tc>
              <w:tc>
                <w:tcPr>
                  <w:tcW w:w="825" w:type="dxa"/>
                  <w:vMerge w:val="continue"/>
                  <w:tcBorders>
                    <w:tl2br w:val="nil"/>
                    <w:tr2bl w:val="nil"/>
                  </w:tcBorders>
                  <w:vAlign w:val="center"/>
                </w:tcPr>
                <w:p w14:paraId="7A7D871B">
                  <w:pPr>
                    <w:widowControl/>
                    <w:spacing w:line="340" w:lineRule="exact"/>
                    <w:ind w:firstLine="0" w:firstLineChars="0"/>
                    <w:jc w:val="center"/>
                    <w:rPr>
                      <w:bCs/>
                      <w:sz w:val="21"/>
                      <w:szCs w:val="21"/>
                      <w:highlight w:val="none"/>
                    </w:rPr>
                  </w:pPr>
                </w:p>
              </w:tc>
              <w:tc>
                <w:tcPr>
                  <w:tcW w:w="884" w:type="dxa"/>
                  <w:vMerge w:val="continue"/>
                  <w:tcBorders>
                    <w:tl2br w:val="nil"/>
                    <w:tr2bl w:val="nil"/>
                  </w:tcBorders>
                  <w:vAlign w:val="center"/>
                </w:tcPr>
                <w:p w14:paraId="0111CB01">
                  <w:pPr>
                    <w:widowControl/>
                    <w:spacing w:line="340" w:lineRule="exact"/>
                    <w:ind w:firstLine="0" w:firstLineChars="0"/>
                    <w:jc w:val="center"/>
                    <w:rPr>
                      <w:bCs/>
                      <w:sz w:val="21"/>
                      <w:szCs w:val="21"/>
                      <w:highlight w:val="none"/>
                    </w:rPr>
                  </w:pPr>
                </w:p>
              </w:tc>
            </w:tr>
          </w:tbl>
          <w:p w14:paraId="28054776">
            <w:pPr>
              <w:ind w:firstLine="0" w:firstLineChars="0"/>
              <w:jc w:val="center"/>
              <w:rPr>
                <w:highlight w:val="none"/>
              </w:rPr>
            </w:pPr>
            <w:r>
              <w:rPr>
                <w:rFonts w:hint="eastAsia"/>
                <w:b/>
                <w:bCs/>
                <w:sz w:val="21"/>
                <w:szCs w:val="21"/>
                <w:highlight w:val="none"/>
              </w:rPr>
              <w:t>表2-6  本项目环保治理设备一览表</w:t>
            </w:r>
          </w:p>
          <w:tbl>
            <w:tblPr>
              <w:tblStyle w:val="23"/>
              <w:tblW w:w="81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298"/>
              <w:gridCol w:w="735"/>
              <w:gridCol w:w="780"/>
              <w:gridCol w:w="3458"/>
            </w:tblGrid>
            <w:tr w14:paraId="0A003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4BE63CAD">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序号</w:t>
                  </w:r>
                </w:p>
              </w:tc>
              <w:tc>
                <w:tcPr>
                  <w:tcW w:w="2298" w:type="dxa"/>
                  <w:tcBorders>
                    <w:tl2br w:val="nil"/>
                    <w:tr2bl w:val="nil"/>
                  </w:tcBorders>
                  <w:vAlign w:val="center"/>
                </w:tcPr>
                <w:p w14:paraId="2FCC5639">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名称</w:t>
                  </w:r>
                </w:p>
              </w:tc>
              <w:tc>
                <w:tcPr>
                  <w:tcW w:w="735" w:type="dxa"/>
                  <w:tcBorders>
                    <w:tl2br w:val="nil"/>
                    <w:tr2bl w:val="nil"/>
                  </w:tcBorders>
                  <w:vAlign w:val="center"/>
                </w:tcPr>
                <w:p w14:paraId="28F65E3F">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数量</w:t>
                  </w:r>
                </w:p>
              </w:tc>
              <w:tc>
                <w:tcPr>
                  <w:tcW w:w="780" w:type="dxa"/>
                  <w:tcBorders>
                    <w:tl2br w:val="nil"/>
                    <w:tr2bl w:val="nil"/>
                  </w:tcBorders>
                  <w:vAlign w:val="center"/>
                </w:tcPr>
                <w:p w14:paraId="5E0AE785">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单位</w:t>
                  </w:r>
                </w:p>
              </w:tc>
              <w:tc>
                <w:tcPr>
                  <w:tcW w:w="3458" w:type="dxa"/>
                  <w:tcBorders>
                    <w:tl2br w:val="nil"/>
                    <w:tr2bl w:val="nil"/>
                  </w:tcBorders>
                  <w:vAlign w:val="center"/>
                </w:tcPr>
                <w:p w14:paraId="3FF33578">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备注</w:t>
                  </w:r>
                </w:p>
              </w:tc>
            </w:tr>
            <w:tr w14:paraId="49EB8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785F68C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w:t>
                  </w:r>
                </w:p>
              </w:tc>
              <w:tc>
                <w:tcPr>
                  <w:tcW w:w="2298" w:type="dxa"/>
                  <w:tcBorders>
                    <w:tl2br w:val="nil"/>
                    <w:tr2bl w:val="nil"/>
                  </w:tcBorders>
                  <w:vAlign w:val="center"/>
                </w:tcPr>
                <w:p w14:paraId="0EDDC94C">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脉冲布袋除尘器</w:t>
                  </w:r>
                </w:p>
              </w:tc>
              <w:tc>
                <w:tcPr>
                  <w:tcW w:w="735" w:type="dxa"/>
                  <w:tcBorders>
                    <w:tl2br w:val="nil"/>
                    <w:tr2bl w:val="nil"/>
                  </w:tcBorders>
                  <w:vAlign w:val="center"/>
                </w:tcPr>
                <w:p w14:paraId="4B9D4CCF">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1</w:t>
                  </w:r>
                </w:p>
              </w:tc>
              <w:tc>
                <w:tcPr>
                  <w:tcW w:w="780" w:type="dxa"/>
                  <w:tcBorders>
                    <w:tl2br w:val="nil"/>
                    <w:tr2bl w:val="nil"/>
                  </w:tcBorders>
                  <w:vAlign w:val="center"/>
                </w:tcPr>
                <w:p w14:paraId="653E8035">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3458" w:type="dxa"/>
                  <w:tcBorders>
                    <w:tl2br w:val="nil"/>
                    <w:tr2bl w:val="nil"/>
                  </w:tcBorders>
                  <w:vAlign w:val="center"/>
                </w:tcPr>
                <w:p w14:paraId="3B68F631">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风机风量：</w:t>
                  </w:r>
                  <w:r>
                    <w:rPr>
                      <w:rFonts w:hint="eastAsia" w:ascii="Times New Roman" w:hAnsi="Times New Roman"/>
                      <w:bCs/>
                      <w:sz w:val="21"/>
                      <w:szCs w:val="21"/>
                      <w:highlight w:val="none"/>
                    </w:rPr>
                    <w:t>3000</w:t>
                  </w:r>
                  <w:r>
                    <w:rPr>
                      <w:rFonts w:ascii="Times New Roman" w:hAnsi="Times New Roman"/>
                      <w:bCs/>
                      <w:sz w:val="21"/>
                      <w:szCs w:val="21"/>
                      <w:highlight w:val="none"/>
                    </w:rPr>
                    <w:t>m</w:t>
                  </w:r>
                  <w:r>
                    <w:rPr>
                      <w:rFonts w:ascii="Times New Roman" w:hAnsi="Times New Roman"/>
                      <w:bCs/>
                      <w:sz w:val="21"/>
                      <w:szCs w:val="21"/>
                      <w:highlight w:val="none"/>
                      <w:vertAlign w:val="superscript"/>
                    </w:rPr>
                    <w:t>3</w:t>
                  </w:r>
                  <w:r>
                    <w:rPr>
                      <w:rFonts w:ascii="Times New Roman" w:hAnsi="Times New Roman"/>
                      <w:bCs/>
                      <w:sz w:val="21"/>
                      <w:szCs w:val="21"/>
                      <w:highlight w:val="none"/>
                    </w:rPr>
                    <w:t>/h</w:t>
                  </w:r>
                </w:p>
              </w:tc>
            </w:tr>
            <w:tr w14:paraId="314E0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2494A1F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w:t>
                  </w:r>
                </w:p>
              </w:tc>
              <w:tc>
                <w:tcPr>
                  <w:tcW w:w="2298" w:type="dxa"/>
                  <w:tcBorders>
                    <w:tl2br w:val="nil"/>
                    <w:tr2bl w:val="nil"/>
                  </w:tcBorders>
                  <w:vAlign w:val="center"/>
                </w:tcPr>
                <w:p w14:paraId="12E1391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静电式油烟净化器+活性炭吸附装置</w:t>
                  </w:r>
                </w:p>
              </w:tc>
              <w:tc>
                <w:tcPr>
                  <w:tcW w:w="735" w:type="dxa"/>
                  <w:tcBorders>
                    <w:tl2br w:val="nil"/>
                    <w:tr2bl w:val="nil"/>
                  </w:tcBorders>
                  <w:vAlign w:val="center"/>
                </w:tcPr>
                <w:p w14:paraId="43F20FCD">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1</w:t>
                  </w:r>
                </w:p>
              </w:tc>
              <w:tc>
                <w:tcPr>
                  <w:tcW w:w="780" w:type="dxa"/>
                  <w:tcBorders>
                    <w:tl2br w:val="nil"/>
                    <w:tr2bl w:val="nil"/>
                  </w:tcBorders>
                  <w:vAlign w:val="center"/>
                </w:tcPr>
                <w:p w14:paraId="4DD34C87">
                  <w:pPr>
                    <w:widowControl/>
                    <w:spacing w:line="340" w:lineRule="exact"/>
                    <w:ind w:firstLine="0" w:firstLineChars="0"/>
                    <w:jc w:val="center"/>
                    <w:rPr>
                      <w:bCs/>
                      <w:sz w:val="21"/>
                      <w:szCs w:val="21"/>
                      <w:highlight w:val="none"/>
                    </w:rPr>
                  </w:pPr>
                  <w:r>
                    <w:rPr>
                      <w:rFonts w:hint="eastAsia"/>
                      <w:bCs/>
                      <w:sz w:val="21"/>
                      <w:szCs w:val="21"/>
                      <w:highlight w:val="none"/>
                    </w:rPr>
                    <w:t>套</w:t>
                  </w:r>
                </w:p>
              </w:tc>
              <w:tc>
                <w:tcPr>
                  <w:tcW w:w="3458" w:type="dxa"/>
                  <w:tcBorders>
                    <w:tl2br w:val="nil"/>
                    <w:tr2bl w:val="nil"/>
                  </w:tcBorders>
                  <w:vAlign w:val="center"/>
                </w:tcPr>
                <w:p w14:paraId="0F7A23BC">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风机风量：</w:t>
                  </w:r>
                  <w:r>
                    <w:rPr>
                      <w:rFonts w:hint="eastAsia" w:ascii="Times New Roman" w:hAnsi="Times New Roman"/>
                      <w:bCs/>
                      <w:sz w:val="21"/>
                      <w:szCs w:val="21"/>
                      <w:highlight w:val="none"/>
                    </w:rPr>
                    <w:t>20000</w:t>
                  </w:r>
                  <w:r>
                    <w:rPr>
                      <w:rFonts w:ascii="Times New Roman" w:hAnsi="Times New Roman"/>
                      <w:bCs/>
                      <w:sz w:val="21"/>
                      <w:szCs w:val="21"/>
                      <w:highlight w:val="none"/>
                    </w:rPr>
                    <w:t>m</w:t>
                  </w:r>
                  <w:r>
                    <w:rPr>
                      <w:rFonts w:ascii="Times New Roman" w:hAnsi="Times New Roman"/>
                      <w:bCs/>
                      <w:sz w:val="21"/>
                      <w:szCs w:val="21"/>
                      <w:highlight w:val="none"/>
                      <w:vertAlign w:val="superscript"/>
                    </w:rPr>
                    <w:t>3</w:t>
                  </w:r>
                  <w:r>
                    <w:rPr>
                      <w:rFonts w:ascii="Times New Roman" w:hAnsi="Times New Roman"/>
                      <w:bCs/>
                      <w:sz w:val="21"/>
                      <w:szCs w:val="21"/>
                      <w:highlight w:val="none"/>
                    </w:rPr>
                    <w:t>/h</w:t>
                  </w:r>
                </w:p>
              </w:tc>
            </w:tr>
            <w:tr w14:paraId="76AAC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551ADF7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3</w:t>
                  </w:r>
                </w:p>
              </w:tc>
              <w:tc>
                <w:tcPr>
                  <w:tcW w:w="2298" w:type="dxa"/>
                  <w:tcBorders>
                    <w:tl2br w:val="nil"/>
                    <w:tr2bl w:val="nil"/>
                  </w:tcBorders>
                  <w:vAlign w:val="center"/>
                </w:tcPr>
                <w:p w14:paraId="1D42DFD3">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环形燃烧器</w:t>
                  </w:r>
                </w:p>
              </w:tc>
              <w:tc>
                <w:tcPr>
                  <w:tcW w:w="735" w:type="dxa"/>
                  <w:tcBorders>
                    <w:tl2br w:val="nil"/>
                    <w:tr2bl w:val="nil"/>
                  </w:tcBorders>
                  <w:vAlign w:val="center"/>
                </w:tcPr>
                <w:p w14:paraId="300CF69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2</w:t>
                  </w:r>
                </w:p>
              </w:tc>
              <w:tc>
                <w:tcPr>
                  <w:tcW w:w="780" w:type="dxa"/>
                  <w:tcBorders>
                    <w:tl2br w:val="nil"/>
                    <w:tr2bl w:val="nil"/>
                  </w:tcBorders>
                  <w:vAlign w:val="center"/>
                </w:tcPr>
                <w:p w14:paraId="4B441989">
                  <w:pPr>
                    <w:widowControl/>
                    <w:spacing w:line="340" w:lineRule="exact"/>
                    <w:ind w:firstLine="0" w:firstLineChars="0"/>
                    <w:jc w:val="center"/>
                    <w:rPr>
                      <w:bCs/>
                      <w:sz w:val="21"/>
                      <w:szCs w:val="21"/>
                      <w:highlight w:val="none"/>
                    </w:rPr>
                  </w:pPr>
                  <w:r>
                    <w:rPr>
                      <w:rFonts w:hint="eastAsia"/>
                      <w:bCs/>
                      <w:sz w:val="21"/>
                      <w:szCs w:val="21"/>
                      <w:highlight w:val="none"/>
                    </w:rPr>
                    <w:t>套</w:t>
                  </w:r>
                </w:p>
              </w:tc>
              <w:tc>
                <w:tcPr>
                  <w:tcW w:w="3458" w:type="dxa"/>
                  <w:tcBorders>
                    <w:tl2br w:val="nil"/>
                    <w:tr2bl w:val="nil"/>
                  </w:tcBorders>
                  <w:vAlign w:val="center"/>
                </w:tcPr>
                <w:p w14:paraId="6F25F67E">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渗碳多用炉自带，丙烷助燃，用于处理热处理过程中渗碳产生的废气</w:t>
                  </w:r>
                </w:p>
              </w:tc>
            </w:tr>
            <w:tr w14:paraId="120EF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2C80A577">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4</w:t>
                  </w:r>
                </w:p>
              </w:tc>
              <w:tc>
                <w:tcPr>
                  <w:tcW w:w="2298" w:type="dxa"/>
                  <w:tcBorders>
                    <w:tl2br w:val="nil"/>
                    <w:tr2bl w:val="nil"/>
                  </w:tcBorders>
                  <w:vAlign w:val="center"/>
                </w:tcPr>
                <w:p w14:paraId="4E3D8496">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工业用油烟净化器</w:t>
                  </w:r>
                </w:p>
              </w:tc>
              <w:tc>
                <w:tcPr>
                  <w:tcW w:w="735" w:type="dxa"/>
                  <w:tcBorders>
                    <w:tl2br w:val="nil"/>
                    <w:tr2bl w:val="nil"/>
                  </w:tcBorders>
                  <w:vAlign w:val="center"/>
                </w:tcPr>
                <w:p w14:paraId="423D49F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4</w:t>
                  </w:r>
                </w:p>
              </w:tc>
              <w:tc>
                <w:tcPr>
                  <w:tcW w:w="780" w:type="dxa"/>
                  <w:tcBorders>
                    <w:tl2br w:val="nil"/>
                    <w:tr2bl w:val="nil"/>
                  </w:tcBorders>
                  <w:vAlign w:val="center"/>
                </w:tcPr>
                <w:p w14:paraId="58BA014B">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3458" w:type="dxa"/>
                  <w:tcBorders>
                    <w:tl2br w:val="nil"/>
                    <w:tr2bl w:val="nil"/>
                  </w:tcBorders>
                  <w:vAlign w:val="center"/>
                </w:tcPr>
                <w:p w14:paraId="6E6137DF">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处理数控滚齿机（高速运转）产生的油雾，</w:t>
                  </w:r>
                  <w:r>
                    <w:rPr>
                      <w:rFonts w:ascii="Times New Roman" w:hAnsi="Times New Roman"/>
                      <w:bCs/>
                      <w:sz w:val="21"/>
                      <w:szCs w:val="21"/>
                      <w:highlight w:val="none"/>
                    </w:rPr>
                    <w:t>风机风量：</w:t>
                  </w:r>
                  <w:r>
                    <w:rPr>
                      <w:rFonts w:hint="eastAsia" w:ascii="Times New Roman" w:hAnsi="Times New Roman"/>
                      <w:bCs/>
                      <w:sz w:val="21"/>
                      <w:szCs w:val="21"/>
                      <w:highlight w:val="none"/>
                    </w:rPr>
                    <w:t>1900</w:t>
                  </w:r>
                  <w:r>
                    <w:rPr>
                      <w:rFonts w:ascii="Times New Roman" w:hAnsi="Times New Roman"/>
                      <w:bCs/>
                      <w:sz w:val="21"/>
                      <w:szCs w:val="21"/>
                      <w:highlight w:val="none"/>
                    </w:rPr>
                    <w:t>m</w:t>
                  </w:r>
                  <w:r>
                    <w:rPr>
                      <w:rFonts w:ascii="Times New Roman" w:hAnsi="Times New Roman"/>
                      <w:bCs/>
                      <w:sz w:val="21"/>
                      <w:szCs w:val="21"/>
                      <w:highlight w:val="none"/>
                      <w:vertAlign w:val="superscript"/>
                    </w:rPr>
                    <w:t>3</w:t>
                  </w:r>
                  <w:r>
                    <w:rPr>
                      <w:rFonts w:ascii="Times New Roman" w:hAnsi="Times New Roman"/>
                      <w:bCs/>
                      <w:sz w:val="21"/>
                      <w:szCs w:val="21"/>
                      <w:highlight w:val="none"/>
                    </w:rPr>
                    <w:t>/h</w:t>
                  </w:r>
                </w:p>
              </w:tc>
            </w:tr>
            <w:tr w14:paraId="57507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1F839FE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5</w:t>
                  </w:r>
                </w:p>
              </w:tc>
              <w:tc>
                <w:tcPr>
                  <w:tcW w:w="2298" w:type="dxa"/>
                  <w:tcBorders>
                    <w:tl2br w:val="nil"/>
                    <w:tr2bl w:val="nil"/>
                  </w:tcBorders>
                  <w:vAlign w:val="center"/>
                </w:tcPr>
                <w:p w14:paraId="523C87E7">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甩干机</w:t>
                  </w:r>
                </w:p>
              </w:tc>
              <w:tc>
                <w:tcPr>
                  <w:tcW w:w="735" w:type="dxa"/>
                  <w:tcBorders>
                    <w:tl2br w:val="nil"/>
                    <w:tr2bl w:val="nil"/>
                  </w:tcBorders>
                  <w:vAlign w:val="center"/>
                </w:tcPr>
                <w:p w14:paraId="093356E5">
                  <w:pPr>
                    <w:pStyle w:val="40"/>
                    <w:spacing w:line="340" w:lineRule="exact"/>
                    <w:ind w:firstLine="0" w:firstLineChars="0"/>
                    <w:jc w:val="center"/>
                    <w:rPr>
                      <w:rFonts w:ascii="Times New Roman" w:hAnsi="Times New Roman"/>
                      <w:bCs/>
                      <w:sz w:val="21"/>
                      <w:szCs w:val="21"/>
                      <w:highlight w:val="none"/>
                    </w:rPr>
                  </w:pPr>
                  <w:r>
                    <w:rPr>
                      <w:rFonts w:ascii="Times New Roman" w:hAnsi="Times New Roman"/>
                      <w:bCs/>
                      <w:sz w:val="21"/>
                      <w:szCs w:val="21"/>
                      <w:highlight w:val="none"/>
                    </w:rPr>
                    <w:t>1</w:t>
                  </w:r>
                </w:p>
              </w:tc>
              <w:tc>
                <w:tcPr>
                  <w:tcW w:w="780" w:type="dxa"/>
                  <w:tcBorders>
                    <w:tl2br w:val="nil"/>
                    <w:tr2bl w:val="nil"/>
                  </w:tcBorders>
                  <w:vAlign w:val="center"/>
                </w:tcPr>
                <w:p w14:paraId="09C94EF7">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3458" w:type="dxa"/>
                  <w:tcBorders>
                    <w:tl2br w:val="nil"/>
                    <w:tr2bl w:val="nil"/>
                  </w:tcBorders>
                  <w:vAlign w:val="center"/>
                </w:tcPr>
                <w:p w14:paraId="467E35C5">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用于甩出含油铁屑内废油</w:t>
                  </w:r>
                </w:p>
              </w:tc>
            </w:tr>
            <w:tr w14:paraId="0067A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4C163454">
                  <w:pPr>
                    <w:pStyle w:val="40"/>
                    <w:spacing w:line="340" w:lineRule="exact"/>
                    <w:ind w:firstLine="0" w:firstLineChars="0"/>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bCs/>
                      <w:sz w:val="21"/>
                      <w:szCs w:val="21"/>
                      <w:highlight w:val="none"/>
                    </w:rPr>
                    <w:t>6</w:t>
                  </w:r>
                </w:p>
              </w:tc>
              <w:tc>
                <w:tcPr>
                  <w:tcW w:w="2298" w:type="dxa"/>
                  <w:tcBorders>
                    <w:tl2br w:val="nil"/>
                    <w:tr2bl w:val="nil"/>
                  </w:tcBorders>
                  <w:vAlign w:val="center"/>
                </w:tcPr>
                <w:p w14:paraId="640D0757">
                  <w:pPr>
                    <w:pStyle w:val="40"/>
                    <w:spacing w:line="340" w:lineRule="exact"/>
                    <w:ind w:firstLine="0" w:firstLineChars="0"/>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bCs/>
                      <w:sz w:val="21"/>
                      <w:szCs w:val="21"/>
                      <w:highlight w:val="none"/>
                    </w:rPr>
                    <w:t>油烟净化器（食堂）</w:t>
                  </w:r>
                </w:p>
              </w:tc>
              <w:tc>
                <w:tcPr>
                  <w:tcW w:w="735" w:type="dxa"/>
                  <w:tcBorders>
                    <w:tl2br w:val="nil"/>
                    <w:tr2bl w:val="nil"/>
                  </w:tcBorders>
                  <w:vAlign w:val="center"/>
                </w:tcPr>
                <w:p w14:paraId="50937FBC">
                  <w:pPr>
                    <w:pStyle w:val="40"/>
                    <w:spacing w:line="340" w:lineRule="exact"/>
                    <w:ind w:firstLine="0" w:firstLineChars="0"/>
                    <w:jc w:val="center"/>
                    <w:rPr>
                      <w:rFonts w:ascii="Times New Roman" w:hAnsi="Times New Roman" w:eastAsia="宋体" w:cs="Times New Roman"/>
                      <w:bCs/>
                      <w:kern w:val="2"/>
                      <w:sz w:val="21"/>
                      <w:szCs w:val="21"/>
                      <w:highlight w:val="none"/>
                      <w:lang w:val="en-US" w:eastAsia="zh-CN" w:bidi="ar-SA"/>
                    </w:rPr>
                  </w:pPr>
                  <w:r>
                    <w:rPr>
                      <w:rFonts w:ascii="Times New Roman" w:hAnsi="Times New Roman"/>
                      <w:bCs/>
                      <w:sz w:val="21"/>
                      <w:szCs w:val="21"/>
                      <w:highlight w:val="none"/>
                    </w:rPr>
                    <w:t>1</w:t>
                  </w:r>
                </w:p>
              </w:tc>
              <w:tc>
                <w:tcPr>
                  <w:tcW w:w="780" w:type="dxa"/>
                  <w:tcBorders>
                    <w:tl2br w:val="nil"/>
                    <w:tr2bl w:val="nil"/>
                  </w:tcBorders>
                  <w:vAlign w:val="center"/>
                </w:tcPr>
                <w:p w14:paraId="47C0257B">
                  <w:pPr>
                    <w:widowControl/>
                    <w:spacing w:line="340" w:lineRule="exact"/>
                    <w:ind w:firstLine="0" w:firstLineChars="0"/>
                    <w:jc w:val="center"/>
                    <w:rPr>
                      <w:rFonts w:hint="eastAsia" w:ascii="Times New Roman" w:hAnsi="Times New Roman" w:eastAsia="宋体" w:cs="Times New Roman"/>
                      <w:bCs/>
                      <w:kern w:val="2"/>
                      <w:sz w:val="21"/>
                      <w:szCs w:val="21"/>
                      <w:highlight w:val="none"/>
                      <w:lang w:val="en-US" w:eastAsia="zh-CN" w:bidi="ar-SA"/>
                    </w:rPr>
                  </w:pPr>
                  <w:r>
                    <w:rPr>
                      <w:rFonts w:hint="eastAsia"/>
                      <w:bCs/>
                      <w:sz w:val="21"/>
                      <w:szCs w:val="21"/>
                      <w:highlight w:val="none"/>
                    </w:rPr>
                    <w:t>台</w:t>
                  </w:r>
                </w:p>
              </w:tc>
              <w:tc>
                <w:tcPr>
                  <w:tcW w:w="3458" w:type="dxa"/>
                  <w:tcBorders>
                    <w:tl2br w:val="nil"/>
                    <w:tr2bl w:val="nil"/>
                  </w:tcBorders>
                  <w:vAlign w:val="center"/>
                </w:tcPr>
                <w:p w14:paraId="10730380">
                  <w:pPr>
                    <w:pStyle w:val="40"/>
                    <w:spacing w:line="340" w:lineRule="exact"/>
                    <w:ind w:firstLine="0" w:firstLineChars="0"/>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bCs/>
                      <w:sz w:val="21"/>
                      <w:szCs w:val="21"/>
                      <w:highlight w:val="none"/>
                    </w:rPr>
                    <w:t>处理食堂</w:t>
                  </w:r>
                  <w:r>
                    <w:rPr>
                      <w:rFonts w:hint="eastAsia" w:ascii="Times New Roman" w:hAnsi="Times New Roman"/>
                      <w:bCs/>
                      <w:sz w:val="21"/>
                      <w:szCs w:val="21"/>
                      <w:highlight w:val="none"/>
                      <w:lang w:val="en-US" w:eastAsia="zh-CN"/>
                    </w:rPr>
                    <w:t>废气</w:t>
                  </w:r>
                </w:p>
              </w:tc>
            </w:tr>
            <w:tr w14:paraId="7FF6D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5D0DDE9C">
                  <w:pPr>
                    <w:pStyle w:val="40"/>
                    <w:spacing w:line="340" w:lineRule="exact"/>
                    <w:ind w:firstLine="0" w:firstLineChars="0"/>
                    <w:jc w:val="center"/>
                    <w:rPr>
                      <w:rFonts w:ascii="Times New Roman" w:hAnsi="Times New Roman" w:eastAsia="宋体" w:cs="Times New Roman"/>
                      <w:bCs/>
                      <w:kern w:val="2"/>
                      <w:sz w:val="21"/>
                      <w:szCs w:val="21"/>
                      <w:highlight w:val="none"/>
                      <w:lang w:val="en-US" w:eastAsia="zh-CN" w:bidi="ar-SA"/>
                    </w:rPr>
                  </w:pPr>
                  <w:r>
                    <w:rPr>
                      <w:rFonts w:hint="eastAsia" w:ascii="Times New Roman" w:hAnsi="Times New Roman"/>
                      <w:bCs/>
                      <w:sz w:val="21"/>
                      <w:szCs w:val="21"/>
                      <w:highlight w:val="none"/>
                    </w:rPr>
                    <w:t>7</w:t>
                  </w:r>
                </w:p>
              </w:tc>
              <w:tc>
                <w:tcPr>
                  <w:tcW w:w="2298" w:type="dxa"/>
                  <w:tcBorders>
                    <w:tl2br w:val="nil"/>
                    <w:tr2bl w:val="nil"/>
                  </w:tcBorders>
                  <w:vAlign w:val="center"/>
                </w:tcPr>
                <w:p w14:paraId="45DC2D71">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油水分离器</w:t>
                  </w:r>
                </w:p>
              </w:tc>
              <w:tc>
                <w:tcPr>
                  <w:tcW w:w="735" w:type="dxa"/>
                  <w:tcBorders>
                    <w:tl2br w:val="nil"/>
                    <w:tr2bl w:val="nil"/>
                  </w:tcBorders>
                  <w:vAlign w:val="center"/>
                </w:tcPr>
                <w:p w14:paraId="50FD08E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w:t>
                  </w:r>
                </w:p>
              </w:tc>
              <w:tc>
                <w:tcPr>
                  <w:tcW w:w="780" w:type="dxa"/>
                  <w:tcBorders>
                    <w:tl2br w:val="nil"/>
                    <w:tr2bl w:val="nil"/>
                  </w:tcBorders>
                  <w:vAlign w:val="center"/>
                </w:tcPr>
                <w:p w14:paraId="1B92BBC2">
                  <w:pPr>
                    <w:widowControl/>
                    <w:spacing w:line="340" w:lineRule="exact"/>
                    <w:ind w:firstLine="0" w:firstLineChars="0"/>
                    <w:jc w:val="center"/>
                    <w:rPr>
                      <w:bCs/>
                      <w:sz w:val="21"/>
                      <w:szCs w:val="21"/>
                      <w:highlight w:val="none"/>
                    </w:rPr>
                  </w:pPr>
                  <w:r>
                    <w:rPr>
                      <w:rFonts w:hint="eastAsia"/>
                      <w:bCs/>
                      <w:sz w:val="21"/>
                      <w:szCs w:val="21"/>
                      <w:highlight w:val="none"/>
                    </w:rPr>
                    <w:t>台</w:t>
                  </w:r>
                </w:p>
              </w:tc>
              <w:tc>
                <w:tcPr>
                  <w:tcW w:w="3458" w:type="dxa"/>
                  <w:tcBorders>
                    <w:tl2br w:val="nil"/>
                    <w:tr2bl w:val="nil"/>
                  </w:tcBorders>
                  <w:vAlign w:val="center"/>
                </w:tcPr>
                <w:p w14:paraId="4374B5CB">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清洗机（热处理）自带，处理清洗用水</w:t>
                  </w:r>
                  <w:r>
                    <w:rPr>
                      <w:rFonts w:hint="eastAsia" w:ascii="Times New Roman" w:hAnsi="Times New Roman"/>
                      <w:bCs/>
                      <w:sz w:val="21"/>
                      <w:szCs w:val="21"/>
                      <w:highlight w:val="none"/>
                      <w:lang w:eastAsia="zh-CN"/>
                    </w:rPr>
                    <w:t>上层</w:t>
                  </w:r>
                  <w:r>
                    <w:rPr>
                      <w:rFonts w:hint="eastAsia" w:ascii="Times New Roman" w:hAnsi="Times New Roman"/>
                      <w:bCs/>
                      <w:sz w:val="21"/>
                      <w:szCs w:val="21"/>
                      <w:highlight w:val="none"/>
                    </w:rPr>
                    <w:t>的油污</w:t>
                  </w:r>
                </w:p>
              </w:tc>
            </w:tr>
            <w:tr w14:paraId="2DA32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4220095B">
                  <w:pPr>
                    <w:pStyle w:val="40"/>
                    <w:spacing w:line="340" w:lineRule="exact"/>
                    <w:ind w:firstLine="0" w:firstLineChars="0"/>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bCs/>
                      <w:sz w:val="21"/>
                      <w:szCs w:val="21"/>
                      <w:highlight w:val="none"/>
                      <w:lang w:val="en-US" w:eastAsia="zh-CN"/>
                    </w:rPr>
                    <w:t>8</w:t>
                  </w:r>
                </w:p>
              </w:tc>
              <w:tc>
                <w:tcPr>
                  <w:tcW w:w="2298" w:type="dxa"/>
                  <w:tcBorders>
                    <w:tl2br w:val="nil"/>
                    <w:tr2bl w:val="nil"/>
                  </w:tcBorders>
                  <w:vAlign w:val="center"/>
                </w:tcPr>
                <w:p w14:paraId="287A2840">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lang w:eastAsia="zh-CN"/>
                    </w:rPr>
                    <w:t>污水处理设施</w:t>
                  </w:r>
                </w:p>
              </w:tc>
              <w:tc>
                <w:tcPr>
                  <w:tcW w:w="735" w:type="dxa"/>
                  <w:tcBorders>
                    <w:tl2br w:val="nil"/>
                    <w:tr2bl w:val="nil"/>
                  </w:tcBorders>
                  <w:vAlign w:val="center"/>
                </w:tcPr>
                <w:p w14:paraId="0C9037FA">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1</w:t>
                  </w:r>
                </w:p>
              </w:tc>
              <w:tc>
                <w:tcPr>
                  <w:tcW w:w="780" w:type="dxa"/>
                  <w:tcBorders>
                    <w:tl2br w:val="nil"/>
                    <w:tr2bl w:val="nil"/>
                  </w:tcBorders>
                  <w:vAlign w:val="center"/>
                </w:tcPr>
                <w:p w14:paraId="690E9579">
                  <w:pPr>
                    <w:widowControl/>
                    <w:spacing w:line="340" w:lineRule="exact"/>
                    <w:ind w:firstLine="0" w:firstLineChars="0"/>
                    <w:jc w:val="center"/>
                    <w:rPr>
                      <w:bCs/>
                      <w:sz w:val="21"/>
                      <w:szCs w:val="21"/>
                      <w:highlight w:val="none"/>
                    </w:rPr>
                  </w:pPr>
                  <w:r>
                    <w:rPr>
                      <w:rFonts w:hint="eastAsia"/>
                      <w:bCs/>
                      <w:sz w:val="21"/>
                      <w:szCs w:val="21"/>
                      <w:highlight w:val="none"/>
                      <w:lang w:eastAsia="zh-CN"/>
                    </w:rPr>
                    <w:t>套</w:t>
                  </w:r>
                </w:p>
              </w:tc>
              <w:tc>
                <w:tcPr>
                  <w:tcW w:w="3458" w:type="dxa"/>
                  <w:tcBorders>
                    <w:tl2br w:val="nil"/>
                    <w:tr2bl w:val="nil"/>
                  </w:tcBorders>
                  <w:vAlign w:val="center"/>
                </w:tcPr>
                <w:p w14:paraId="69CE9687">
                  <w:pPr>
                    <w:pStyle w:val="40"/>
                    <w:spacing w:line="340" w:lineRule="exact"/>
                    <w:ind w:firstLine="0" w:firstLineChars="0"/>
                    <w:jc w:val="center"/>
                    <w:rPr>
                      <w:rFonts w:ascii="Times New Roman" w:hAnsi="Times New Roman"/>
                      <w:bCs/>
                      <w:sz w:val="21"/>
                      <w:szCs w:val="21"/>
                      <w:highlight w:val="none"/>
                    </w:rPr>
                  </w:pPr>
                  <w:r>
                    <w:rPr>
                      <w:rFonts w:hint="eastAsia" w:ascii="Times New Roman" w:hAnsi="Times New Roman"/>
                      <w:bCs/>
                      <w:sz w:val="21"/>
                      <w:szCs w:val="21"/>
                      <w:highlight w:val="none"/>
                    </w:rPr>
                    <w:t>处理</w:t>
                  </w:r>
                  <w:r>
                    <w:rPr>
                      <w:rFonts w:hint="eastAsia" w:ascii="Times New Roman" w:hAnsi="Times New Roman"/>
                      <w:bCs/>
                      <w:sz w:val="21"/>
                      <w:szCs w:val="21"/>
                      <w:highlight w:val="none"/>
                      <w:lang w:eastAsia="zh-CN"/>
                    </w:rPr>
                    <w:t>清洗机清理</w:t>
                  </w:r>
                  <w:r>
                    <w:rPr>
                      <w:rFonts w:hint="eastAsia" w:ascii="Times New Roman" w:hAnsi="Times New Roman"/>
                      <w:bCs/>
                      <w:sz w:val="21"/>
                      <w:szCs w:val="21"/>
                      <w:highlight w:val="none"/>
                    </w:rPr>
                    <w:t>废水</w:t>
                  </w:r>
                </w:p>
              </w:tc>
            </w:tr>
            <w:tr w14:paraId="4FBE5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tl2br w:val="nil"/>
                    <w:tr2bl w:val="nil"/>
                  </w:tcBorders>
                  <w:vAlign w:val="center"/>
                </w:tcPr>
                <w:p w14:paraId="6E8181A3">
                  <w:pPr>
                    <w:pStyle w:val="40"/>
                    <w:spacing w:line="340" w:lineRule="exact"/>
                    <w:ind w:firstLine="0" w:firstLineChars="0"/>
                    <w:jc w:val="center"/>
                    <w:rPr>
                      <w:rFonts w:hint="eastAsia" w:ascii="Times New Roman" w:hAnsi="Times New Roman" w:eastAsia="宋体"/>
                      <w:bCs/>
                      <w:sz w:val="21"/>
                      <w:szCs w:val="21"/>
                      <w:highlight w:val="none"/>
                      <w:lang w:val="en-US" w:eastAsia="zh-CN"/>
                    </w:rPr>
                  </w:pPr>
                  <w:r>
                    <w:rPr>
                      <w:rFonts w:hint="eastAsia" w:ascii="Times New Roman" w:hAnsi="Times New Roman"/>
                      <w:bCs/>
                      <w:sz w:val="21"/>
                      <w:szCs w:val="21"/>
                      <w:highlight w:val="none"/>
                      <w:lang w:val="en-US" w:eastAsia="zh-CN"/>
                    </w:rPr>
                    <w:t>9</w:t>
                  </w:r>
                </w:p>
              </w:tc>
              <w:tc>
                <w:tcPr>
                  <w:tcW w:w="2298" w:type="dxa"/>
                  <w:tcBorders>
                    <w:tl2br w:val="nil"/>
                    <w:tr2bl w:val="nil"/>
                  </w:tcBorders>
                  <w:vAlign w:val="center"/>
                </w:tcPr>
                <w:p w14:paraId="47845F78">
                  <w:pPr>
                    <w:pStyle w:val="40"/>
                    <w:spacing w:line="340" w:lineRule="exact"/>
                    <w:ind w:firstLine="0" w:firstLineChars="0"/>
                    <w:jc w:val="center"/>
                    <w:rPr>
                      <w:rFonts w:hint="eastAsia" w:ascii="Times New Roman" w:hAnsi="Times New Roman"/>
                      <w:bCs/>
                      <w:sz w:val="21"/>
                      <w:szCs w:val="21"/>
                      <w:highlight w:val="none"/>
                      <w:lang w:eastAsia="zh-CN"/>
                    </w:rPr>
                  </w:pPr>
                  <w:r>
                    <w:rPr>
                      <w:rFonts w:hint="eastAsia" w:ascii="Times New Roman" w:hAnsi="Times New Roman"/>
                      <w:bCs/>
                      <w:sz w:val="21"/>
                      <w:szCs w:val="21"/>
                      <w:highlight w:val="none"/>
                      <w:lang w:eastAsia="zh-CN"/>
                    </w:rPr>
                    <w:t>隔油池</w:t>
                  </w:r>
                </w:p>
              </w:tc>
              <w:tc>
                <w:tcPr>
                  <w:tcW w:w="735" w:type="dxa"/>
                  <w:tcBorders>
                    <w:tl2br w:val="nil"/>
                    <w:tr2bl w:val="nil"/>
                  </w:tcBorders>
                  <w:vAlign w:val="center"/>
                </w:tcPr>
                <w:p w14:paraId="097B9B5D">
                  <w:pPr>
                    <w:pStyle w:val="40"/>
                    <w:spacing w:line="340" w:lineRule="exact"/>
                    <w:ind w:firstLine="0" w:firstLineChars="0"/>
                    <w:jc w:val="center"/>
                    <w:rPr>
                      <w:rFonts w:hint="eastAsia" w:ascii="Times New Roman" w:hAnsi="Times New Roman" w:eastAsia="宋体"/>
                      <w:bCs/>
                      <w:sz w:val="21"/>
                      <w:szCs w:val="21"/>
                      <w:highlight w:val="none"/>
                      <w:lang w:val="en-US" w:eastAsia="zh-CN"/>
                    </w:rPr>
                  </w:pPr>
                  <w:r>
                    <w:rPr>
                      <w:rFonts w:hint="eastAsia" w:ascii="Times New Roman" w:hAnsi="Times New Roman"/>
                      <w:bCs/>
                      <w:sz w:val="21"/>
                      <w:szCs w:val="21"/>
                      <w:highlight w:val="none"/>
                      <w:lang w:val="en-US" w:eastAsia="zh-CN"/>
                    </w:rPr>
                    <w:t>1</w:t>
                  </w:r>
                </w:p>
              </w:tc>
              <w:tc>
                <w:tcPr>
                  <w:tcW w:w="780" w:type="dxa"/>
                  <w:tcBorders>
                    <w:tl2br w:val="nil"/>
                    <w:tr2bl w:val="nil"/>
                  </w:tcBorders>
                  <w:vAlign w:val="center"/>
                </w:tcPr>
                <w:p w14:paraId="6977733B">
                  <w:pPr>
                    <w:widowControl/>
                    <w:spacing w:line="340" w:lineRule="exact"/>
                    <w:ind w:firstLine="0" w:firstLineChars="0"/>
                    <w:jc w:val="center"/>
                    <w:rPr>
                      <w:rFonts w:hint="eastAsia"/>
                      <w:bCs/>
                      <w:sz w:val="21"/>
                      <w:szCs w:val="21"/>
                      <w:highlight w:val="none"/>
                      <w:lang w:eastAsia="zh-CN"/>
                    </w:rPr>
                  </w:pPr>
                  <w:r>
                    <w:rPr>
                      <w:rFonts w:hint="eastAsia"/>
                      <w:bCs/>
                      <w:sz w:val="21"/>
                      <w:szCs w:val="21"/>
                      <w:highlight w:val="none"/>
                      <w:lang w:eastAsia="zh-CN"/>
                    </w:rPr>
                    <w:t>座</w:t>
                  </w:r>
                </w:p>
              </w:tc>
              <w:tc>
                <w:tcPr>
                  <w:tcW w:w="3458" w:type="dxa"/>
                  <w:tcBorders>
                    <w:tl2br w:val="nil"/>
                    <w:tr2bl w:val="nil"/>
                  </w:tcBorders>
                  <w:vAlign w:val="center"/>
                </w:tcPr>
                <w:p w14:paraId="4AE24C99">
                  <w:pPr>
                    <w:pStyle w:val="40"/>
                    <w:spacing w:line="340" w:lineRule="exact"/>
                    <w:ind w:firstLine="0" w:firstLineChars="0"/>
                    <w:jc w:val="center"/>
                    <w:rPr>
                      <w:rFonts w:hint="eastAsia" w:ascii="Times New Roman" w:hAnsi="Times New Roman" w:eastAsia="宋体"/>
                      <w:bCs/>
                      <w:sz w:val="21"/>
                      <w:szCs w:val="21"/>
                      <w:highlight w:val="none"/>
                      <w:lang w:eastAsia="zh-CN"/>
                    </w:rPr>
                  </w:pPr>
                  <w:r>
                    <w:rPr>
                      <w:rFonts w:hint="eastAsia" w:ascii="Times New Roman" w:hAnsi="Times New Roman"/>
                      <w:bCs/>
                      <w:sz w:val="21"/>
                      <w:szCs w:val="21"/>
                      <w:highlight w:val="none"/>
                      <w:lang w:eastAsia="zh-CN"/>
                    </w:rPr>
                    <w:t>处理食堂废水</w:t>
                  </w:r>
                </w:p>
              </w:tc>
            </w:tr>
          </w:tbl>
          <w:p w14:paraId="242EA7E4">
            <w:pPr>
              <w:ind w:firstLine="480"/>
              <w:rPr>
                <w:highlight w:val="none"/>
              </w:rPr>
            </w:pPr>
            <w:r>
              <w:rPr>
                <w:rFonts w:hint="eastAsia"/>
                <w:highlight w:val="none"/>
              </w:rPr>
              <w:t>10、</w:t>
            </w:r>
            <w:r>
              <w:rPr>
                <w:highlight w:val="none"/>
              </w:rPr>
              <w:t>工作制度及定员：</w:t>
            </w:r>
            <w:r>
              <w:rPr>
                <w:color w:val="000000" w:themeColor="text1"/>
                <w:highlight w:val="none"/>
                <w14:textFill>
                  <w14:solidFill>
                    <w14:schemeClr w14:val="tx1"/>
                  </w14:solidFill>
                </w14:textFill>
              </w:rPr>
              <w:t>项目年工作</w:t>
            </w:r>
            <w:r>
              <w:rPr>
                <w:rFonts w:hint="eastAsia"/>
                <w:color w:val="000000" w:themeColor="text1"/>
                <w:highlight w:val="none"/>
                <w14:textFill>
                  <w14:solidFill>
                    <w14:schemeClr w14:val="tx1"/>
                  </w14:solidFill>
                </w14:textFill>
              </w:rPr>
              <w:t>300</w:t>
            </w:r>
            <w:r>
              <w:rPr>
                <w:color w:val="000000" w:themeColor="text1"/>
                <w:highlight w:val="none"/>
                <w14:textFill>
                  <w14:solidFill>
                    <w14:schemeClr w14:val="tx1"/>
                  </w14:solidFill>
                </w14:textFill>
              </w:rPr>
              <w:t>天，每天</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班，</w:t>
            </w:r>
            <w:r>
              <w:rPr>
                <w:rFonts w:hint="eastAsia"/>
                <w:color w:val="000000" w:themeColor="text1"/>
                <w:highlight w:val="none"/>
                <w14:textFill>
                  <w14:solidFill>
                    <w14:schemeClr w14:val="tx1"/>
                  </w14:solidFill>
                </w14:textFill>
              </w:rPr>
              <w:t>热处理工序员工每班12h，其他工序员工</w:t>
            </w:r>
            <w:r>
              <w:rPr>
                <w:color w:val="000000" w:themeColor="text1"/>
                <w:highlight w:val="none"/>
                <w14:textFill>
                  <w14:solidFill>
                    <w14:schemeClr w14:val="tx1"/>
                  </w14:solidFill>
                </w14:textFill>
              </w:rPr>
              <w:t>每班</w:t>
            </w:r>
            <w:r>
              <w:rPr>
                <w:rFonts w:hint="eastAsia"/>
                <w:color w:val="000000" w:themeColor="text1"/>
                <w:highlight w:val="none"/>
                <w14:textFill>
                  <w14:solidFill>
                    <w14:schemeClr w14:val="tx1"/>
                  </w14:solidFill>
                </w14:textFill>
              </w:rPr>
              <w:t>8h，蓄热式电锅炉供热为120天</w:t>
            </w:r>
            <w:r>
              <w:rPr>
                <w:color w:val="000000" w:themeColor="text1"/>
                <w:highlight w:val="none"/>
                <w14:textFill>
                  <w14:solidFill>
                    <w14:schemeClr w14:val="tx1"/>
                  </w14:solidFill>
                </w14:textFill>
              </w:rPr>
              <w:t>。劳动定员</w:t>
            </w:r>
            <w:r>
              <w:rPr>
                <w:rFonts w:hint="eastAsia"/>
                <w:color w:val="000000" w:themeColor="text1"/>
                <w:highlight w:val="none"/>
                <w14:textFill>
                  <w14:solidFill>
                    <w14:schemeClr w14:val="tx1"/>
                  </w14:solidFill>
                </w14:textFill>
              </w:rPr>
              <w:t>80人</w:t>
            </w:r>
            <w:r>
              <w:rPr>
                <w:color w:val="000000" w:themeColor="text1"/>
                <w:highlight w:val="none"/>
                <w14:textFill>
                  <w14:solidFill>
                    <w14:schemeClr w14:val="tx1"/>
                  </w14:solidFill>
                </w14:textFill>
              </w:rPr>
              <w:t>。</w:t>
            </w:r>
          </w:p>
          <w:p w14:paraId="560CE021">
            <w:pPr>
              <w:ind w:firstLine="480"/>
              <w:rPr>
                <w:highlight w:val="none"/>
              </w:rPr>
            </w:pPr>
            <w:r>
              <w:rPr>
                <w:rFonts w:hint="eastAsia"/>
                <w:highlight w:val="none"/>
              </w:rPr>
              <w:t>11、公共工程</w:t>
            </w:r>
          </w:p>
          <w:p w14:paraId="437EA052">
            <w:pPr>
              <w:ind w:firstLine="480"/>
              <w:rPr>
                <w:highlight w:val="none"/>
              </w:rPr>
            </w:pPr>
            <w:r>
              <w:rPr>
                <w:rFonts w:hint="eastAsia"/>
                <w:highlight w:val="none"/>
              </w:rPr>
              <w:t>（1）给水</w:t>
            </w:r>
            <w:r>
              <w:rPr>
                <w:highlight w:val="none"/>
              </w:rPr>
              <w:t>：本项</w:t>
            </w:r>
            <w:r>
              <w:rPr>
                <w:rFonts w:hint="eastAsia"/>
                <w:highlight w:val="none"/>
              </w:rPr>
              <w:t>目营运期用水主要为生产用水、2台蓄热式电锅炉用水、职工生活用水（包括</w:t>
            </w:r>
            <w:r>
              <w:rPr>
                <w:highlight w:val="none"/>
              </w:rPr>
              <w:t>食堂</w:t>
            </w:r>
            <w:r>
              <w:rPr>
                <w:rFonts w:hint="eastAsia"/>
                <w:highlight w:val="none"/>
              </w:rPr>
              <w:t>用水</w:t>
            </w:r>
            <w:r>
              <w:rPr>
                <w:highlight w:val="none"/>
              </w:rPr>
              <w:t>、</w:t>
            </w:r>
            <w:r>
              <w:rPr>
                <w:rFonts w:hint="eastAsia"/>
                <w:highlight w:val="none"/>
                <w:lang w:eastAsia="zh-CN"/>
              </w:rPr>
              <w:t>淋浴、盥洗、冲厕等</w:t>
            </w:r>
            <w:r>
              <w:rPr>
                <w:rFonts w:hint="eastAsia"/>
                <w:highlight w:val="none"/>
              </w:rPr>
              <w:t>），总用水量8.</w:t>
            </w:r>
            <w:r>
              <w:rPr>
                <w:rFonts w:hint="eastAsia"/>
                <w:highlight w:val="none"/>
                <w:lang w:val="en-US" w:eastAsia="zh-CN"/>
              </w:rPr>
              <w:t>0</w:t>
            </w:r>
            <w:r>
              <w:rPr>
                <w:rFonts w:hint="eastAsia"/>
                <w:highlight w:val="none"/>
              </w:rPr>
              <w:t>12m</w:t>
            </w:r>
            <w:r>
              <w:rPr>
                <w:rFonts w:hint="eastAsia"/>
                <w:highlight w:val="none"/>
                <w:vertAlign w:val="superscript"/>
              </w:rPr>
              <w:t>3</w:t>
            </w:r>
            <w:r>
              <w:rPr>
                <w:rFonts w:hint="eastAsia"/>
                <w:highlight w:val="none"/>
              </w:rPr>
              <w:t>/d（24</w:t>
            </w:r>
            <w:r>
              <w:rPr>
                <w:rFonts w:hint="eastAsia"/>
                <w:highlight w:val="none"/>
                <w:lang w:val="en-US" w:eastAsia="zh-CN"/>
              </w:rPr>
              <w:t>03.6</w:t>
            </w:r>
            <w:r>
              <w:rPr>
                <w:rFonts w:hint="eastAsia"/>
                <w:highlight w:val="none"/>
              </w:rPr>
              <w:t>m</w:t>
            </w:r>
            <w:r>
              <w:rPr>
                <w:rFonts w:hint="eastAsia"/>
                <w:highlight w:val="none"/>
                <w:vertAlign w:val="superscript"/>
              </w:rPr>
              <w:t>3</w:t>
            </w:r>
            <w:r>
              <w:rPr>
                <w:rFonts w:hint="eastAsia"/>
                <w:highlight w:val="none"/>
              </w:rPr>
              <w:t>/a），由京唐智慧港园区供水管网提供。</w:t>
            </w:r>
          </w:p>
          <w:p w14:paraId="1297007A">
            <w:pPr>
              <w:pStyle w:val="13"/>
              <w:tabs>
                <w:tab w:val="left" w:pos="8160"/>
              </w:tabs>
              <w:spacing w:after="0"/>
              <w:ind w:left="0" w:leftChars="0" w:right="0" w:rightChars="0" w:firstLine="480"/>
              <w:rPr>
                <w:rFonts w:hint="eastAsia" w:eastAsia="宋体"/>
                <w:highlight w:val="none"/>
                <w:lang w:eastAsia="zh-CN"/>
              </w:rPr>
            </w:pPr>
            <w:r>
              <w:rPr>
                <w:highlight w:val="none"/>
              </w:rPr>
              <w:t>①</w:t>
            </w:r>
            <w:r>
              <w:rPr>
                <w:rFonts w:hint="eastAsia"/>
                <w:highlight w:val="none"/>
              </w:rPr>
              <w:t>生产用水：本项目生产用水主要为清洗用水，循环使用，定期更换，由于清洗用水蒸发或被工件带走一部分水分，需要定期补充新鲜水。4台清洗机，每台清洗机储水0.6m</w:t>
            </w:r>
            <w:r>
              <w:rPr>
                <w:rFonts w:hint="eastAsia"/>
                <w:highlight w:val="none"/>
                <w:vertAlign w:val="superscript"/>
              </w:rPr>
              <w:t>3</w:t>
            </w:r>
            <w:r>
              <w:rPr>
                <w:rFonts w:hint="eastAsia"/>
                <w:highlight w:val="none"/>
              </w:rPr>
              <w:t>，清洗机定期补充新鲜水0.02m</w:t>
            </w:r>
            <w:r>
              <w:rPr>
                <w:rFonts w:hint="eastAsia"/>
                <w:highlight w:val="none"/>
                <w:vertAlign w:val="superscript"/>
              </w:rPr>
              <w:t>3</w:t>
            </w:r>
            <w:r>
              <w:rPr>
                <w:rFonts w:hint="eastAsia"/>
                <w:highlight w:val="none"/>
              </w:rPr>
              <w:t>/天/台，则补充新鲜用水量为0.08m</w:t>
            </w:r>
            <w:r>
              <w:rPr>
                <w:rFonts w:hint="eastAsia"/>
                <w:highlight w:val="none"/>
                <w:vertAlign w:val="superscript"/>
              </w:rPr>
              <w:t>3</w:t>
            </w:r>
            <w:r>
              <w:rPr>
                <w:rFonts w:hint="eastAsia"/>
                <w:highlight w:val="none"/>
              </w:rPr>
              <w:t>/d（24m</w:t>
            </w:r>
            <w:r>
              <w:rPr>
                <w:rFonts w:hint="eastAsia"/>
                <w:highlight w:val="none"/>
                <w:vertAlign w:val="superscript"/>
              </w:rPr>
              <w:t>3</w:t>
            </w:r>
            <w:r>
              <w:rPr>
                <w:rFonts w:hint="eastAsia"/>
                <w:highlight w:val="none"/>
              </w:rPr>
              <w:t>/a）。清洗用水更换次数4次/a，则清洗用水更换补充新鲜水量为9.6m</w:t>
            </w:r>
            <w:r>
              <w:rPr>
                <w:rFonts w:hint="eastAsia"/>
                <w:highlight w:val="none"/>
                <w:vertAlign w:val="superscript"/>
              </w:rPr>
              <w:t>3</w:t>
            </w:r>
            <w:r>
              <w:rPr>
                <w:rFonts w:hint="eastAsia"/>
                <w:highlight w:val="none"/>
              </w:rPr>
              <w:t>/a。清洗总新鲜用水量为0.112m</w:t>
            </w:r>
            <w:r>
              <w:rPr>
                <w:rFonts w:hint="eastAsia"/>
                <w:highlight w:val="none"/>
                <w:vertAlign w:val="superscript"/>
              </w:rPr>
              <w:t>3</w:t>
            </w:r>
            <w:r>
              <w:rPr>
                <w:rFonts w:hint="eastAsia"/>
                <w:highlight w:val="none"/>
              </w:rPr>
              <w:t>/d（33.6m</w:t>
            </w:r>
            <w:r>
              <w:rPr>
                <w:rFonts w:hint="eastAsia"/>
                <w:highlight w:val="none"/>
                <w:vertAlign w:val="superscript"/>
              </w:rPr>
              <w:t>3</w:t>
            </w:r>
            <w:r>
              <w:rPr>
                <w:rFonts w:hint="eastAsia"/>
                <w:highlight w:val="none"/>
              </w:rPr>
              <w:t>/a）</w:t>
            </w:r>
            <w:r>
              <w:rPr>
                <w:rFonts w:hint="eastAsia"/>
                <w:highlight w:val="none"/>
                <w:lang w:eastAsia="zh-CN"/>
              </w:rPr>
              <w:t>；</w:t>
            </w:r>
          </w:p>
          <w:p w14:paraId="676C2113">
            <w:pPr>
              <w:pStyle w:val="13"/>
              <w:tabs>
                <w:tab w:val="left" w:pos="8160"/>
              </w:tabs>
              <w:spacing w:after="0"/>
              <w:ind w:left="0" w:leftChars="0" w:right="0" w:rightChars="0" w:firstLine="480"/>
              <w:rPr>
                <w:highlight w:val="none"/>
              </w:rPr>
            </w:pPr>
            <w:r>
              <w:rPr>
                <w:highlight w:val="none"/>
              </w:rPr>
              <w:t>②</w:t>
            </w:r>
            <w:r>
              <w:rPr>
                <w:rFonts w:hint="eastAsia"/>
                <w:highlight w:val="none"/>
              </w:rPr>
              <w:t>蓄热式电锅炉用水：蓄热式电锅炉2台，每台配备1个20m³储水箱和1台软化水设备，锅炉循环水量为52m</w:t>
            </w:r>
            <w:r>
              <w:rPr>
                <w:rFonts w:hint="eastAsia"/>
                <w:highlight w:val="none"/>
                <w:vertAlign w:val="superscript"/>
              </w:rPr>
              <w:t>3</w:t>
            </w:r>
            <w:r>
              <w:rPr>
                <w:rFonts w:hint="eastAsia"/>
                <w:highlight w:val="none"/>
              </w:rPr>
              <w:t>，补充新鲜水量</w:t>
            </w:r>
            <w:r>
              <w:rPr>
                <w:rFonts w:hint="eastAsia"/>
                <w:highlight w:val="none"/>
                <w:lang w:val="en-US" w:eastAsia="zh-CN"/>
              </w:rPr>
              <w:t>1.5</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val="en-US" w:eastAsia="zh-CN"/>
              </w:rPr>
              <w:t>180</w:t>
            </w:r>
            <w:r>
              <w:rPr>
                <w:rFonts w:hint="eastAsia"/>
                <w:highlight w:val="none"/>
              </w:rPr>
              <w:t>m</w:t>
            </w:r>
            <w:r>
              <w:rPr>
                <w:rFonts w:hint="eastAsia"/>
                <w:highlight w:val="none"/>
                <w:vertAlign w:val="superscript"/>
              </w:rPr>
              <w:t>3</w:t>
            </w:r>
            <w:r>
              <w:rPr>
                <w:rFonts w:hint="eastAsia"/>
                <w:highlight w:val="none"/>
              </w:rPr>
              <w:t>/a，锅炉年工作120d）；</w:t>
            </w:r>
          </w:p>
          <w:p w14:paraId="335843DB">
            <w:pPr>
              <w:pStyle w:val="13"/>
              <w:tabs>
                <w:tab w:val="left" w:pos="8160"/>
              </w:tabs>
              <w:spacing w:after="0"/>
              <w:ind w:left="0" w:leftChars="0" w:right="0" w:rightChars="0" w:firstLine="480"/>
              <w:rPr>
                <w:highlight w:val="none"/>
              </w:rPr>
            </w:pPr>
            <w:r>
              <w:rPr>
                <w:highlight w:val="none"/>
              </w:rPr>
              <w:fldChar w:fldCharType="begin"/>
            </w:r>
            <w:r>
              <w:rPr>
                <w:highlight w:val="none"/>
              </w:rPr>
              <w:instrText xml:space="preserve"> = 3 \* GB3 \* MERGEFORMAT </w:instrText>
            </w:r>
            <w:r>
              <w:rPr>
                <w:highlight w:val="none"/>
              </w:rPr>
              <w:fldChar w:fldCharType="separate"/>
            </w:r>
            <w:r>
              <w:rPr>
                <w:highlight w:val="none"/>
              </w:rPr>
              <w:t>③</w:t>
            </w:r>
            <w:r>
              <w:rPr>
                <w:highlight w:val="none"/>
              </w:rPr>
              <w:fldChar w:fldCharType="end"/>
            </w:r>
            <w:r>
              <w:rPr>
                <w:rFonts w:hint="eastAsia"/>
                <w:highlight w:val="none"/>
              </w:rPr>
              <w:t>生活用水：本项目设有宿舍、淋浴及食堂，厕所为水冲厕所。劳动定员80人，其中住宿员工按30人计算、淋浴只供宿舍员工。年工作300天，住宿职工生活用水按110L/d计算，非住宿职工生活用水按80L/d计算，则生活新鲜用水量为7.3m</w:t>
            </w:r>
            <w:r>
              <w:rPr>
                <w:rFonts w:hint="eastAsia"/>
                <w:highlight w:val="none"/>
                <w:vertAlign w:val="superscript"/>
              </w:rPr>
              <w:t>3</w:t>
            </w:r>
            <w:r>
              <w:rPr>
                <w:rFonts w:hint="eastAsia"/>
                <w:highlight w:val="none"/>
              </w:rPr>
              <w:t>/d（2190m</w:t>
            </w:r>
            <w:r>
              <w:rPr>
                <w:rFonts w:hint="eastAsia"/>
                <w:highlight w:val="none"/>
                <w:vertAlign w:val="superscript"/>
              </w:rPr>
              <w:t>3</w:t>
            </w:r>
            <w:r>
              <w:rPr>
                <w:rFonts w:hint="eastAsia"/>
                <w:highlight w:val="none"/>
              </w:rPr>
              <w:t>/a）。</w:t>
            </w:r>
          </w:p>
          <w:p w14:paraId="2E84C754">
            <w:pPr>
              <w:numPr>
                <w:ilvl w:val="0"/>
                <w:numId w:val="10"/>
              </w:numPr>
              <w:ind w:firstLine="480"/>
              <w:rPr>
                <w:highlight w:val="none"/>
              </w:rPr>
            </w:pPr>
            <w:r>
              <w:rPr>
                <w:rFonts w:hint="eastAsia"/>
                <w:highlight w:val="none"/>
              </w:rPr>
              <w:t>排水：废水主要为清洗机定期清理废水、软化水装置产生的浓盐水、蓄热式电锅炉排污水、生活废水。总排水量</w:t>
            </w:r>
            <w:r>
              <w:rPr>
                <w:rFonts w:hint="eastAsia"/>
                <w:highlight w:val="none"/>
                <w:lang w:val="en-US" w:eastAsia="zh-CN"/>
              </w:rPr>
              <w:t>6.262</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val="en-US" w:eastAsia="zh-CN"/>
              </w:rPr>
              <w:t>1878.6</w:t>
            </w:r>
            <w:r>
              <w:rPr>
                <w:rFonts w:hint="eastAsia"/>
                <w:highlight w:val="none"/>
              </w:rPr>
              <w:t>m</w:t>
            </w:r>
            <w:r>
              <w:rPr>
                <w:rFonts w:hint="eastAsia"/>
                <w:highlight w:val="none"/>
                <w:vertAlign w:val="superscript"/>
              </w:rPr>
              <w:t>3</w:t>
            </w:r>
            <w:r>
              <w:rPr>
                <w:rFonts w:hint="eastAsia"/>
                <w:highlight w:val="none"/>
              </w:rPr>
              <w:t>/a）。</w:t>
            </w:r>
          </w:p>
          <w:p w14:paraId="2F68CA1D">
            <w:pPr>
              <w:ind w:firstLine="480"/>
              <w:rPr>
                <w:rFonts w:hint="eastAsia" w:eastAsia="宋体"/>
                <w:highlight w:val="none"/>
                <w:lang w:eastAsia="zh-CN"/>
              </w:rPr>
            </w:pPr>
            <w:r>
              <w:rPr>
                <w:highlight w:val="none"/>
              </w:rPr>
              <w:t>①</w:t>
            </w:r>
            <w:r>
              <w:rPr>
                <w:rFonts w:hint="eastAsia"/>
                <w:highlight w:val="none"/>
              </w:rPr>
              <w:t>清洗机定期清理废水9.6m</w:t>
            </w:r>
            <w:r>
              <w:rPr>
                <w:rFonts w:hint="eastAsia"/>
                <w:highlight w:val="none"/>
                <w:vertAlign w:val="superscript"/>
              </w:rPr>
              <w:t>3</w:t>
            </w:r>
            <w:r>
              <w:rPr>
                <w:rFonts w:hint="eastAsia"/>
                <w:highlight w:val="none"/>
              </w:rPr>
              <w:t>/a</w:t>
            </w:r>
            <w:r>
              <w:rPr>
                <w:rFonts w:hint="eastAsia"/>
                <w:highlight w:val="none"/>
                <w:lang w:eastAsia="zh-CN"/>
              </w:rPr>
              <w:t>；</w:t>
            </w:r>
          </w:p>
          <w:p w14:paraId="3274F762">
            <w:pPr>
              <w:ind w:firstLine="480"/>
              <w:rPr>
                <w:rFonts w:hint="eastAsia" w:eastAsia="宋体"/>
                <w:highlight w:val="none"/>
                <w:lang w:eastAsia="zh-CN"/>
              </w:rPr>
            </w:pPr>
            <w:r>
              <w:rPr>
                <w:highlight w:val="none"/>
              </w:rPr>
              <w:t>②</w:t>
            </w:r>
            <w:r>
              <w:rPr>
                <w:rFonts w:hint="eastAsia"/>
                <w:highlight w:val="none"/>
              </w:rPr>
              <w:t>蓄热式电锅炉软水制备采用钠离子交换法，</w:t>
            </w:r>
            <w:r>
              <w:rPr>
                <w:rFonts w:hint="eastAsia"/>
                <w:highlight w:val="none"/>
                <w:lang w:val="en-US" w:eastAsia="zh-CN"/>
              </w:rPr>
              <w:t>通过软化、反洗、吸盐、慢洗、快洗、盐箱注水等软水制备工艺制备软化水，离子交换树脂1-2年更换一次。</w:t>
            </w:r>
            <w:r>
              <w:rPr>
                <w:rFonts w:hint="eastAsia"/>
                <w:highlight w:val="none"/>
              </w:rPr>
              <w:t>锅炉年运行120d，</w:t>
            </w:r>
            <w:r>
              <w:rPr>
                <w:rFonts w:hint="eastAsia"/>
                <w:highlight w:val="none"/>
                <w:lang w:val="en-US" w:eastAsia="zh-CN"/>
              </w:rPr>
              <w:t>软水制备产生</w:t>
            </w:r>
            <w:r>
              <w:rPr>
                <w:rFonts w:hint="eastAsia"/>
                <w:highlight w:val="none"/>
              </w:rPr>
              <w:t>浓盐水产生量为</w:t>
            </w:r>
            <w:r>
              <w:rPr>
                <w:rFonts w:hint="eastAsia"/>
                <w:highlight w:val="none"/>
                <w:lang w:val="en-US" w:eastAsia="zh-CN"/>
              </w:rPr>
              <w:t>0.075</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val="en-US" w:eastAsia="zh-CN"/>
              </w:rPr>
              <w:t>9</w:t>
            </w:r>
            <w:r>
              <w:rPr>
                <w:rFonts w:hint="eastAsia"/>
                <w:highlight w:val="none"/>
              </w:rPr>
              <w:t>m</w:t>
            </w:r>
            <w:r>
              <w:rPr>
                <w:rFonts w:hint="eastAsia"/>
                <w:highlight w:val="none"/>
                <w:vertAlign w:val="superscript"/>
              </w:rPr>
              <w:t>3</w:t>
            </w:r>
            <w:r>
              <w:rPr>
                <w:rFonts w:hint="eastAsia"/>
                <w:highlight w:val="none"/>
              </w:rPr>
              <w:t>/a），蓄热式</w:t>
            </w:r>
            <w:r>
              <w:rPr>
                <w:rFonts w:hint="eastAsia"/>
                <w:highlight w:val="none"/>
                <w:lang w:val="en-US" w:eastAsia="zh-CN"/>
              </w:rPr>
              <w:t>电锅炉</w:t>
            </w:r>
            <w:r>
              <w:rPr>
                <w:rFonts w:hint="eastAsia"/>
                <w:highlight w:val="none"/>
              </w:rPr>
              <w:t>定期排污水为0.</w:t>
            </w:r>
            <w:r>
              <w:rPr>
                <w:rFonts w:hint="eastAsia"/>
                <w:highlight w:val="none"/>
                <w:lang w:val="en-US" w:eastAsia="zh-CN"/>
              </w:rPr>
              <w:t>9</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val="en-US" w:eastAsia="zh-CN"/>
              </w:rPr>
              <w:t>108</w:t>
            </w:r>
            <w:r>
              <w:rPr>
                <w:rFonts w:hint="eastAsia"/>
                <w:highlight w:val="none"/>
              </w:rPr>
              <w:t>m</w:t>
            </w:r>
            <w:r>
              <w:rPr>
                <w:rFonts w:hint="eastAsia"/>
                <w:highlight w:val="none"/>
                <w:vertAlign w:val="superscript"/>
              </w:rPr>
              <w:t>3</w:t>
            </w:r>
            <w:r>
              <w:rPr>
                <w:rFonts w:hint="eastAsia"/>
                <w:highlight w:val="none"/>
              </w:rPr>
              <w:t>/a）。则废水排放量为</w:t>
            </w:r>
            <w:r>
              <w:rPr>
                <w:rFonts w:hint="eastAsia"/>
                <w:highlight w:val="none"/>
                <w:lang w:val="en-US" w:eastAsia="zh-CN"/>
              </w:rPr>
              <w:t>0.975</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eastAsia="zh-CN"/>
              </w:rPr>
              <w:t>（</w:t>
            </w:r>
            <w:r>
              <w:rPr>
                <w:rFonts w:hint="eastAsia"/>
                <w:highlight w:val="none"/>
                <w:lang w:val="en-US" w:eastAsia="zh-CN"/>
              </w:rPr>
              <w:t>117</w:t>
            </w:r>
            <w:r>
              <w:rPr>
                <w:rFonts w:hint="eastAsia"/>
                <w:highlight w:val="none"/>
              </w:rPr>
              <w:t>m</w:t>
            </w:r>
            <w:r>
              <w:rPr>
                <w:rFonts w:hint="eastAsia"/>
                <w:highlight w:val="none"/>
                <w:vertAlign w:val="superscript"/>
              </w:rPr>
              <w:t>3</w:t>
            </w:r>
            <w:r>
              <w:rPr>
                <w:rFonts w:hint="eastAsia"/>
                <w:highlight w:val="none"/>
              </w:rPr>
              <w:t>/d，锅炉年工作120d</w:t>
            </w:r>
            <w:r>
              <w:rPr>
                <w:rFonts w:hint="eastAsia"/>
                <w:highlight w:val="none"/>
                <w:lang w:eastAsia="zh-CN"/>
              </w:rPr>
              <w:t>）；</w:t>
            </w:r>
          </w:p>
          <w:p w14:paraId="481932E0">
            <w:pPr>
              <w:pStyle w:val="2"/>
              <w:ind w:left="0" w:leftChars="0" w:firstLine="420" w:firstLineChars="200"/>
              <w:rPr>
                <w:highlight w:val="none"/>
              </w:rPr>
            </w:pPr>
          </w:p>
          <w:p w14:paraId="602E5739">
            <w:pPr>
              <w:pStyle w:val="2"/>
              <w:ind w:left="0" w:leftChars="0" w:firstLine="420" w:firstLineChars="200"/>
              <w:rPr>
                <w:highlight w:val="none"/>
              </w:rPr>
            </w:pPr>
          </w:p>
          <w:p w14:paraId="5DB58EE4">
            <w:pPr>
              <w:spacing w:line="240" w:lineRule="auto"/>
              <w:ind w:firstLine="0" w:firstLineChars="0"/>
              <w:jc w:val="center"/>
              <w:rPr>
                <w:rFonts w:hint="eastAsia"/>
                <w:b/>
                <w:bCs/>
                <w:sz w:val="21"/>
                <w:szCs w:val="21"/>
                <w:highlight w:val="none"/>
              </w:rPr>
            </w:pPr>
          </w:p>
          <w:p w14:paraId="5CCB1B3B">
            <w:pPr>
              <w:spacing w:line="240" w:lineRule="auto"/>
              <w:ind w:firstLine="0" w:firstLineChars="0"/>
              <w:jc w:val="center"/>
              <w:rPr>
                <w:rFonts w:hint="eastAsia"/>
                <w:b/>
                <w:bCs/>
                <w:sz w:val="21"/>
                <w:szCs w:val="21"/>
                <w:highlight w:val="none"/>
              </w:rPr>
            </w:pPr>
          </w:p>
          <w:p w14:paraId="2E3BB215">
            <w:pPr>
              <w:spacing w:line="240" w:lineRule="auto"/>
              <w:ind w:firstLine="0" w:firstLineChars="0"/>
              <w:jc w:val="center"/>
              <w:rPr>
                <w:highlight w:val="none"/>
              </w:rPr>
            </w:pPr>
            <w:r>
              <w:rPr>
                <w:rFonts w:ascii="宋体" w:hAnsi="宋体" w:eastAsia="宋体" w:cs="宋体"/>
                <w:sz w:val="24"/>
                <w:szCs w:val="24"/>
                <w:highlight w:val="none"/>
              </w:rPr>
              <w:drawing>
                <wp:anchor distT="0" distB="0" distL="114935" distR="114935" simplePos="0" relativeHeight="251661312" behindDoc="0" locked="0" layoutInCell="1" allowOverlap="1">
                  <wp:simplePos x="0" y="0"/>
                  <wp:positionH relativeFrom="column">
                    <wp:posOffset>790575</wp:posOffset>
                  </wp:positionH>
                  <wp:positionV relativeFrom="paragraph">
                    <wp:posOffset>-12700</wp:posOffset>
                  </wp:positionV>
                  <wp:extent cx="3458210" cy="2852420"/>
                  <wp:effectExtent l="0" t="0" r="8890" b="5080"/>
                  <wp:wrapTopAndBottom/>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13"/>
                          <a:stretch>
                            <a:fillRect/>
                          </a:stretch>
                        </pic:blipFill>
                        <pic:spPr>
                          <a:xfrm>
                            <a:off x="0" y="0"/>
                            <a:ext cx="3458210" cy="2852420"/>
                          </a:xfrm>
                          <a:prstGeom prst="rect">
                            <a:avLst/>
                          </a:prstGeom>
                          <a:noFill/>
                          <a:ln w="9525">
                            <a:noFill/>
                          </a:ln>
                        </pic:spPr>
                      </pic:pic>
                    </a:graphicData>
                  </a:graphic>
                </wp:anchor>
              </w:drawing>
            </w:r>
            <w:r>
              <w:rPr>
                <w:rFonts w:hint="eastAsia"/>
                <w:b/>
                <w:bCs/>
                <w:sz w:val="21"/>
                <w:szCs w:val="21"/>
                <w:highlight w:val="none"/>
              </w:rPr>
              <w:t>图2-1</w:t>
            </w:r>
            <w:r>
              <w:rPr>
                <w:rFonts w:hint="eastAsia"/>
                <w:sz w:val="21"/>
                <w:szCs w:val="21"/>
                <w:highlight w:val="none"/>
              </w:rPr>
              <w:t xml:space="preserve"> </w:t>
            </w:r>
            <w:r>
              <w:rPr>
                <w:rFonts w:hint="eastAsia"/>
                <w:b/>
                <w:bCs/>
                <w:sz w:val="21"/>
                <w:szCs w:val="21"/>
                <w:highlight w:val="none"/>
              </w:rPr>
              <w:t xml:space="preserve"> </w:t>
            </w:r>
            <w:r>
              <w:rPr>
                <w:rFonts w:hint="eastAsia"/>
                <w:b/>
                <w:bCs/>
                <w:sz w:val="21"/>
                <w:szCs w:val="21"/>
                <w:highlight w:val="none"/>
                <w:lang w:val="en-US" w:eastAsia="zh-CN"/>
              </w:rPr>
              <w:t>软水制备工艺</w:t>
            </w:r>
            <w:r>
              <w:rPr>
                <w:rFonts w:hint="eastAsia"/>
                <w:b/>
                <w:bCs/>
                <w:sz w:val="21"/>
                <w:szCs w:val="21"/>
                <w:highlight w:val="none"/>
              </w:rPr>
              <w:t>图</w:t>
            </w:r>
          </w:p>
          <w:p w14:paraId="5FBB8900">
            <w:pPr>
              <w:pStyle w:val="2"/>
              <w:ind w:left="0" w:leftChars="0" w:firstLine="480" w:firstLineChars="200"/>
              <w:rPr>
                <w:sz w:val="24"/>
                <w:szCs w:val="24"/>
                <w:highlight w:val="none"/>
              </w:rPr>
            </w:pPr>
            <w:r>
              <w:rPr>
                <w:sz w:val="24"/>
                <w:szCs w:val="24"/>
                <w:highlight w:val="none"/>
              </w:rPr>
              <w:fldChar w:fldCharType="begin"/>
            </w:r>
            <w:r>
              <w:rPr>
                <w:sz w:val="24"/>
                <w:szCs w:val="24"/>
                <w:highlight w:val="none"/>
              </w:rPr>
              <w:instrText xml:space="preserve"> = 3 \* GB3 \* MERGEFORMAT </w:instrText>
            </w:r>
            <w:r>
              <w:rPr>
                <w:sz w:val="24"/>
                <w:szCs w:val="24"/>
                <w:highlight w:val="none"/>
              </w:rPr>
              <w:fldChar w:fldCharType="separate"/>
            </w:r>
            <w:r>
              <w:rPr>
                <w:sz w:val="24"/>
                <w:szCs w:val="24"/>
                <w:highlight w:val="none"/>
              </w:rPr>
              <w:t>③</w:t>
            </w:r>
            <w:r>
              <w:rPr>
                <w:sz w:val="24"/>
                <w:szCs w:val="24"/>
                <w:highlight w:val="none"/>
              </w:rPr>
              <w:fldChar w:fldCharType="end"/>
            </w:r>
            <w:r>
              <w:rPr>
                <w:rFonts w:hint="eastAsia"/>
                <w:sz w:val="24"/>
                <w:szCs w:val="24"/>
                <w:highlight w:val="none"/>
              </w:rPr>
              <w:t>生活废水：生活污水产生量按用水量的80%计算，产生量为用水量为5.84m</w:t>
            </w:r>
            <w:r>
              <w:rPr>
                <w:rFonts w:hint="eastAsia"/>
                <w:sz w:val="24"/>
                <w:szCs w:val="24"/>
                <w:highlight w:val="none"/>
                <w:vertAlign w:val="superscript"/>
              </w:rPr>
              <w:t>3</w:t>
            </w:r>
            <w:r>
              <w:rPr>
                <w:rFonts w:hint="eastAsia"/>
                <w:sz w:val="24"/>
                <w:szCs w:val="24"/>
                <w:highlight w:val="none"/>
              </w:rPr>
              <w:t>/d（1752m</w:t>
            </w:r>
            <w:r>
              <w:rPr>
                <w:rFonts w:hint="eastAsia"/>
                <w:sz w:val="24"/>
                <w:szCs w:val="24"/>
                <w:highlight w:val="none"/>
                <w:vertAlign w:val="superscript"/>
              </w:rPr>
              <w:t>3</w:t>
            </w:r>
            <w:r>
              <w:rPr>
                <w:rFonts w:hint="eastAsia"/>
                <w:sz w:val="24"/>
                <w:szCs w:val="24"/>
                <w:highlight w:val="none"/>
              </w:rPr>
              <w:t>/a）。</w:t>
            </w:r>
          </w:p>
          <w:p w14:paraId="65A9ED74">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eastAsia="宋体"/>
                <w:b/>
                <w:bCs/>
                <w:sz w:val="21"/>
                <w:szCs w:val="21"/>
                <w:highlight w:val="none"/>
                <w:lang w:eastAsia="zh-CN"/>
              </w:rPr>
            </w:pPr>
            <w:r>
              <w:rPr>
                <w:rFonts w:hint="eastAsia" w:eastAsia="宋体"/>
                <w:b/>
                <w:bCs/>
                <w:sz w:val="21"/>
                <w:szCs w:val="21"/>
                <w:highlight w:val="none"/>
                <w:lang w:eastAsia="zh-CN"/>
              </w:rPr>
              <w:drawing>
                <wp:inline distT="0" distB="0" distL="114300" distR="114300">
                  <wp:extent cx="5080000" cy="2882900"/>
                  <wp:effectExtent l="0" t="0" r="6350" b="12700"/>
                  <wp:docPr id="5" name="图片 5" descr="图片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1-09"/>
                          <pic:cNvPicPr>
                            <a:picLocks noChangeAspect="1"/>
                          </pic:cNvPicPr>
                        </pic:nvPicPr>
                        <pic:blipFill>
                          <a:blip r:embed="rId14"/>
                          <a:stretch>
                            <a:fillRect/>
                          </a:stretch>
                        </pic:blipFill>
                        <pic:spPr>
                          <a:xfrm>
                            <a:off x="0" y="0"/>
                            <a:ext cx="5080000" cy="2882900"/>
                          </a:xfrm>
                          <a:prstGeom prst="rect">
                            <a:avLst/>
                          </a:prstGeom>
                        </pic:spPr>
                      </pic:pic>
                    </a:graphicData>
                  </a:graphic>
                </wp:inline>
              </w:drawing>
            </w:r>
          </w:p>
          <w:p w14:paraId="67E1DEC0">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图2-</w:t>
            </w:r>
            <w:r>
              <w:rPr>
                <w:rFonts w:hint="default" w:ascii="Times New Roman" w:hAnsi="Times New Roman" w:cs="Times New Roman"/>
                <w:b/>
                <w:bCs/>
                <w:sz w:val="21"/>
                <w:szCs w:val="21"/>
                <w:highlight w:val="none"/>
                <w:lang w:val="en-US" w:eastAsia="zh-CN"/>
              </w:rPr>
              <w:t>2</w:t>
            </w:r>
            <w:r>
              <w:rPr>
                <w:rFonts w:hint="default" w:ascii="Times New Roman" w:hAnsi="Times New Roman" w:cs="Times New Roman"/>
                <w:b/>
                <w:bCs/>
                <w:sz w:val="21"/>
                <w:szCs w:val="21"/>
                <w:highlight w:val="none"/>
              </w:rPr>
              <w:t xml:space="preserve">  营运期水平衡图（单位：m</w:t>
            </w:r>
            <w:r>
              <w:rPr>
                <w:rFonts w:hint="default" w:ascii="Times New Roman" w:hAnsi="Times New Roman" w:cs="Times New Roman"/>
                <w:b/>
                <w:bCs/>
                <w:sz w:val="21"/>
                <w:szCs w:val="21"/>
                <w:highlight w:val="none"/>
                <w:vertAlign w:val="superscript"/>
              </w:rPr>
              <w:t>3</w:t>
            </w:r>
            <w:r>
              <w:rPr>
                <w:rFonts w:hint="default" w:ascii="Times New Roman" w:hAnsi="Times New Roman" w:cs="Times New Roman"/>
                <w:b/>
                <w:bCs/>
                <w:sz w:val="21"/>
                <w:szCs w:val="21"/>
                <w:highlight w:val="none"/>
              </w:rPr>
              <w:t>/d）</w:t>
            </w:r>
          </w:p>
          <w:p w14:paraId="07E16D84">
            <w:pPr>
              <w:ind w:firstLine="480"/>
              <w:rPr>
                <w:highlight w:val="none"/>
              </w:rPr>
            </w:pPr>
            <w:r>
              <w:rPr>
                <w:highlight w:val="none"/>
              </w:rPr>
              <w:t>取暖：</w:t>
            </w:r>
            <w:r>
              <w:rPr>
                <w:rFonts w:hint="eastAsia"/>
                <w:highlight w:val="none"/>
              </w:rPr>
              <w:t>本项目车间、办公楼、食堂、宿舍采用蓄热式电锅炉取暖</w:t>
            </w:r>
            <w:r>
              <w:rPr>
                <w:highlight w:val="none"/>
              </w:rPr>
              <w:t>。</w:t>
            </w:r>
          </w:p>
          <w:p w14:paraId="6735F80D">
            <w:pPr>
              <w:ind w:firstLine="480"/>
              <w:rPr>
                <w:highlight w:val="none"/>
              </w:rPr>
            </w:pPr>
            <w:r>
              <w:rPr>
                <w:rFonts w:hint="eastAsia"/>
                <w:highlight w:val="none"/>
              </w:rPr>
              <w:t>12、</w:t>
            </w:r>
            <w:r>
              <w:rPr>
                <w:highlight w:val="none"/>
              </w:rPr>
              <w:t>项目的地理位置、平面布置与周边关系：</w:t>
            </w:r>
          </w:p>
          <w:p w14:paraId="3B603DD1">
            <w:pPr>
              <w:ind w:firstLine="480"/>
              <w:rPr>
                <w:highlight w:val="none"/>
              </w:rPr>
            </w:pPr>
            <w:r>
              <w:rPr>
                <w:highlight w:val="none"/>
              </w:rPr>
              <w:t>地理位置：本项目位于</w:t>
            </w:r>
            <w:r>
              <w:rPr>
                <w:rFonts w:hint="eastAsia"/>
                <w:highlight w:val="none"/>
              </w:rPr>
              <w:t>河北省唐山市高新技术产业开发区京唐智慧港纬二路南侧经十五路西侧</w:t>
            </w:r>
            <w:r>
              <w:rPr>
                <w:highlight w:val="none"/>
              </w:rPr>
              <w:t>（用地中心坐标为东经：</w:t>
            </w:r>
            <w:r>
              <w:rPr>
                <w:rFonts w:hint="eastAsia"/>
                <w:highlight w:val="none"/>
              </w:rPr>
              <w:t>118°1'48.409"</w:t>
            </w:r>
            <w:r>
              <w:rPr>
                <w:highlight w:val="none"/>
              </w:rPr>
              <w:t>；北纬：39°42'30.574"），</w:t>
            </w:r>
            <w:r>
              <w:rPr>
                <w:rFonts w:hint="default" w:ascii="Times New Roman" w:hAnsi="Times New Roman" w:cs="Times New Roman"/>
                <w:highlight w:val="none"/>
              </w:rPr>
              <w:t>地理位置图详见附图1。</w:t>
            </w:r>
          </w:p>
          <w:p w14:paraId="4C6C5BCC">
            <w:pPr>
              <w:ind w:firstLine="480"/>
              <w:rPr>
                <w:rFonts w:hint="default" w:ascii="Times New Roman" w:hAnsi="Times New Roman" w:cs="Times New Roman"/>
                <w:highlight w:val="none"/>
              </w:rPr>
            </w:pPr>
            <w:r>
              <w:rPr>
                <w:highlight w:val="none"/>
              </w:rPr>
              <w:t>平面布置：</w:t>
            </w:r>
            <w:r>
              <w:rPr>
                <w:rFonts w:hint="eastAsia"/>
                <w:highlight w:val="none"/>
              </w:rPr>
              <w:t>本项目位于唐山市高新技术产业开发区京唐智慧，厂区由北向</w:t>
            </w:r>
            <w:r>
              <w:rPr>
                <w:rFonts w:hint="default" w:ascii="Times New Roman" w:hAnsi="Times New Roman" w:cs="Times New Roman"/>
                <w:highlight w:val="none"/>
              </w:rPr>
              <w:t>南依次为1#厂房、2#厂房，办公楼位于2#厂房东侧，厂区入口位于厂区东侧，厂区出口位于厂区北侧，具体平面布置见附图2、附图3、附图4。</w:t>
            </w:r>
          </w:p>
          <w:p w14:paraId="7044A513">
            <w:pPr>
              <w:ind w:firstLine="480"/>
              <w:rPr>
                <w:highlight w:val="none"/>
              </w:rPr>
            </w:pPr>
            <w:r>
              <w:rPr>
                <w:rFonts w:hint="default" w:ascii="Times New Roman" w:hAnsi="Times New Roman" w:cs="Times New Roman"/>
                <w:highlight w:val="none"/>
              </w:rPr>
              <w:t>周边关系：项目东侧经十五路，北侧纬二路，西侧、南侧待挂牌出让地块。项目厂界外500m范围内的环境敏感点为厂区南侧320m的毛家坨村。周边关系图和环境敏感目标分布图见附图2、附图5。</w:t>
            </w:r>
          </w:p>
        </w:tc>
      </w:tr>
      <w:tr w14:paraId="49962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823" w:type="dxa"/>
            <w:vAlign w:val="center"/>
          </w:tcPr>
          <w:p w14:paraId="69B31250">
            <w:pPr>
              <w:pStyle w:val="31"/>
              <w:rPr>
                <w:szCs w:val="24"/>
              </w:rPr>
            </w:pPr>
            <w:r>
              <w:rPr>
                <w:rFonts w:hint="eastAsia"/>
                <w:szCs w:val="24"/>
              </w:rPr>
              <w:t>工艺流程和产排污环节</w:t>
            </w:r>
          </w:p>
        </w:tc>
        <w:tc>
          <w:tcPr>
            <w:tcW w:w="8342" w:type="dxa"/>
          </w:tcPr>
          <w:p w14:paraId="37DC4221">
            <w:pPr>
              <w:widowControl/>
              <w:ind w:firstLine="480"/>
              <w:jc w:val="left"/>
              <w:rPr>
                <w:b/>
                <w:bCs/>
                <w:highlight w:val="none"/>
              </w:rPr>
            </w:pPr>
            <w:r>
              <w:rPr>
                <w:rFonts w:hint="eastAsia"/>
                <w:highlight w:val="none"/>
              </w:rPr>
              <w:t>本项目生产车用锁式差速器及四驱扭矩控制系统，外购圆钢和工件进行加工</w:t>
            </w:r>
            <w:r>
              <w:rPr>
                <w:rFonts w:hint="eastAsia"/>
                <w:highlight w:val="none"/>
                <w:lang w:val="en-US" w:eastAsia="zh-CN"/>
              </w:rPr>
              <w:t>组装</w:t>
            </w:r>
            <w:r>
              <w:rPr>
                <w:rFonts w:hint="eastAsia"/>
                <w:highlight w:val="none"/>
              </w:rPr>
              <w:t>，</w:t>
            </w:r>
            <w:r>
              <w:rPr>
                <w:rFonts w:ascii="脣脦脤氓" w:hAnsi="脣脦脤氓" w:eastAsia="脣脦脤氓" w:cs="脣脦脤氓"/>
                <w:kern w:val="0"/>
                <w:sz w:val="25"/>
                <w:szCs w:val="25"/>
                <w:highlight w:val="none"/>
              </w:rPr>
              <w:t>主要</w:t>
            </w:r>
            <w:r>
              <w:rPr>
                <w:rFonts w:hint="eastAsia" w:ascii="脣脦脤氓" w:hAnsi="脣脦脤氓" w:eastAsia="脣脦脤氓" w:cs="脣脦脤氓"/>
                <w:kern w:val="0"/>
                <w:sz w:val="25"/>
                <w:szCs w:val="25"/>
                <w:highlight w:val="none"/>
              </w:rPr>
              <w:t>生产工艺</w:t>
            </w:r>
            <w:r>
              <w:rPr>
                <w:rFonts w:ascii="脣脦脤氓" w:hAnsi="脣脦脤氓" w:eastAsia="脣脦脤氓" w:cs="脣脦脤氓"/>
                <w:kern w:val="0"/>
                <w:sz w:val="25"/>
                <w:szCs w:val="25"/>
                <w:highlight w:val="none"/>
              </w:rPr>
              <w:t>包括</w:t>
            </w:r>
            <w:r>
              <w:rPr>
                <w:rFonts w:hint="eastAsia" w:ascii="脣脦脤氓" w:hAnsi="脣脦脤氓" w:eastAsia="脣脦脤氓" w:cs="脣脦脤氓"/>
                <w:kern w:val="0"/>
                <w:sz w:val="25"/>
                <w:szCs w:val="25"/>
                <w:highlight w:val="none"/>
              </w:rPr>
              <w:t>热前加工</w:t>
            </w:r>
            <w:r>
              <w:rPr>
                <w:rFonts w:ascii="脣脦脤氓" w:hAnsi="脣脦脤氓" w:eastAsia="脣脦脤氓" w:cs="脣脦脤氓"/>
                <w:kern w:val="0"/>
                <w:sz w:val="25"/>
                <w:szCs w:val="25"/>
                <w:highlight w:val="none"/>
              </w:rPr>
              <w:t>、</w:t>
            </w:r>
            <w:r>
              <w:rPr>
                <w:rFonts w:hint="eastAsia" w:ascii="脣脦脤氓" w:hAnsi="脣脦脤氓" w:eastAsia="脣脦脤氓" w:cs="脣脦脤氓"/>
                <w:kern w:val="0"/>
                <w:sz w:val="25"/>
                <w:szCs w:val="25"/>
                <w:highlight w:val="none"/>
              </w:rPr>
              <w:t>热处理</w:t>
            </w:r>
            <w:r>
              <w:rPr>
                <w:rFonts w:ascii="脣脦脤氓" w:hAnsi="脣脦脤氓" w:eastAsia="脣脦脤氓" w:cs="脣脦脤氓"/>
                <w:kern w:val="0"/>
                <w:sz w:val="25"/>
                <w:szCs w:val="25"/>
                <w:highlight w:val="none"/>
              </w:rPr>
              <w:t>、</w:t>
            </w:r>
            <w:r>
              <w:rPr>
                <w:rFonts w:hint="eastAsia" w:ascii="脣脦脤氓" w:hAnsi="脣脦脤氓" w:eastAsia="脣脦脤氓" w:cs="脣脦脤氓"/>
                <w:kern w:val="0"/>
                <w:sz w:val="25"/>
                <w:szCs w:val="25"/>
                <w:highlight w:val="none"/>
              </w:rPr>
              <w:t>抛丸清理</w:t>
            </w:r>
            <w:r>
              <w:rPr>
                <w:rFonts w:ascii="脣脦脤氓" w:hAnsi="脣脦脤氓" w:eastAsia="脣脦脤氓" w:cs="脣脦脤氓"/>
                <w:kern w:val="0"/>
                <w:sz w:val="25"/>
                <w:szCs w:val="25"/>
                <w:highlight w:val="none"/>
              </w:rPr>
              <w:t>、</w:t>
            </w:r>
            <w:r>
              <w:rPr>
                <w:rFonts w:hint="eastAsia" w:ascii="脣脦脤氓" w:hAnsi="脣脦脤氓" w:eastAsia="脣脦脤氓" w:cs="脣脦脤氓"/>
                <w:kern w:val="0"/>
                <w:sz w:val="25"/>
                <w:szCs w:val="25"/>
                <w:highlight w:val="none"/>
              </w:rPr>
              <w:t>热后车磨（部分工件）</w:t>
            </w:r>
            <w:r>
              <w:rPr>
                <w:rFonts w:ascii="脣脦脤氓" w:hAnsi="脣脦脤氓" w:eastAsia="脣脦脤氓" w:cs="脣脦脤氓"/>
                <w:kern w:val="0"/>
                <w:sz w:val="25"/>
                <w:szCs w:val="25"/>
                <w:highlight w:val="none"/>
              </w:rPr>
              <w:t>、</w:t>
            </w:r>
            <w:r>
              <w:rPr>
                <w:rFonts w:hint="eastAsia" w:ascii="脣脦脤氓" w:hAnsi="脣脦脤氓" w:eastAsia="脣脦脤氓" w:cs="脣脦脤氓"/>
                <w:kern w:val="0"/>
                <w:sz w:val="25"/>
                <w:szCs w:val="25"/>
                <w:highlight w:val="none"/>
              </w:rPr>
              <w:t>组装、热后车磨</w:t>
            </w:r>
            <w:r>
              <w:rPr>
                <w:rFonts w:ascii="脣脦脤氓" w:hAnsi="脣脦脤氓" w:eastAsia="脣脦脤氓" w:cs="脣脦脤氓"/>
                <w:kern w:val="0"/>
                <w:sz w:val="25"/>
                <w:szCs w:val="25"/>
                <w:highlight w:val="none"/>
              </w:rPr>
              <w:t>、</w:t>
            </w:r>
            <w:r>
              <w:rPr>
                <w:rFonts w:hint="eastAsia" w:ascii="脣脦脤氓" w:hAnsi="脣脦脤氓" w:eastAsia="脣脦脤氓" w:cs="脣脦脤氓"/>
                <w:kern w:val="0"/>
                <w:sz w:val="25"/>
                <w:szCs w:val="25"/>
                <w:highlight w:val="none"/>
              </w:rPr>
              <w:t>入库包装销售</w:t>
            </w:r>
            <w:r>
              <w:rPr>
                <w:rFonts w:ascii="脣脦脤氓" w:hAnsi="脣脦脤氓" w:eastAsia="脣脦脤氓" w:cs="脣脦脤氓"/>
                <w:kern w:val="0"/>
                <w:sz w:val="25"/>
                <w:szCs w:val="25"/>
                <w:highlight w:val="none"/>
              </w:rPr>
              <w:t>，</w:t>
            </w:r>
            <w:r>
              <w:rPr>
                <w:rFonts w:hint="eastAsia"/>
                <w:highlight w:val="none"/>
              </w:rPr>
              <w:t>具体生产工艺流程如下：</w:t>
            </w:r>
          </w:p>
          <w:p w14:paraId="2AB78860">
            <w:pPr>
              <w:ind w:firstLine="0" w:firstLineChars="0"/>
              <w:rPr>
                <w:b/>
                <w:bCs/>
              </w:rPr>
            </w:pPr>
            <w:r>
              <w:rPr>
                <w:rFonts w:hint="eastAsia"/>
                <w:b/>
                <w:bCs/>
              </w:rPr>
              <w:t>生产工艺流程：</w:t>
            </w:r>
          </w:p>
          <w:p w14:paraId="5537FD38">
            <w:pPr>
              <w:pStyle w:val="2"/>
              <w:numPr>
                <w:ilvl w:val="0"/>
                <w:numId w:val="11"/>
              </w:numPr>
              <w:spacing w:line="480" w:lineRule="atLeast"/>
              <w:ind w:leftChars="0" w:firstLine="480"/>
              <w:rPr>
                <w:rFonts w:hint="default" w:ascii="Times New Roman" w:hAnsi="Times New Roman" w:cs="Times New Roman"/>
                <w:sz w:val="24"/>
              </w:rPr>
            </w:pPr>
            <w:r>
              <w:rPr>
                <w:rFonts w:hint="default" w:ascii="Times New Roman" w:hAnsi="Times New Roman" w:cs="Times New Roman"/>
                <w:sz w:val="24"/>
              </w:rPr>
              <w:t>热前加工</w:t>
            </w:r>
          </w:p>
          <w:p w14:paraId="1B1D3B36">
            <w:pPr>
              <w:pStyle w:val="2"/>
              <w:spacing w:line="480" w:lineRule="atLeast"/>
              <w:ind w:leftChars="0" w:firstLine="480"/>
              <w:rPr>
                <w:rFonts w:hint="default" w:ascii="Times New Roman" w:hAnsi="Times New Roman" w:cs="Times New Roman"/>
                <w:sz w:val="24"/>
              </w:rPr>
            </w:pPr>
            <w:r>
              <w:rPr>
                <w:rFonts w:hint="default" w:ascii="Times New Roman" w:hAnsi="Times New Roman" w:cs="Times New Roman"/>
                <w:sz w:val="24"/>
              </w:rPr>
              <w:t>外购圆钢，根据产品不同的设计要求，将圆钢进行相对应的锻造、下料、钻孔、粗车、精车、加工中心钻铣、出齿加工。</w:t>
            </w:r>
          </w:p>
          <w:p w14:paraId="6779BB79">
            <w:pPr>
              <w:pStyle w:val="2"/>
              <w:spacing w:line="480" w:lineRule="atLeast"/>
              <w:ind w:left="7" w:leftChars="0" w:firstLine="472" w:firstLineChars="197"/>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1 \* GB3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①</w:t>
            </w:r>
            <w:r>
              <w:rPr>
                <w:rFonts w:hint="default" w:ascii="Times New Roman" w:hAnsi="Times New Roman" w:cs="Times New Roman"/>
                <w:sz w:val="24"/>
              </w:rPr>
              <w:fldChar w:fldCharType="end"/>
            </w:r>
            <w:r>
              <w:rPr>
                <w:rFonts w:hint="default" w:ascii="Times New Roman" w:hAnsi="Times New Roman" w:cs="Times New Roman"/>
                <w:sz w:val="24"/>
              </w:rPr>
              <w:t>锻造</w:t>
            </w:r>
          </w:p>
          <w:p w14:paraId="59A8707E">
            <w:pPr>
              <w:pStyle w:val="2"/>
              <w:spacing w:line="480" w:lineRule="atLeast"/>
              <w:ind w:left="7" w:leftChars="0" w:firstLine="540" w:firstLineChars="225"/>
              <w:rPr>
                <w:rFonts w:hint="default" w:ascii="Times New Roman" w:hAnsi="Times New Roman" w:cs="Times New Roman"/>
                <w:sz w:val="24"/>
              </w:rPr>
            </w:pPr>
            <w:r>
              <w:rPr>
                <w:rFonts w:hint="default" w:ascii="Times New Roman" w:hAnsi="Times New Roman" w:cs="Times New Roman"/>
                <w:sz w:val="24"/>
              </w:rPr>
              <w:t>根据产品需求，部分需要锻造的工件进行外协加工成毛坯。</w:t>
            </w:r>
          </w:p>
          <w:p w14:paraId="5C31F305">
            <w:pPr>
              <w:widowControl/>
              <w:spacing w:line="480" w:lineRule="atLeast"/>
              <w:ind w:left="480" w:leftChars="200" w:firstLine="0" w:firstLineChars="0"/>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2 \* GB3 \* MERGEFORMAT </w:instrText>
            </w:r>
            <w:r>
              <w:rPr>
                <w:rFonts w:hint="default" w:ascii="Times New Roman" w:hAnsi="Times New Roman" w:cs="Times New Roman"/>
              </w:rPr>
              <w:fldChar w:fldCharType="separate"/>
            </w:r>
            <w:r>
              <w:rPr>
                <w:rFonts w:hint="default" w:ascii="Times New Roman" w:hAnsi="Times New Roman" w:cs="Times New Roman"/>
              </w:rPr>
              <w:t>②</w:t>
            </w:r>
            <w:r>
              <w:rPr>
                <w:rFonts w:hint="default" w:ascii="Times New Roman" w:hAnsi="Times New Roman" w:cs="Times New Roman"/>
              </w:rPr>
              <w:fldChar w:fldCharType="end"/>
            </w:r>
            <w:r>
              <w:rPr>
                <w:rFonts w:hint="default" w:ascii="Times New Roman" w:hAnsi="Times New Roman" w:cs="Times New Roman"/>
              </w:rPr>
              <w:t>下料</w:t>
            </w:r>
          </w:p>
          <w:p w14:paraId="5EC1149C">
            <w:pPr>
              <w:widowControl/>
              <w:spacing w:line="480" w:lineRule="atLeast"/>
              <w:ind w:firstLine="480"/>
              <w:jc w:val="left"/>
              <w:rPr>
                <w:rFonts w:hint="default" w:ascii="Times New Roman" w:hAnsi="Times New Roman" w:cs="Times New Roman"/>
                <w:highlight w:val="yellow"/>
              </w:rPr>
            </w:pPr>
            <w:r>
              <w:rPr>
                <w:rFonts w:hint="default" w:ascii="Times New Roman" w:hAnsi="Times New Roman" w:cs="Times New Roman"/>
                <w:color w:val="000000"/>
                <w:kern w:val="0"/>
              </w:rPr>
              <w:t>按照图纸设计要求，不需要锻造的工件利用锯床将圆钢切割成所需要规格和尺寸。</w:t>
            </w:r>
          </w:p>
          <w:p w14:paraId="093286EF">
            <w:pPr>
              <w:widowControl/>
              <w:spacing w:line="480" w:lineRule="atLeast"/>
              <w:ind w:left="480" w:leftChars="200" w:firstLine="0" w:firstLineChars="0"/>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2 \* GB3 \* MERGEFORMAT </w:instrText>
            </w:r>
            <w:r>
              <w:rPr>
                <w:rFonts w:hint="default" w:ascii="Times New Roman" w:hAnsi="Times New Roman" w:cs="Times New Roman"/>
              </w:rPr>
              <w:fldChar w:fldCharType="separate"/>
            </w:r>
            <w:r>
              <w:rPr>
                <w:rFonts w:hint="default" w:ascii="Times New Roman" w:hAnsi="Times New Roman" w:cs="Times New Roman"/>
              </w:rPr>
              <w:t>②</w:t>
            </w:r>
            <w:r>
              <w:rPr>
                <w:rFonts w:hint="default" w:ascii="Times New Roman" w:hAnsi="Times New Roman" w:cs="Times New Roman"/>
              </w:rPr>
              <w:fldChar w:fldCharType="end"/>
            </w:r>
            <w:r>
              <w:rPr>
                <w:rFonts w:hint="default" w:ascii="Times New Roman" w:hAnsi="Times New Roman" w:cs="Times New Roman"/>
              </w:rPr>
              <w:t>钻孔</w:t>
            </w:r>
          </w:p>
          <w:p w14:paraId="3114AA00">
            <w:pPr>
              <w:widowControl/>
              <w:spacing w:line="480" w:lineRule="atLeast"/>
              <w:ind w:firstLine="480"/>
              <w:jc w:val="left"/>
              <w:rPr>
                <w:rFonts w:hint="default" w:ascii="Times New Roman" w:hAnsi="Times New Roman" w:cs="Times New Roman"/>
                <w:color w:val="000000"/>
                <w:kern w:val="0"/>
              </w:rPr>
            </w:pPr>
            <w:r>
              <w:rPr>
                <w:rFonts w:hint="default" w:ascii="Times New Roman" w:hAnsi="Times New Roman" w:cs="Times New Roman"/>
                <w:color w:val="000000"/>
                <w:kern w:val="0"/>
              </w:rPr>
              <w:t>按照图纸设计要求，利用钻床将需要钻孔的工件加工成所需要规格和尺寸的孔。</w:t>
            </w:r>
          </w:p>
          <w:p w14:paraId="36997E14">
            <w:pPr>
              <w:pStyle w:val="2"/>
              <w:spacing w:line="480" w:lineRule="atLeast"/>
              <w:ind w:left="480" w:firstLine="0" w:firstLineChars="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3 \* GB3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③</w:t>
            </w:r>
            <w:r>
              <w:rPr>
                <w:rFonts w:hint="default" w:ascii="Times New Roman" w:hAnsi="Times New Roman" w:cs="Times New Roman"/>
                <w:sz w:val="24"/>
              </w:rPr>
              <w:fldChar w:fldCharType="end"/>
            </w:r>
            <w:r>
              <w:rPr>
                <w:rFonts w:hint="default" w:ascii="Times New Roman" w:hAnsi="Times New Roman" w:cs="Times New Roman"/>
                <w:sz w:val="24"/>
              </w:rPr>
              <w:t>粗车</w:t>
            </w:r>
          </w:p>
          <w:p w14:paraId="0722D9FD">
            <w:pPr>
              <w:widowControl/>
              <w:spacing w:line="480" w:lineRule="atLeast"/>
              <w:ind w:firstLine="480"/>
              <w:jc w:val="left"/>
              <w:rPr>
                <w:rFonts w:hint="default" w:ascii="Times New Roman" w:hAnsi="Times New Roman" w:cs="Times New Roman"/>
              </w:rPr>
            </w:pPr>
            <w:r>
              <w:rPr>
                <w:rFonts w:hint="default" w:ascii="Times New Roman" w:hAnsi="Times New Roman" w:cs="Times New Roman"/>
                <w:color w:val="000000"/>
                <w:kern w:val="0"/>
              </w:rPr>
              <w:t>按照图纸设计要求，利用数控车床将</w:t>
            </w:r>
            <w:r>
              <w:rPr>
                <w:rFonts w:hint="default" w:ascii="Times New Roman" w:hAnsi="Times New Roman" w:cs="Times New Roman"/>
                <w:color w:val="000000"/>
                <w:spacing w:val="6"/>
                <w:kern w:val="0"/>
              </w:rPr>
              <w:t>工件进行粗加工。</w:t>
            </w:r>
          </w:p>
          <w:p w14:paraId="09ED6F20">
            <w:pPr>
              <w:pStyle w:val="2"/>
              <w:spacing w:line="480" w:lineRule="atLeast"/>
              <w:ind w:left="480" w:firstLine="0" w:firstLineChars="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4 \* GB3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④</w:t>
            </w:r>
            <w:r>
              <w:rPr>
                <w:rFonts w:hint="default" w:ascii="Times New Roman" w:hAnsi="Times New Roman" w:cs="Times New Roman"/>
                <w:sz w:val="24"/>
              </w:rPr>
              <w:fldChar w:fldCharType="end"/>
            </w:r>
            <w:r>
              <w:rPr>
                <w:rFonts w:hint="default" w:ascii="Times New Roman" w:hAnsi="Times New Roman" w:cs="Times New Roman"/>
                <w:sz w:val="24"/>
              </w:rPr>
              <w:t>精车</w:t>
            </w:r>
          </w:p>
          <w:p w14:paraId="6FFF66E5">
            <w:pPr>
              <w:widowControl/>
              <w:spacing w:line="480" w:lineRule="atLeast"/>
              <w:ind w:firstLine="480"/>
              <w:jc w:val="left"/>
              <w:rPr>
                <w:rFonts w:hint="default" w:ascii="Times New Roman" w:hAnsi="Times New Roman" w:cs="Times New Roman"/>
                <w:color w:val="000000"/>
                <w:kern w:val="0"/>
              </w:rPr>
            </w:pPr>
            <w:r>
              <w:rPr>
                <w:rFonts w:hint="default" w:ascii="Times New Roman" w:hAnsi="Times New Roman" w:cs="Times New Roman"/>
                <w:color w:val="000000"/>
                <w:kern w:val="0"/>
              </w:rPr>
              <w:t>按照图纸设计要求，利用数控车床将粗车后的工件进行精加工，然后进行检验。</w:t>
            </w:r>
          </w:p>
          <w:p w14:paraId="584A4936">
            <w:pPr>
              <w:pStyle w:val="2"/>
              <w:spacing w:line="480" w:lineRule="atLeast"/>
              <w:ind w:leftChars="0" w:firstLine="480"/>
              <w:rPr>
                <w:rFonts w:hint="default" w:ascii="Times New Roman" w:hAnsi="Times New Roman" w:cs="Times New Roman"/>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5 \* GB3 \* MERGEFORMAT </w:instrText>
            </w:r>
            <w:r>
              <w:rPr>
                <w:rFonts w:hint="default" w:ascii="Times New Roman" w:hAnsi="Times New Roman" w:cs="Times New Roman"/>
                <w:sz w:val="24"/>
              </w:rPr>
              <w:fldChar w:fldCharType="separate"/>
            </w:r>
            <w:r>
              <w:rPr>
                <w:rFonts w:hint="default" w:ascii="Times New Roman" w:hAnsi="Times New Roman" w:cs="Times New Roman"/>
                <w:sz w:val="24"/>
              </w:rPr>
              <w:t>⑤</w:t>
            </w:r>
            <w:r>
              <w:rPr>
                <w:rFonts w:hint="default" w:ascii="Times New Roman" w:hAnsi="Times New Roman" w:cs="Times New Roman"/>
                <w:sz w:val="24"/>
              </w:rPr>
              <w:fldChar w:fldCharType="end"/>
            </w:r>
            <w:r>
              <w:rPr>
                <w:rFonts w:hint="default" w:ascii="Times New Roman" w:hAnsi="Times New Roman" w:cs="Times New Roman"/>
                <w:sz w:val="24"/>
              </w:rPr>
              <w:t>加工中心钻铣</w:t>
            </w:r>
          </w:p>
          <w:p w14:paraId="1DA782D4">
            <w:pPr>
              <w:pStyle w:val="2"/>
              <w:spacing w:line="480" w:lineRule="atLeast"/>
              <w:ind w:leftChars="0" w:firstLine="480"/>
              <w:rPr>
                <w:sz w:val="24"/>
              </w:rPr>
            </w:pPr>
            <w:r>
              <w:rPr>
                <w:rFonts w:hint="default" w:ascii="Times New Roman" w:hAnsi="Times New Roman" w:cs="Times New Roman"/>
                <w:color w:val="000000"/>
                <w:kern w:val="0"/>
                <w:sz w:val="24"/>
              </w:rPr>
              <w:t>精车检验合格的部分</w:t>
            </w:r>
            <w:r>
              <w:rPr>
                <w:rFonts w:hint="eastAsia"/>
                <w:color w:val="000000"/>
                <w:kern w:val="0"/>
                <w:sz w:val="24"/>
              </w:rPr>
              <w:t>工件</w:t>
            </w:r>
            <w:r>
              <w:rPr>
                <w:color w:val="000000"/>
                <w:kern w:val="0"/>
                <w:sz w:val="24"/>
              </w:rPr>
              <w:t>按照图纸设计要求，利用立式</w:t>
            </w:r>
            <w:r>
              <w:rPr>
                <w:rFonts w:hint="eastAsia"/>
                <w:color w:val="000000"/>
                <w:kern w:val="0"/>
                <w:sz w:val="24"/>
              </w:rPr>
              <w:t>加工中心和立式数控</w:t>
            </w:r>
            <w:r>
              <w:rPr>
                <w:color w:val="000000"/>
                <w:kern w:val="0"/>
                <w:sz w:val="24"/>
              </w:rPr>
              <w:t>铣床将工件加工成所需要的规格</w:t>
            </w:r>
            <w:r>
              <w:rPr>
                <w:rFonts w:hint="eastAsia"/>
                <w:color w:val="000000"/>
                <w:kern w:val="0"/>
                <w:sz w:val="24"/>
              </w:rPr>
              <w:t>，然后进行检验</w:t>
            </w:r>
            <w:r>
              <w:rPr>
                <w:color w:val="000000"/>
                <w:kern w:val="0"/>
                <w:sz w:val="24"/>
              </w:rPr>
              <w:t>。</w:t>
            </w:r>
          </w:p>
          <w:p w14:paraId="45F4BF2E">
            <w:pPr>
              <w:spacing w:line="480" w:lineRule="atLeast"/>
              <w:ind w:left="480" w:leftChars="200" w:firstLine="0" w:firstLineChars="0"/>
              <w:rPr>
                <w:rFonts w:ascii="宋体" w:hAnsi="宋体" w:cs="宋体"/>
              </w:rPr>
            </w:pPr>
            <w:r>
              <w:rPr>
                <w:rFonts w:hint="eastAsia" w:ascii="宋体" w:hAnsi="宋体" w:cs="宋体"/>
              </w:rPr>
              <w:fldChar w:fldCharType="begin"/>
            </w:r>
            <w:r>
              <w:rPr>
                <w:rFonts w:hint="eastAsia" w:ascii="宋体" w:hAnsi="宋体" w:cs="宋体"/>
              </w:rPr>
              <w:instrText xml:space="preserve"> = 6 \* GB3 \* MERGEFORMAT </w:instrText>
            </w:r>
            <w:r>
              <w:rPr>
                <w:rFonts w:hint="eastAsia" w:ascii="宋体" w:hAnsi="宋体" w:cs="宋体"/>
              </w:rPr>
              <w:fldChar w:fldCharType="separate"/>
            </w:r>
            <w:r>
              <w:t>⑥</w:t>
            </w:r>
            <w:r>
              <w:rPr>
                <w:rFonts w:hint="eastAsia" w:ascii="宋体" w:hAnsi="宋体" w:cs="宋体"/>
              </w:rPr>
              <w:fldChar w:fldCharType="end"/>
            </w:r>
            <w:r>
              <w:rPr>
                <w:rFonts w:hint="eastAsia" w:ascii="宋体" w:hAnsi="宋体" w:cs="宋体"/>
              </w:rPr>
              <w:t>出齿（插、滚、剃等）</w:t>
            </w:r>
          </w:p>
          <w:p w14:paraId="5C6D44CD">
            <w:pPr>
              <w:widowControl/>
              <w:spacing w:line="480" w:lineRule="atLeast"/>
              <w:ind w:firstLine="480"/>
              <w:jc w:val="left"/>
              <w:rPr>
                <w:color w:val="000000"/>
                <w:kern w:val="0"/>
              </w:rPr>
            </w:pPr>
            <w:r>
              <w:rPr>
                <w:rFonts w:hint="eastAsia"/>
                <w:color w:val="000000"/>
                <w:kern w:val="0"/>
              </w:rPr>
              <w:t>精车检验合格的部分工件</w:t>
            </w:r>
            <w:r>
              <w:rPr>
                <w:color w:val="000000"/>
                <w:kern w:val="0"/>
              </w:rPr>
              <w:t>按照图纸设计要求，</w:t>
            </w:r>
            <w:r>
              <w:rPr>
                <w:rFonts w:hint="eastAsia"/>
                <w:color w:val="000000"/>
                <w:kern w:val="0"/>
              </w:rPr>
              <w:t>需要出齿的工件，进行相对的出齿，然后进行检验。</w:t>
            </w:r>
          </w:p>
          <w:p w14:paraId="3EFC6D4A">
            <w:pPr>
              <w:widowControl/>
              <w:spacing w:line="480" w:lineRule="atLeast"/>
              <w:ind w:firstLine="480"/>
              <w:jc w:val="left"/>
              <w:rPr>
                <w:highlight w:val="none"/>
              </w:rPr>
            </w:pPr>
            <w:r>
              <w:rPr>
                <w:color w:val="000000"/>
                <w:kern w:val="0"/>
              </w:rPr>
              <w:t>为防止</w:t>
            </w:r>
            <w:r>
              <w:rPr>
                <w:color w:val="000000"/>
                <w:kern w:val="0"/>
                <w:highlight w:val="none"/>
              </w:rPr>
              <w:t>机加工设备泄漏润滑油、</w:t>
            </w:r>
            <w:r>
              <w:rPr>
                <w:rFonts w:hint="eastAsia"/>
                <w:color w:val="000000"/>
                <w:kern w:val="0"/>
                <w:highlight w:val="none"/>
              </w:rPr>
              <w:t>切削液、液压油</w:t>
            </w:r>
            <w:r>
              <w:rPr>
                <w:color w:val="000000"/>
                <w:kern w:val="0"/>
                <w:highlight w:val="none"/>
              </w:rPr>
              <w:t>，</w:t>
            </w:r>
            <w:r>
              <w:rPr>
                <w:rFonts w:hint="eastAsia"/>
                <w:color w:val="000000"/>
                <w:kern w:val="0"/>
                <w:highlight w:val="none"/>
              </w:rPr>
              <w:t>本</w:t>
            </w:r>
            <w:r>
              <w:rPr>
                <w:color w:val="000000"/>
                <w:kern w:val="0"/>
                <w:highlight w:val="none"/>
              </w:rPr>
              <w:t>项目在机加工设备下方设置托盘，用于收集泄漏的</w:t>
            </w:r>
            <w:r>
              <w:rPr>
                <w:rFonts w:hint="eastAsia"/>
                <w:color w:val="000000"/>
                <w:kern w:val="0"/>
                <w:highlight w:val="none"/>
              </w:rPr>
              <w:t>废</w:t>
            </w:r>
            <w:r>
              <w:rPr>
                <w:color w:val="000000"/>
                <w:kern w:val="0"/>
                <w:highlight w:val="none"/>
              </w:rPr>
              <w:t>润滑油、</w:t>
            </w:r>
            <w:r>
              <w:rPr>
                <w:rFonts w:hint="eastAsia"/>
                <w:color w:val="000000"/>
                <w:kern w:val="0"/>
                <w:highlight w:val="none"/>
              </w:rPr>
              <w:t>废切削液、液压油</w:t>
            </w:r>
            <w:r>
              <w:rPr>
                <w:color w:val="000000"/>
                <w:kern w:val="0"/>
                <w:highlight w:val="none"/>
              </w:rPr>
              <w:t>。</w:t>
            </w:r>
          </w:p>
          <w:p w14:paraId="655A0910">
            <w:pPr>
              <w:widowControl/>
              <w:ind w:firstLine="482"/>
              <w:jc w:val="left"/>
              <w:rPr>
                <w:b/>
                <w:bCs/>
                <w:color w:val="000000"/>
                <w:kern w:val="0"/>
                <w:highlight w:val="none"/>
              </w:rPr>
            </w:pPr>
            <w:r>
              <w:rPr>
                <w:b/>
                <w:bCs/>
                <w:color w:val="000000"/>
                <w:kern w:val="0"/>
                <w:highlight w:val="none"/>
              </w:rPr>
              <w:t>本项目</w:t>
            </w:r>
            <w:r>
              <w:rPr>
                <w:rFonts w:hint="eastAsia"/>
                <w:b/>
                <w:bCs/>
                <w:color w:val="000000"/>
                <w:kern w:val="0"/>
                <w:highlight w:val="none"/>
              </w:rPr>
              <w:t>热前</w:t>
            </w:r>
            <w:r>
              <w:rPr>
                <w:b/>
                <w:bCs/>
                <w:color w:val="000000"/>
                <w:kern w:val="0"/>
                <w:highlight w:val="none"/>
              </w:rPr>
              <w:t>加工过程</w:t>
            </w:r>
            <w:r>
              <w:rPr>
                <w:rFonts w:hint="eastAsia"/>
                <w:b/>
                <w:bCs/>
                <w:color w:val="000000"/>
                <w:kern w:val="0"/>
                <w:highlight w:val="none"/>
              </w:rPr>
              <w:t>废气为数控滚齿机（高速运转）产生的产生的油雾</w:t>
            </w:r>
            <w:r>
              <w:rPr>
                <w:b/>
                <w:bCs/>
                <w:color w:val="000000"/>
                <w:kern w:val="0"/>
                <w:highlight w:val="none"/>
              </w:rPr>
              <w:t>。噪声污染源主要为</w:t>
            </w:r>
            <w:r>
              <w:rPr>
                <w:rFonts w:hint="eastAsia"/>
                <w:b/>
                <w:bCs/>
                <w:color w:val="000000"/>
                <w:kern w:val="0"/>
                <w:highlight w:val="none"/>
              </w:rPr>
              <w:t>设备</w:t>
            </w:r>
            <w:r>
              <w:rPr>
                <w:b/>
                <w:bCs/>
                <w:color w:val="000000"/>
                <w:kern w:val="0"/>
                <w:highlight w:val="none"/>
              </w:rPr>
              <w:t>运行过程中产生的设备噪声；固体废物主要为</w:t>
            </w:r>
            <w:r>
              <w:rPr>
                <w:rFonts w:hint="eastAsia"/>
                <w:b/>
                <w:bCs/>
                <w:color w:val="000000"/>
                <w:kern w:val="0"/>
                <w:highlight w:val="none"/>
              </w:rPr>
              <w:t>热前</w:t>
            </w:r>
            <w:r>
              <w:rPr>
                <w:b/>
                <w:bCs/>
                <w:color w:val="000000"/>
                <w:kern w:val="0"/>
                <w:highlight w:val="none"/>
              </w:rPr>
              <w:t>加工过程产生的</w:t>
            </w:r>
            <w:r>
              <w:rPr>
                <w:rFonts w:hint="eastAsia"/>
                <w:b/>
                <w:bCs/>
                <w:color w:val="000000"/>
                <w:kern w:val="0"/>
                <w:highlight w:val="none"/>
              </w:rPr>
              <w:t>不合格工件（检验产生）、</w:t>
            </w:r>
            <w:r>
              <w:rPr>
                <w:rFonts w:hint="eastAsia"/>
                <w:b/>
                <w:bCs/>
                <w:kern w:val="0"/>
                <w:highlight w:val="none"/>
              </w:rPr>
              <w:t>下脚料（下料产生）、</w:t>
            </w:r>
            <w:r>
              <w:rPr>
                <w:rFonts w:hint="eastAsia"/>
                <w:b/>
                <w:bCs/>
                <w:color w:val="000000"/>
                <w:kern w:val="0"/>
                <w:highlight w:val="none"/>
              </w:rPr>
              <w:t>废铁屑</w:t>
            </w:r>
            <w:r>
              <w:rPr>
                <w:b/>
                <w:bCs/>
                <w:color w:val="000000"/>
                <w:kern w:val="0"/>
                <w:highlight w:val="none"/>
              </w:rPr>
              <w:t>、废切削液、</w:t>
            </w:r>
            <w:r>
              <w:rPr>
                <w:rFonts w:hint="eastAsia"/>
                <w:b/>
                <w:bCs/>
                <w:color w:val="000000"/>
                <w:kern w:val="0"/>
                <w:highlight w:val="none"/>
              </w:rPr>
              <w:t>废液压油、</w:t>
            </w:r>
            <w:r>
              <w:rPr>
                <w:b/>
                <w:bCs/>
                <w:color w:val="000000"/>
                <w:kern w:val="0"/>
                <w:highlight w:val="none"/>
              </w:rPr>
              <w:t>含油</w:t>
            </w:r>
            <w:r>
              <w:rPr>
                <w:rFonts w:hint="eastAsia"/>
                <w:b/>
                <w:bCs/>
                <w:color w:val="000000"/>
                <w:kern w:val="0"/>
                <w:highlight w:val="none"/>
              </w:rPr>
              <w:t>铁屑，</w:t>
            </w:r>
            <w:r>
              <w:rPr>
                <w:b/>
                <w:bCs/>
                <w:color w:val="000000"/>
                <w:kern w:val="0"/>
                <w:highlight w:val="none"/>
              </w:rPr>
              <w:t>机械设备运行与维护过程中产生的废润滑油</w:t>
            </w:r>
            <w:r>
              <w:rPr>
                <w:rFonts w:hint="eastAsia"/>
                <w:b/>
                <w:bCs/>
                <w:color w:val="000000"/>
                <w:kern w:val="0"/>
                <w:highlight w:val="none"/>
              </w:rPr>
              <w:t>，使用润滑油、液压油、切削油产生的废油桶。</w:t>
            </w:r>
          </w:p>
          <w:p w14:paraId="67EEB5A2">
            <w:pPr>
              <w:numPr>
                <w:ilvl w:val="0"/>
                <w:numId w:val="11"/>
              </w:numPr>
              <w:spacing w:line="360" w:lineRule="auto"/>
              <w:ind w:firstLine="480"/>
              <w:rPr>
                <w:highlight w:val="none"/>
              </w:rPr>
            </w:pPr>
            <w:r>
              <w:rPr>
                <w:rFonts w:hint="eastAsia"/>
                <w:highlight w:val="none"/>
              </w:rPr>
              <w:t>热处理</w:t>
            </w:r>
          </w:p>
          <w:p w14:paraId="4D38E4B1">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jc w:val="left"/>
              <w:textAlignment w:val="auto"/>
            </w:pPr>
            <w:r>
              <w:rPr>
                <w:rFonts w:hint="eastAsia"/>
                <w:highlight w:val="none"/>
              </w:rPr>
              <w:t>经热前加工后的工件依次进入清洗机、高温预热炉、渗碳多用炉、清洗机、低温回火炉，除清洗机外全程充氮气作为保护气体防治被空气氧化。其中渗碳多用炉分前室和后室，中间有隔板，渗碳工序在渗碳多用炉后室进行，淬火工序在渗碳多用炉前室内</w:t>
            </w:r>
            <w:r>
              <w:rPr>
                <w:rFonts w:hint="eastAsia"/>
              </w:rPr>
              <w:t>的</w:t>
            </w:r>
            <w:r>
              <w:rPr>
                <w:rFonts w:hint="eastAsia"/>
                <w:lang w:eastAsia="zh-CN"/>
              </w:rPr>
              <w:t>淬火油</w:t>
            </w:r>
            <w:r>
              <w:rPr>
                <w:rFonts w:hint="eastAsia"/>
              </w:rPr>
              <w:t>槽内进行。热处理工艺流程及产污环节详见图2-</w:t>
            </w:r>
            <w:r>
              <w:rPr>
                <w:rFonts w:hint="eastAsia"/>
                <w:lang w:val="en-US" w:eastAsia="zh-CN"/>
              </w:rPr>
              <w:t>3</w:t>
            </w:r>
            <w:r>
              <w:rPr>
                <w:rFonts w:hint="eastAsia"/>
              </w:rPr>
              <w:t>。</w:t>
            </w:r>
            <w:r>
              <w:rPr>
                <w:rFonts w:hint="eastAsia"/>
              </w:rPr>
              <w:drawing>
                <wp:inline distT="0" distB="0" distL="114300" distR="114300">
                  <wp:extent cx="5156200" cy="1645920"/>
                  <wp:effectExtent l="0" t="0" r="6350" b="11430"/>
                  <wp:docPr id="3" name="图片 3" descr="图片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03"/>
                          <pic:cNvPicPr>
                            <a:picLocks noChangeAspect="1"/>
                          </pic:cNvPicPr>
                        </pic:nvPicPr>
                        <pic:blipFill>
                          <a:blip r:embed="rId15" cstate="print"/>
                          <a:stretch>
                            <a:fillRect/>
                          </a:stretch>
                        </pic:blipFill>
                        <pic:spPr>
                          <a:xfrm>
                            <a:off x="0" y="0"/>
                            <a:ext cx="5156200" cy="1645920"/>
                          </a:xfrm>
                          <a:prstGeom prst="rect">
                            <a:avLst/>
                          </a:prstGeom>
                        </pic:spPr>
                      </pic:pic>
                    </a:graphicData>
                  </a:graphic>
                </wp:inline>
              </w:drawing>
            </w:r>
          </w:p>
          <w:p w14:paraId="3AC9C997">
            <w:pPr>
              <w:widowControl/>
              <w:ind w:firstLine="0" w:firstLineChars="0"/>
              <w:jc w:val="center"/>
              <w:rPr>
                <w:b/>
                <w:bCs/>
                <w:sz w:val="21"/>
                <w:szCs w:val="21"/>
                <w:highlight w:val="none"/>
              </w:rPr>
            </w:pPr>
            <w:r>
              <w:rPr>
                <w:rFonts w:hint="eastAsia"/>
                <w:b/>
                <w:bCs/>
                <w:sz w:val="21"/>
                <w:szCs w:val="21"/>
                <w:highlight w:val="none"/>
              </w:rPr>
              <w:t>图2-</w:t>
            </w:r>
            <w:r>
              <w:rPr>
                <w:rFonts w:hint="eastAsia"/>
                <w:b/>
                <w:bCs/>
                <w:sz w:val="21"/>
                <w:szCs w:val="21"/>
                <w:highlight w:val="none"/>
                <w:lang w:val="en-US" w:eastAsia="zh-CN"/>
              </w:rPr>
              <w:t>3</w:t>
            </w:r>
            <w:r>
              <w:rPr>
                <w:rFonts w:hint="eastAsia"/>
                <w:b/>
                <w:bCs/>
                <w:sz w:val="21"/>
                <w:szCs w:val="21"/>
                <w:highlight w:val="none"/>
              </w:rPr>
              <w:t xml:space="preserve">  热处理工艺流程及排污节点图</w:t>
            </w:r>
          </w:p>
          <w:p w14:paraId="1DA05A49">
            <w:pPr>
              <w:ind w:firstLine="480"/>
              <w:rPr>
                <w:highlight w:val="none"/>
              </w:rPr>
            </w:pPr>
            <w:r>
              <w:rPr>
                <w:rFonts w:hint="eastAsia" w:ascii="Calibri" w:hAnsi="Calibri"/>
                <w:highlight w:val="none"/>
              </w:rPr>
              <w:t>①氧化前</w:t>
            </w:r>
            <w:r>
              <w:rPr>
                <w:rFonts w:hint="eastAsia"/>
                <w:highlight w:val="none"/>
              </w:rPr>
              <w:t>清洗</w:t>
            </w:r>
          </w:p>
          <w:p w14:paraId="3E66A2E5">
            <w:pPr>
              <w:ind w:firstLine="480"/>
              <w:rPr>
                <w:highlight w:val="none"/>
              </w:rPr>
            </w:pPr>
            <w:r>
              <w:rPr>
                <w:rFonts w:hint="eastAsia"/>
                <w:highlight w:val="none"/>
              </w:rPr>
              <w:t>将工件挂至工装挂具上，工件预氧化前清洗，清洗时间10分钟，采取喷淋和滴水的方式清洗，</w:t>
            </w:r>
            <w:r>
              <w:rPr>
                <w:rFonts w:hint="eastAsia" w:ascii="Calibri" w:hAnsi="Calibri"/>
                <w:highlight w:val="none"/>
              </w:rPr>
              <w:t>加入金属清洗剂</w:t>
            </w:r>
            <w:r>
              <w:rPr>
                <w:rFonts w:hint="eastAsia"/>
                <w:highlight w:val="none"/>
              </w:rPr>
              <w:t>以去除工件表面附着的废金属颗粒和油污，清洗废水循环使用，</w:t>
            </w:r>
            <w:r>
              <w:rPr>
                <w:rFonts w:hint="eastAsia" w:ascii="Calibri" w:hAnsi="Calibri"/>
                <w:highlight w:val="none"/>
              </w:rPr>
              <w:t>定期补加</w:t>
            </w:r>
            <w:r>
              <w:rPr>
                <w:rFonts w:hint="eastAsia"/>
                <w:highlight w:val="none"/>
              </w:rPr>
              <w:t>。</w:t>
            </w:r>
          </w:p>
          <w:p w14:paraId="66ACEF19">
            <w:pPr>
              <w:pStyle w:val="2"/>
              <w:ind w:leftChars="0" w:firstLine="480"/>
              <w:rPr>
                <w:sz w:val="24"/>
                <w:highlight w:val="none"/>
              </w:rPr>
            </w:pPr>
            <w:r>
              <w:rPr>
                <w:rFonts w:hint="eastAsia" w:ascii="Calibri" w:hAnsi="Calibri"/>
                <w:sz w:val="24"/>
                <w:highlight w:val="none"/>
              </w:rPr>
              <w:t>②</w:t>
            </w:r>
            <w:r>
              <w:rPr>
                <w:rFonts w:hint="eastAsia"/>
                <w:sz w:val="24"/>
                <w:highlight w:val="none"/>
              </w:rPr>
              <w:t>预氧化</w:t>
            </w:r>
          </w:p>
          <w:p w14:paraId="598BD0B3">
            <w:pPr>
              <w:pStyle w:val="2"/>
              <w:ind w:leftChars="0" w:firstLine="480"/>
              <w:rPr>
                <w:sz w:val="24"/>
              </w:rPr>
            </w:pPr>
            <w:r>
              <w:rPr>
                <w:rFonts w:hint="eastAsia"/>
                <w:sz w:val="24"/>
              </w:rPr>
              <w:t>在高温预热炉内加热至420℃预氧化（预氧化4小时）。</w:t>
            </w:r>
          </w:p>
          <w:p w14:paraId="7FAAAB6B">
            <w:pPr>
              <w:ind w:firstLine="480"/>
              <w:rPr>
                <w:rFonts w:ascii="Calibri" w:hAnsi="Calibri"/>
              </w:rPr>
            </w:pPr>
            <w:r>
              <w:rPr>
                <w:rFonts w:hint="eastAsia" w:ascii="Calibri" w:hAnsi="Calibri"/>
              </w:rPr>
              <w:t>③渗碳</w:t>
            </w:r>
          </w:p>
          <w:p w14:paraId="021BEA0C">
            <w:pPr>
              <w:ind w:firstLine="480"/>
              <w:rPr>
                <w:rFonts w:ascii="Calibri" w:hAnsi="Calibri"/>
              </w:rPr>
            </w:pPr>
            <w:r>
              <w:rPr>
                <w:rFonts w:hint="eastAsia"/>
              </w:rPr>
              <w:t>预氧化</w:t>
            </w:r>
            <w:r>
              <w:t>工件装入渗碳</w:t>
            </w:r>
            <w:r>
              <w:rPr>
                <w:rFonts w:hint="eastAsia"/>
              </w:rPr>
              <w:t>多用</w:t>
            </w:r>
            <w:r>
              <w:t>炉</w:t>
            </w:r>
            <w:r>
              <w:rPr>
                <w:rFonts w:hint="eastAsia"/>
                <w:highlight w:val="none"/>
              </w:rPr>
              <w:t>前室，装件时间设置15分钟，</w:t>
            </w:r>
            <w:r>
              <w:rPr>
                <w:highlight w:val="none"/>
              </w:rPr>
              <w:t>选定程序后，</w:t>
            </w:r>
            <w:r>
              <w:rPr>
                <w:rFonts w:hint="eastAsia"/>
                <w:highlight w:val="none"/>
              </w:rPr>
              <w:t>然后进入</w:t>
            </w:r>
            <w:r>
              <w:rPr>
                <w:highlight w:val="none"/>
              </w:rPr>
              <w:t>渗碳</w:t>
            </w:r>
            <w:r>
              <w:rPr>
                <w:rFonts w:hint="eastAsia"/>
                <w:highlight w:val="none"/>
              </w:rPr>
              <w:t>多用</w:t>
            </w:r>
            <w:r>
              <w:rPr>
                <w:highlight w:val="none"/>
              </w:rPr>
              <w:t>炉</w:t>
            </w:r>
            <w:r>
              <w:rPr>
                <w:rFonts w:hint="eastAsia"/>
                <w:highlight w:val="none"/>
              </w:rPr>
              <w:t>后室进行渗碳（</w:t>
            </w:r>
            <w:r>
              <w:rPr>
                <w:rFonts w:hint="eastAsia" w:ascii="Calibri" w:hAnsi="Calibri"/>
                <w:highlight w:val="none"/>
              </w:rPr>
              <w:t>渗碳过程</w:t>
            </w:r>
            <w:r>
              <w:rPr>
                <w:rFonts w:hint="default" w:ascii="Times New Roman" w:hAnsi="Times New Roman" w:cs="Times New Roman"/>
                <w:highlight w:val="none"/>
              </w:rPr>
              <w:t>7.5</w:t>
            </w:r>
            <w:r>
              <w:rPr>
                <w:rFonts w:hint="eastAsia" w:ascii="Calibri" w:hAnsi="Calibri"/>
                <w:highlight w:val="none"/>
              </w:rPr>
              <w:t>个小时</w:t>
            </w:r>
            <w:r>
              <w:rPr>
                <w:rFonts w:hint="eastAsia"/>
                <w:highlight w:val="none"/>
              </w:rPr>
              <w:t>），</w:t>
            </w:r>
            <w:r>
              <w:rPr>
                <w:rFonts w:hint="eastAsia"/>
              </w:rPr>
              <w:t>以氮气为保护气体，</w:t>
            </w:r>
            <w:r>
              <w:rPr>
                <w:rFonts w:hint="eastAsia" w:ascii="Calibri" w:hAnsi="Calibri"/>
              </w:rPr>
              <w:t>甲醇、丙烷为渗碳介质</w:t>
            </w:r>
            <w:r>
              <w:rPr>
                <w:rFonts w:hint="eastAsia"/>
              </w:rPr>
              <w:t>。</w:t>
            </w:r>
            <w:r>
              <w:rPr>
                <w:rFonts w:hint="eastAsia" w:ascii="Calibri" w:hAnsi="Calibri"/>
              </w:rPr>
              <w:t>工件在渗碳气氛中加热，保温足够时间后，使甲烷、丙烷中分解出的</w:t>
            </w:r>
            <w:r>
              <w:rPr>
                <w:rFonts w:hint="eastAsia" w:ascii="Calibri" w:hAnsi="Calibri"/>
                <w:lang w:eastAsia="zh-CN"/>
              </w:rPr>
              <w:t>活性炭</w:t>
            </w:r>
            <w:r>
              <w:rPr>
                <w:rFonts w:hint="eastAsia" w:ascii="Calibri" w:hAnsi="Calibri"/>
              </w:rPr>
              <w:t>原子渗入钢件表层，从而获得表层高碳，心部仍保持原有成分。渗碳过程包括三个基本过程：</w:t>
            </w:r>
          </w:p>
          <w:p w14:paraId="5542821D">
            <w:pPr>
              <w:ind w:firstLine="480"/>
              <w:rPr>
                <w:rFonts w:hint="default" w:ascii="Times New Roman" w:hAnsi="Times New Roman" w:cs="Times New Roman"/>
              </w:rPr>
            </w:pPr>
            <w:r>
              <w:rPr>
                <w:rFonts w:hint="eastAsia" w:ascii="Calibri" w:hAnsi="Calibri"/>
              </w:rPr>
              <w:t>一是由介质（甲醇、丙烷）分解出活性原子。如分解产生的一氧化碳和甲烷分解出</w:t>
            </w:r>
            <w:r>
              <w:rPr>
                <w:rFonts w:hint="eastAsia" w:ascii="Calibri" w:hAnsi="Calibri"/>
                <w:lang w:eastAsia="zh-CN"/>
              </w:rPr>
              <w:t>活性炭</w:t>
            </w:r>
            <w:r>
              <w:rPr>
                <w:rFonts w:hint="eastAsia" w:ascii="Calibri" w:hAnsi="Calibri"/>
              </w:rPr>
              <w:t>原子：</w:t>
            </w:r>
            <w:r>
              <w:rPr>
                <w:rFonts w:hint="default" w:ascii="Times New Roman" w:hAnsi="Times New Roman" w:cs="Times New Roman"/>
              </w:rPr>
              <w:t>2CO</w:t>
            </w:r>
            <w:r>
              <w:rPr>
                <w:rFonts w:hint="eastAsia" w:cs="Times New Roman"/>
                <w:spacing w:val="-57"/>
                <w:lang w:eastAsia="zh-CN"/>
              </w:rPr>
              <w:t>-</w:t>
            </w:r>
            <w:r>
              <w:rPr>
                <w:rFonts w:hint="eastAsia" w:cs="Times New Roman"/>
                <w:lang w:eastAsia="zh-CN"/>
              </w:rPr>
              <w:t>-</w:t>
            </w:r>
            <w:r>
              <w:rPr>
                <w:rFonts w:hint="default" w:ascii="Times New Roman" w:hAnsi="Times New Roman" w:cs="Times New Roman"/>
              </w:rPr>
              <w:t>CO</w:t>
            </w:r>
            <w:r>
              <w:rPr>
                <w:rFonts w:hint="default" w:ascii="Times New Roman" w:hAnsi="Times New Roman" w:cs="Times New Roman"/>
                <w:vertAlign w:val="subscript"/>
              </w:rPr>
              <w:t>2</w:t>
            </w:r>
            <w:r>
              <w:rPr>
                <w:rFonts w:hint="default" w:ascii="Times New Roman" w:hAnsi="Times New Roman" w:cs="Times New Roman"/>
              </w:rPr>
              <w:t>+[C]</w:t>
            </w:r>
          </w:p>
          <w:p w14:paraId="58F8428D">
            <w:pPr>
              <w:ind w:firstLine="2400" w:firstLineChars="1000"/>
              <w:rPr>
                <w:rFonts w:hint="default" w:ascii="Times New Roman" w:hAnsi="Times New Roman" w:cs="Times New Roman"/>
              </w:rPr>
            </w:pPr>
            <w:r>
              <w:rPr>
                <w:rFonts w:hint="default" w:ascii="Times New Roman" w:hAnsi="Times New Roman" w:cs="Times New Roman"/>
              </w:rPr>
              <w:t>CH4</w:t>
            </w:r>
            <w:r>
              <w:rPr>
                <w:rFonts w:hint="eastAsia" w:cs="Times New Roman"/>
                <w:spacing w:val="-57"/>
                <w:lang w:eastAsia="zh-CN"/>
              </w:rPr>
              <w:t>-</w:t>
            </w:r>
            <w:r>
              <w:rPr>
                <w:rFonts w:hint="eastAsia" w:cs="Times New Roman"/>
                <w:lang w:eastAsia="zh-CN"/>
              </w:rPr>
              <w:t>-</w:t>
            </w:r>
            <w:r>
              <w:rPr>
                <w:rFonts w:hint="default" w:ascii="Times New Roman" w:hAnsi="Times New Roman" w:cs="Times New Roman"/>
              </w:rPr>
              <w:t>2H</w:t>
            </w:r>
            <w:r>
              <w:rPr>
                <w:rFonts w:hint="default" w:ascii="Times New Roman" w:hAnsi="Times New Roman" w:cs="Times New Roman"/>
                <w:vertAlign w:val="subscript"/>
              </w:rPr>
              <w:t>2</w:t>
            </w:r>
            <w:r>
              <w:rPr>
                <w:rFonts w:hint="default" w:ascii="Times New Roman" w:hAnsi="Times New Roman" w:cs="Times New Roman"/>
              </w:rPr>
              <w:t>+[C]</w:t>
            </w:r>
          </w:p>
          <w:p w14:paraId="73BAA24A">
            <w:pPr>
              <w:ind w:firstLine="480"/>
              <w:rPr>
                <w:rFonts w:ascii="Calibri" w:hAnsi="Calibri"/>
              </w:rPr>
            </w:pPr>
            <w:r>
              <w:rPr>
                <w:rFonts w:hint="eastAsia" w:ascii="Calibri" w:hAnsi="Calibri"/>
              </w:rPr>
              <w:t>二是</w:t>
            </w:r>
            <w:r>
              <w:rPr>
                <w:rFonts w:hint="eastAsia" w:ascii="Calibri" w:hAnsi="Calibri"/>
                <w:lang w:eastAsia="zh-CN"/>
              </w:rPr>
              <w:t>活性炭</w:t>
            </w:r>
            <w:r>
              <w:rPr>
                <w:rFonts w:hint="eastAsia" w:ascii="Calibri" w:hAnsi="Calibri"/>
              </w:rPr>
              <w:t>原子被工件表面吸收。</w:t>
            </w:r>
          </w:p>
          <w:p w14:paraId="3C2B578D">
            <w:pPr>
              <w:ind w:firstLine="480"/>
              <w:rPr>
                <w:rFonts w:ascii="Calibri" w:hAnsi="Calibri"/>
              </w:rPr>
            </w:pPr>
            <w:r>
              <w:rPr>
                <w:rFonts w:hint="eastAsia" w:ascii="Calibri" w:hAnsi="Calibri"/>
              </w:rPr>
              <w:t>三是被吸收碳原子向工件内部扩散。</w:t>
            </w:r>
          </w:p>
          <w:p w14:paraId="5E9B1A99">
            <w:pPr>
              <w:ind w:firstLine="480"/>
              <w:rPr>
                <w:rFonts w:ascii="Calibri" w:hAnsi="Calibri"/>
              </w:rPr>
            </w:pPr>
            <w:r>
              <w:rPr>
                <w:rFonts w:hint="eastAsia" w:ascii="Calibri" w:hAnsi="Calibri"/>
              </w:rPr>
              <w:t>渗碳过程由分解、吸收、扩散三过程组成，三个过程又是同时发生的，全部过程存在着复杂物理化学反应。</w:t>
            </w:r>
          </w:p>
          <w:p w14:paraId="159043A8">
            <w:pPr>
              <w:pStyle w:val="28"/>
              <w:spacing w:before="31" w:after="31"/>
              <w:ind w:firstLine="480"/>
              <w:rPr>
                <w:rFonts w:hint="default" w:ascii="Times New Roman" w:hAnsi="Times New Roman" w:cs="Times New Roman"/>
                <w:highlight w:val="none"/>
              </w:rPr>
            </w:pPr>
            <w:r>
              <w:rPr>
                <w:rFonts w:hint="eastAsia" w:ascii="Calibri" w:hAnsi="Calibri" w:cs="Times New Roman"/>
                <w:kern w:val="2"/>
              </w:rPr>
              <w:t>本过程主</w:t>
            </w:r>
            <w:r>
              <w:rPr>
                <w:rFonts w:hint="default" w:ascii="Times New Roman" w:hAnsi="Times New Roman" w:cs="Times New Roman"/>
                <w:kern w:val="2"/>
                <w:highlight w:val="none"/>
              </w:rPr>
              <w:t>要废气为挥发性有机物（甲醇、甲烷、</w:t>
            </w:r>
            <w:r>
              <w:rPr>
                <w:rFonts w:hint="default" w:ascii="Times New Roman" w:hAnsi="Times New Roman" w:cs="Times New Roman"/>
                <w:highlight w:val="none"/>
              </w:rPr>
              <w:t>H</w:t>
            </w:r>
            <w:r>
              <w:rPr>
                <w:rFonts w:hint="default" w:ascii="Times New Roman" w:hAnsi="Times New Roman" w:cs="Times New Roman"/>
                <w:highlight w:val="none"/>
                <w:vertAlign w:val="subscript"/>
              </w:rPr>
              <w:t>2</w:t>
            </w:r>
            <w:r>
              <w:rPr>
                <w:rFonts w:hint="default" w:ascii="Times New Roman" w:hAnsi="Times New Roman" w:cs="Times New Roman"/>
                <w:highlight w:val="none"/>
              </w:rPr>
              <w:t>、CO</w:t>
            </w:r>
            <w:r>
              <w:rPr>
                <w:rFonts w:hint="default" w:ascii="Times New Roman" w:hAnsi="Times New Roman" w:cs="Times New Roman"/>
                <w:kern w:val="2"/>
                <w:highlight w:val="none"/>
              </w:rPr>
              <w:t>等），在渗碳多用炉防爆口设置环形燃烧器（丙烷助燃），燃烧后烟气很快排出，停留时间短，可以有效治理渗碳过程产生的废气。</w:t>
            </w:r>
          </w:p>
          <w:p w14:paraId="6E7845A2">
            <w:pPr>
              <w:ind w:firstLine="480"/>
              <w:rPr>
                <w:rFonts w:hint="default" w:ascii="Times New Roman" w:hAnsi="Times New Roman" w:cs="Times New Roman"/>
                <w:highlight w:val="none"/>
              </w:rPr>
            </w:pPr>
            <w:r>
              <w:rPr>
                <w:rFonts w:hint="default" w:ascii="Times New Roman" w:hAnsi="Times New Roman" w:cs="Times New Roman"/>
                <w:highlight w:val="none"/>
              </w:rPr>
              <w:t>④淬火</w:t>
            </w:r>
          </w:p>
          <w:p w14:paraId="0FAF4109">
            <w:pPr>
              <w:ind w:firstLine="480"/>
              <w:rPr>
                <w:rFonts w:hint="default" w:ascii="Times New Roman" w:hAnsi="Times New Roman" w:cs="Times New Roman"/>
                <w:highlight w:val="none"/>
              </w:rPr>
            </w:pPr>
            <w:r>
              <w:rPr>
                <w:rFonts w:hint="default" w:ascii="Times New Roman" w:hAnsi="Times New Roman" w:cs="Times New Roman"/>
                <w:highlight w:val="none"/>
              </w:rPr>
              <w:t>渗碳完成后工件回渗碳多用炉前室的</w:t>
            </w:r>
            <w:r>
              <w:rPr>
                <w:rFonts w:hint="default" w:ascii="Times New Roman" w:hAnsi="Times New Roman" w:cs="Times New Roman"/>
                <w:highlight w:val="none"/>
                <w:lang w:eastAsia="zh-CN"/>
              </w:rPr>
              <w:t>淬火油</w:t>
            </w:r>
            <w:r>
              <w:rPr>
                <w:rFonts w:hint="default" w:ascii="Times New Roman" w:hAnsi="Times New Roman" w:cs="Times New Roman"/>
                <w:highlight w:val="none"/>
              </w:rPr>
              <w:t>槽进行淬火，淬火温度约为870℃，淬火介质为淬火槽内的</w:t>
            </w:r>
            <w:r>
              <w:rPr>
                <w:rFonts w:hint="default" w:ascii="Times New Roman" w:hAnsi="Times New Roman" w:cs="Times New Roman"/>
                <w:highlight w:val="none"/>
                <w:lang w:eastAsia="zh-CN"/>
              </w:rPr>
              <w:t>淬火油</w:t>
            </w:r>
            <w:r>
              <w:rPr>
                <w:rFonts w:hint="default" w:ascii="Times New Roman" w:hAnsi="Times New Roman" w:cs="Times New Roman"/>
                <w:highlight w:val="none"/>
              </w:rPr>
              <w:t>，淬火时间0.5个小时。</w:t>
            </w:r>
          </w:p>
          <w:p w14:paraId="0F01E017">
            <w:pPr>
              <w:pStyle w:val="2"/>
              <w:spacing w:line="360" w:lineRule="auto"/>
              <w:ind w:leftChars="0" w:firstLine="480"/>
              <w:rPr>
                <w:rFonts w:hint="default" w:ascii="Times New Roman" w:hAnsi="Times New Roman" w:cs="Times New Roman"/>
                <w:sz w:val="24"/>
                <w:highlight w:val="none"/>
              </w:rPr>
            </w:pPr>
            <w:r>
              <w:rPr>
                <w:rFonts w:hint="default" w:ascii="Times New Roman" w:hAnsi="Times New Roman" w:cs="Times New Roman"/>
                <w:sz w:val="24"/>
                <w:highlight w:val="none"/>
              </w:rPr>
              <w:t>⑤清洗</w:t>
            </w:r>
          </w:p>
          <w:p w14:paraId="01F40188">
            <w:pPr>
              <w:pStyle w:val="2"/>
              <w:spacing w:line="460" w:lineRule="exact"/>
              <w:ind w:leftChars="0" w:firstLine="480"/>
              <w:rPr>
                <w:rFonts w:hint="default" w:ascii="Times New Roman" w:hAnsi="Times New Roman" w:cs="Times New Roman"/>
                <w:sz w:val="24"/>
                <w:highlight w:val="none"/>
              </w:rPr>
            </w:pPr>
            <w:r>
              <w:rPr>
                <w:rFonts w:hint="default" w:ascii="Times New Roman" w:hAnsi="Times New Roman" w:cs="Times New Roman"/>
                <w:sz w:val="24"/>
                <w:highlight w:val="none"/>
              </w:rPr>
              <w:t>淬火之后的工件出炉至自动清洗机（与预氧化前清洗共用1个清洗机），清洗时间30分钟（包含盐水发泡、清水喷淋和滴水时间），加入金属清洗剂以除去表面油污，清洗废水循环使用，定期补加，上层油污由清洗机自带的油水分离器自动分离，作为危废处置。</w:t>
            </w:r>
          </w:p>
          <w:p w14:paraId="78C9C7AE">
            <w:pPr>
              <w:pStyle w:val="2"/>
              <w:spacing w:line="460" w:lineRule="exact"/>
              <w:ind w:leftChars="0" w:firstLine="480"/>
              <w:rPr>
                <w:rFonts w:ascii="Calibri" w:hAnsi="Calibri"/>
                <w:sz w:val="24"/>
              </w:rPr>
            </w:pPr>
            <w:r>
              <w:rPr>
                <w:rFonts w:hint="eastAsia" w:ascii="Calibri" w:hAnsi="Calibri"/>
                <w:sz w:val="24"/>
              </w:rPr>
              <w:fldChar w:fldCharType="begin"/>
            </w:r>
            <w:r>
              <w:rPr>
                <w:rFonts w:hint="eastAsia" w:ascii="Calibri" w:hAnsi="Calibri"/>
                <w:sz w:val="24"/>
              </w:rPr>
              <w:instrText xml:space="preserve"> = 6 \* GB3 \* MERGEFORMAT </w:instrText>
            </w:r>
            <w:r>
              <w:rPr>
                <w:rFonts w:hint="eastAsia" w:ascii="Calibri" w:hAnsi="Calibri"/>
                <w:sz w:val="24"/>
              </w:rPr>
              <w:fldChar w:fldCharType="separate"/>
            </w:r>
            <w:r>
              <w:rPr>
                <w:rFonts w:hint="eastAsia" w:ascii="Calibri" w:hAnsi="Calibri"/>
                <w:sz w:val="24"/>
              </w:rPr>
              <w:t>⑥</w:t>
            </w:r>
            <w:r>
              <w:rPr>
                <w:rFonts w:hint="eastAsia" w:ascii="Calibri" w:hAnsi="Calibri"/>
                <w:sz w:val="24"/>
              </w:rPr>
              <w:fldChar w:fldCharType="end"/>
            </w:r>
            <w:r>
              <w:rPr>
                <w:rFonts w:hint="eastAsia" w:ascii="Calibri" w:hAnsi="Calibri"/>
                <w:sz w:val="24"/>
              </w:rPr>
              <w:t>回火</w:t>
            </w:r>
          </w:p>
          <w:p w14:paraId="200FB60E">
            <w:pPr>
              <w:pStyle w:val="2"/>
              <w:spacing w:line="460" w:lineRule="exact"/>
              <w:ind w:leftChars="0" w:firstLine="480"/>
              <w:rPr>
                <w:rFonts w:ascii="Calibri" w:hAnsi="Calibri"/>
                <w:sz w:val="24"/>
              </w:rPr>
            </w:pPr>
            <w:r>
              <w:rPr>
                <w:rFonts w:hint="eastAsia" w:ascii="Calibri" w:hAnsi="Calibri"/>
                <w:sz w:val="24"/>
              </w:rPr>
              <w:t>工件清洗之后进入低温回火炉</w:t>
            </w:r>
            <w:r>
              <w:rPr>
                <w:rFonts w:hint="eastAsia" w:ascii="Calibri" w:hAnsi="Calibri"/>
                <w:sz w:val="24"/>
                <w:lang w:eastAsia="zh-CN"/>
              </w:rPr>
              <w:t>，</w:t>
            </w:r>
            <w:r>
              <w:rPr>
                <w:rFonts w:hint="eastAsia" w:ascii="Calibri" w:hAnsi="Calibri"/>
                <w:sz w:val="24"/>
              </w:rPr>
              <w:t>170℃低温回火2小时</w:t>
            </w:r>
            <w:r>
              <w:rPr>
                <w:rFonts w:hint="eastAsia"/>
              </w:rPr>
              <w:t>。</w:t>
            </w:r>
            <w:r>
              <w:rPr>
                <w:rFonts w:hint="eastAsia" w:ascii="Calibri" w:hAnsi="Calibri"/>
                <w:sz w:val="24"/>
              </w:rPr>
              <w:t>以消除工件淬火时产生的残留应力，防止变形和开裂，同时调整工件的硬度、强度、塑性和韧性，改善和提高加工性能，从而满足各种机械零件和工具的不同使用要求。</w:t>
            </w:r>
          </w:p>
          <w:p w14:paraId="568D8C46">
            <w:pPr>
              <w:pStyle w:val="2"/>
              <w:spacing w:line="460" w:lineRule="exact"/>
              <w:ind w:leftChars="0" w:firstLine="480"/>
              <w:rPr>
                <w:rFonts w:ascii="Calibri" w:hAnsi="Calibri"/>
                <w:sz w:val="24"/>
                <w:highlight w:val="none"/>
              </w:rPr>
            </w:pPr>
            <w:r>
              <w:rPr>
                <w:rFonts w:hint="eastAsia" w:ascii="Calibri" w:hAnsi="Calibri"/>
                <w:sz w:val="24"/>
              </w:rPr>
              <w:fldChar w:fldCharType="begin"/>
            </w:r>
            <w:r>
              <w:rPr>
                <w:rFonts w:hint="eastAsia" w:ascii="Calibri" w:hAnsi="Calibri"/>
                <w:sz w:val="24"/>
              </w:rPr>
              <w:instrText xml:space="preserve"> = 7 \* GB3 \* MERGEFORMAT </w:instrText>
            </w:r>
            <w:r>
              <w:rPr>
                <w:rFonts w:hint="eastAsia" w:ascii="Calibri" w:hAnsi="Calibri"/>
                <w:sz w:val="24"/>
              </w:rPr>
              <w:fldChar w:fldCharType="separate"/>
            </w:r>
            <w:r>
              <w:rPr>
                <w:rFonts w:hint="eastAsia" w:ascii="Calibri" w:hAnsi="Calibri"/>
                <w:sz w:val="24"/>
              </w:rPr>
              <w:t>⑦</w:t>
            </w:r>
            <w:r>
              <w:rPr>
                <w:rFonts w:hint="eastAsia" w:ascii="Calibri" w:hAnsi="Calibri"/>
                <w:sz w:val="24"/>
              </w:rPr>
              <w:fldChar w:fldCharType="end"/>
            </w:r>
            <w:r>
              <w:rPr>
                <w:rFonts w:hint="eastAsia" w:ascii="Calibri" w:hAnsi="Calibri"/>
                <w:sz w:val="24"/>
              </w:rPr>
              <w:t>检验：低温回火完成待工件空气冷却</w:t>
            </w:r>
            <w:r>
              <w:rPr>
                <w:rFonts w:hint="eastAsia" w:ascii="Calibri" w:hAnsi="Calibri"/>
                <w:spacing w:val="-6"/>
                <w:sz w:val="24"/>
              </w:rPr>
              <w:t>后进行产品硬度</w:t>
            </w:r>
            <w:r>
              <w:rPr>
                <w:rFonts w:hint="eastAsia" w:ascii="Calibri" w:hAnsi="Calibri"/>
                <w:spacing w:val="-6"/>
                <w:sz w:val="24"/>
                <w:highlight w:val="none"/>
              </w:rPr>
              <w:t>的抽样检验，时间20分钟。</w:t>
            </w:r>
          </w:p>
          <w:p w14:paraId="11B16ED9">
            <w:pPr>
              <w:widowControl/>
              <w:spacing w:line="460" w:lineRule="exact"/>
              <w:ind w:firstLine="482"/>
              <w:jc w:val="left"/>
              <w:rPr>
                <w:highlight w:val="none"/>
              </w:rPr>
            </w:pPr>
            <w:r>
              <w:rPr>
                <w:b/>
                <w:bCs/>
                <w:color w:val="000000"/>
                <w:kern w:val="0"/>
                <w:highlight w:val="none"/>
              </w:rPr>
              <w:t>本项目</w:t>
            </w:r>
            <w:r>
              <w:rPr>
                <w:rFonts w:hint="eastAsia"/>
                <w:b/>
                <w:bCs/>
                <w:color w:val="000000"/>
                <w:kern w:val="0"/>
                <w:highlight w:val="none"/>
              </w:rPr>
              <w:t>热处理</w:t>
            </w:r>
            <w:r>
              <w:rPr>
                <w:b/>
                <w:bCs/>
                <w:color w:val="000000"/>
                <w:kern w:val="0"/>
                <w:highlight w:val="none"/>
              </w:rPr>
              <w:t>过程</w:t>
            </w:r>
            <w:r>
              <w:rPr>
                <w:rFonts w:hint="eastAsia"/>
                <w:b/>
                <w:bCs/>
                <w:color w:val="000000"/>
                <w:kern w:val="0"/>
                <w:highlight w:val="none"/>
              </w:rPr>
              <w:t>废气</w:t>
            </w:r>
            <w:r>
              <w:rPr>
                <w:b/>
                <w:bCs/>
                <w:color w:val="000000"/>
                <w:kern w:val="0"/>
                <w:highlight w:val="none"/>
              </w:rPr>
              <w:t>污染源主要为</w:t>
            </w:r>
            <w:r>
              <w:rPr>
                <w:rFonts w:hint="eastAsia"/>
                <w:b/>
                <w:bCs/>
                <w:color w:val="000000"/>
                <w:kern w:val="0"/>
                <w:highlight w:val="none"/>
              </w:rPr>
              <w:t>渗碳产生的挥发性有机物</w:t>
            </w:r>
            <w:r>
              <w:rPr>
                <w:rFonts w:hint="eastAsia" w:ascii="Calibri" w:hAnsi="Calibri"/>
                <w:b/>
                <w:bCs/>
                <w:highlight w:val="none"/>
              </w:rPr>
              <w:t>（甲醇、甲烷、氢气、一氧化碳等），</w:t>
            </w:r>
            <w:r>
              <w:rPr>
                <w:rFonts w:hint="eastAsia"/>
                <w:b/>
                <w:bCs/>
                <w:color w:val="000000"/>
                <w:kern w:val="0"/>
                <w:highlight w:val="none"/>
              </w:rPr>
              <w:t>淬火/回火产生的挥发性有机物（以非甲烷总烃代）、油雾</w:t>
            </w:r>
            <w:r>
              <w:rPr>
                <w:b/>
                <w:bCs/>
                <w:color w:val="000000"/>
                <w:kern w:val="0"/>
                <w:highlight w:val="none"/>
              </w:rPr>
              <w:t>；</w:t>
            </w:r>
            <w:r>
              <w:rPr>
                <w:rFonts w:hint="eastAsia"/>
                <w:b/>
                <w:bCs/>
                <w:color w:val="000000"/>
                <w:kern w:val="0"/>
                <w:highlight w:val="none"/>
              </w:rPr>
              <w:t>清洗机定期清理废水；</w:t>
            </w:r>
            <w:r>
              <w:rPr>
                <w:b/>
                <w:bCs/>
                <w:color w:val="000000"/>
                <w:kern w:val="0"/>
                <w:highlight w:val="none"/>
              </w:rPr>
              <w:t>噪声污染源主要为</w:t>
            </w:r>
            <w:r>
              <w:rPr>
                <w:rFonts w:hint="eastAsia"/>
                <w:b/>
                <w:bCs/>
                <w:color w:val="000000"/>
                <w:kern w:val="0"/>
                <w:highlight w:val="none"/>
              </w:rPr>
              <w:t>设备</w:t>
            </w:r>
            <w:r>
              <w:rPr>
                <w:b/>
                <w:bCs/>
                <w:color w:val="000000"/>
                <w:kern w:val="0"/>
                <w:highlight w:val="none"/>
              </w:rPr>
              <w:t>运行过程中产生的设备噪声；固体废物主要为</w:t>
            </w:r>
            <w:r>
              <w:rPr>
                <w:rFonts w:hint="eastAsia"/>
                <w:b/>
                <w:bCs/>
                <w:color w:val="000000"/>
                <w:kern w:val="0"/>
                <w:highlight w:val="none"/>
              </w:rPr>
              <w:t>氧化前清洗和清洗过程产生的油污和含油金属沉淀物，淬火槽内</w:t>
            </w:r>
            <w:r>
              <w:rPr>
                <w:rFonts w:hint="eastAsia"/>
                <w:b/>
                <w:bCs/>
                <w:color w:val="000000"/>
                <w:kern w:val="0"/>
                <w:highlight w:val="none"/>
                <w:lang w:eastAsia="zh-CN"/>
              </w:rPr>
              <w:t>淬火油</w:t>
            </w:r>
            <w:r>
              <w:rPr>
                <w:rFonts w:hint="eastAsia"/>
                <w:b/>
                <w:bCs/>
                <w:color w:val="000000"/>
                <w:kern w:val="0"/>
                <w:highlight w:val="none"/>
              </w:rPr>
              <w:t>6-8年更换一次产生的废</w:t>
            </w:r>
            <w:r>
              <w:rPr>
                <w:rFonts w:hint="eastAsia"/>
                <w:b/>
                <w:bCs/>
                <w:color w:val="000000"/>
                <w:kern w:val="0"/>
                <w:highlight w:val="none"/>
                <w:lang w:eastAsia="zh-CN"/>
              </w:rPr>
              <w:t>淬火油</w:t>
            </w:r>
            <w:r>
              <w:rPr>
                <w:rFonts w:hint="eastAsia"/>
                <w:b/>
                <w:bCs/>
                <w:kern w:val="0"/>
                <w:highlight w:val="none"/>
              </w:rPr>
              <w:t>，治理设施产生的废</w:t>
            </w:r>
            <w:r>
              <w:rPr>
                <w:rFonts w:hint="eastAsia"/>
                <w:b/>
                <w:bCs/>
                <w:kern w:val="0"/>
                <w:highlight w:val="none"/>
                <w:lang w:eastAsia="zh-CN"/>
              </w:rPr>
              <w:t>淬火油</w:t>
            </w:r>
            <w:r>
              <w:rPr>
                <w:rFonts w:hint="eastAsia"/>
                <w:b/>
                <w:bCs/>
                <w:kern w:val="0"/>
                <w:highlight w:val="none"/>
              </w:rPr>
              <w:t>和废活性炭，</w:t>
            </w:r>
            <w:r>
              <w:rPr>
                <w:rFonts w:hint="eastAsia"/>
                <w:b/>
                <w:bCs/>
                <w:color w:val="000000"/>
                <w:kern w:val="0"/>
                <w:highlight w:val="none"/>
              </w:rPr>
              <w:t>检验过程产生的不合格工件、</w:t>
            </w:r>
            <w:r>
              <w:rPr>
                <w:b/>
                <w:bCs/>
                <w:color w:val="000000"/>
                <w:kern w:val="0"/>
                <w:highlight w:val="none"/>
              </w:rPr>
              <w:t>机械设备运行与维护过程中产生的废润滑油</w:t>
            </w:r>
            <w:r>
              <w:rPr>
                <w:rFonts w:hint="eastAsia"/>
                <w:b/>
                <w:bCs/>
                <w:color w:val="000000"/>
                <w:kern w:val="0"/>
                <w:highlight w:val="none"/>
              </w:rPr>
              <w:t>、使用</w:t>
            </w:r>
            <w:r>
              <w:rPr>
                <w:rFonts w:hint="eastAsia"/>
                <w:b/>
                <w:bCs/>
                <w:color w:val="000000"/>
                <w:kern w:val="0"/>
                <w:highlight w:val="none"/>
                <w:lang w:eastAsia="zh-CN"/>
              </w:rPr>
              <w:t>淬火油</w:t>
            </w:r>
            <w:r>
              <w:rPr>
                <w:rFonts w:hint="eastAsia"/>
                <w:b/>
                <w:bCs/>
                <w:color w:val="000000"/>
                <w:kern w:val="0"/>
                <w:highlight w:val="none"/>
              </w:rPr>
              <w:t>和润滑油产生的废油桶。</w:t>
            </w:r>
          </w:p>
          <w:p w14:paraId="24F8E828">
            <w:pPr>
              <w:pStyle w:val="2"/>
              <w:numPr>
                <w:ilvl w:val="0"/>
                <w:numId w:val="11"/>
              </w:numPr>
              <w:spacing w:line="460" w:lineRule="exact"/>
              <w:ind w:leftChars="0" w:firstLine="480"/>
              <w:rPr>
                <w:sz w:val="24"/>
              </w:rPr>
            </w:pPr>
            <w:r>
              <w:rPr>
                <w:rFonts w:hint="eastAsia"/>
                <w:sz w:val="24"/>
              </w:rPr>
              <w:t>抛丸清理</w:t>
            </w:r>
          </w:p>
          <w:p w14:paraId="5E250807">
            <w:pPr>
              <w:pStyle w:val="2"/>
              <w:spacing w:line="460" w:lineRule="exact"/>
              <w:ind w:leftChars="0" w:firstLine="547" w:firstLineChars="228"/>
              <w:rPr>
                <w:sz w:val="24"/>
                <w:highlight w:val="none"/>
              </w:rPr>
            </w:pPr>
            <w:r>
              <w:rPr>
                <w:rFonts w:hint="eastAsia"/>
                <w:sz w:val="24"/>
                <w:highlight w:val="none"/>
              </w:rPr>
              <w:t>打开防护门，将热处理完的工件摆放至抛丸机内，采用转盘式抛丸方式，平放摆放整齐（每个工件需要正反面抛丸）；装满之后关好防护门，依次按下除尘风机-提升启动-转盘正转-抛头电机两个依次启动-挡沙板打开（启动完毕），倒计时6分钟结束；打开防护门，把抛丸机内工件全部翻面，然后关闭防护门，启动抛丸机，依次按下除尘风机-提升启动-转盘正转-抛头电机两个依次启动-挡沙板打开（启动完毕），倒计时6分钟结束；待抛丸机彻底停机以后将内部抛丸好的工件依次摆放至工装挂具内，再进入清洗机对表面金属颗粒进行清洗，清洗机内</w:t>
            </w:r>
            <w:r>
              <w:rPr>
                <w:rFonts w:hint="eastAsia" w:ascii="Calibri" w:hAnsi="Calibri"/>
                <w:sz w:val="24"/>
                <w:highlight w:val="none"/>
              </w:rPr>
              <w:t>加入金属清洗剂，</w:t>
            </w:r>
            <w:r>
              <w:rPr>
                <w:rFonts w:hint="eastAsia"/>
                <w:sz w:val="24"/>
                <w:highlight w:val="none"/>
              </w:rPr>
              <w:t>清洗方式为喷淋式，清洗</w:t>
            </w:r>
            <w:r>
              <w:rPr>
                <w:rFonts w:hint="eastAsia"/>
                <w:sz w:val="24"/>
                <w:highlight w:val="none"/>
                <w:lang w:val="en-US" w:eastAsia="zh-CN"/>
              </w:rPr>
              <w:t>用水</w:t>
            </w:r>
            <w:r>
              <w:rPr>
                <w:rFonts w:hint="eastAsia"/>
                <w:sz w:val="24"/>
                <w:highlight w:val="none"/>
              </w:rPr>
              <w:t>循环使用</w:t>
            </w:r>
            <w:r>
              <w:rPr>
                <w:rFonts w:hint="eastAsia"/>
                <w:sz w:val="24"/>
                <w:highlight w:val="none"/>
                <w:lang w:eastAsia="zh-CN"/>
              </w:rPr>
              <w:t>，</w:t>
            </w:r>
            <w:r>
              <w:rPr>
                <w:rFonts w:hint="eastAsia"/>
                <w:sz w:val="24"/>
                <w:highlight w:val="none"/>
                <w:lang w:val="en-US" w:eastAsia="zh-CN"/>
              </w:rPr>
              <w:t>定期添加，定期更换</w:t>
            </w:r>
            <w:r>
              <w:rPr>
                <w:rFonts w:hint="eastAsia"/>
                <w:sz w:val="24"/>
                <w:highlight w:val="none"/>
              </w:rPr>
              <w:t>。</w:t>
            </w:r>
          </w:p>
          <w:p w14:paraId="474B677B">
            <w:pPr>
              <w:widowControl/>
              <w:spacing w:line="460" w:lineRule="exact"/>
              <w:ind w:firstLine="482"/>
              <w:jc w:val="left"/>
              <w:rPr>
                <w:highlight w:val="none"/>
              </w:rPr>
            </w:pPr>
            <w:r>
              <w:rPr>
                <w:b/>
                <w:bCs/>
                <w:color w:val="000000"/>
                <w:kern w:val="0"/>
                <w:highlight w:val="none"/>
              </w:rPr>
              <w:t>本项目</w:t>
            </w:r>
            <w:r>
              <w:rPr>
                <w:rFonts w:hint="eastAsia"/>
                <w:b/>
                <w:bCs/>
                <w:color w:val="000000"/>
                <w:kern w:val="0"/>
                <w:highlight w:val="none"/>
              </w:rPr>
              <w:t>抛丸清理</w:t>
            </w:r>
            <w:r>
              <w:rPr>
                <w:b/>
                <w:bCs/>
                <w:color w:val="000000"/>
                <w:kern w:val="0"/>
                <w:highlight w:val="none"/>
              </w:rPr>
              <w:t>过程</w:t>
            </w:r>
            <w:r>
              <w:rPr>
                <w:rFonts w:hint="eastAsia"/>
                <w:b/>
                <w:bCs/>
                <w:color w:val="000000"/>
                <w:kern w:val="0"/>
                <w:highlight w:val="none"/>
              </w:rPr>
              <w:t>废气</w:t>
            </w:r>
            <w:r>
              <w:rPr>
                <w:b/>
                <w:bCs/>
                <w:color w:val="000000"/>
                <w:kern w:val="0"/>
                <w:highlight w:val="none"/>
              </w:rPr>
              <w:t>污染源主要为</w:t>
            </w:r>
            <w:r>
              <w:rPr>
                <w:rFonts w:hint="eastAsia"/>
                <w:b/>
                <w:bCs/>
                <w:color w:val="000000"/>
                <w:kern w:val="0"/>
                <w:highlight w:val="none"/>
              </w:rPr>
              <w:t>抛丸过程产生的颗粒物</w:t>
            </w:r>
            <w:r>
              <w:rPr>
                <w:b/>
                <w:bCs/>
                <w:color w:val="000000"/>
                <w:kern w:val="0"/>
                <w:highlight w:val="none"/>
              </w:rPr>
              <w:t>；</w:t>
            </w:r>
            <w:r>
              <w:rPr>
                <w:rFonts w:hint="eastAsia"/>
                <w:b/>
                <w:bCs/>
                <w:color w:val="000000"/>
                <w:kern w:val="0"/>
                <w:highlight w:val="none"/>
              </w:rPr>
              <w:t>清洗机定期清理废水；</w:t>
            </w:r>
            <w:r>
              <w:rPr>
                <w:b/>
                <w:bCs/>
                <w:color w:val="000000"/>
                <w:kern w:val="0"/>
                <w:highlight w:val="none"/>
              </w:rPr>
              <w:t>噪声污染源主要为</w:t>
            </w:r>
            <w:r>
              <w:rPr>
                <w:rFonts w:hint="eastAsia"/>
                <w:b/>
                <w:bCs/>
                <w:color w:val="000000"/>
                <w:kern w:val="0"/>
                <w:highlight w:val="none"/>
              </w:rPr>
              <w:t>设备</w:t>
            </w:r>
            <w:r>
              <w:rPr>
                <w:b/>
                <w:bCs/>
                <w:color w:val="000000"/>
                <w:kern w:val="0"/>
                <w:highlight w:val="none"/>
              </w:rPr>
              <w:t>运行过程中产生的设备噪声；固体废物主要为</w:t>
            </w:r>
            <w:r>
              <w:rPr>
                <w:rFonts w:hint="eastAsia"/>
                <w:b/>
                <w:bCs/>
                <w:color w:val="000000"/>
                <w:kern w:val="0"/>
                <w:highlight w:val="none"/>
              </w:rPr>
              <w:t>清洗废水过滤出的</w:t>
            </w:r>
            <w:r>
              <w:rPr>
                <w:rFonts w:hint="eastAsia"/>
                <w:b/>
                <w:bCs/>
                <w:kern w:val="0"/>
                <w:highlight w:val="none"/>
              </w:rPr>
              <w:t>废金属沉淀物、</w:t>
            </w:r>
            <w:r>
              <w:rPr>
                <w:b/>
                <w:bCs/>
                <w:color w:val="000000"/>
                <w:kern w:val="0"/>
                <w:highlight w:val="none"/>
              </w:rPr>
              <w:t>机械设备运行与维护过程中产生的废润滑油</w:t>
            </w:r>
            <w:r>
              <w:rPr>
                <w:rFonts w:hint="eastAsia"/>
                <w:b/>
                <w:bCs/>
                <w:color w:val="000000"/>
                <w:kern w:val="0"/>
                <w:highlight w:val="none"/>
              </w:rPr>
              <w:t>、废油桶、脉冲布袋除尘器产生的除尘灰、废布袋</w:t>
            </w:r>
            <w:r>
              <w:rPr>
                <w:b/>
                <w:bCs/>
                <w:color w:val="000000"/>
                <w:kern w:val="0"/>
                <w:highlight w:val="none"/>
              </w:rPr>
              <w:t>。</w:t>
            </w:r>
          </w:p>
          <w:p w14:paraId="54D21B0D">
            <w:pPr>
              <w:numPr>
                <w:ilvl w:val="0"/>
                <w:numId w:val="11"/>
              </w:numPr>
              <w:spacing w:line="460" w:lineRule="exact"/>
              <w:ind w:firstLine="480"/>
              <w:rPr>
                <w:highlight w:val="none"/>
              </w:rPr>
            </w:pPr>
            <w:r>
              <w:rPr>
                <w:rFonts w:hint="eastAsia"/>
                <w:highlight w:val="none"/>
              </w:rPr>
              <w:t>热后车磨</w:t>
            </w:r>
          </w:p>
          <w:p w14:paraId="0175B438">
            <w:pPr>
              <w:spacing w:line="460" w:lineRule="exact"/>
              <w:ind w:firstLine="480"/>
            </w:pPr>
            <w:r>
              <w:rPr>
                <w:rFonts w:hint="eastAsia"/>
              </w:rPr>
              <w:t>抛丸清理后需要车磨的部分工件使用磨床对工件进行进一步打磨加工，</w:t>
            </w:r>
            <w:r>
              <w:rPr>
                <w:rFonts w:hint="eastAsia"/>
                <w:color w:val="000000"/>
                <w:kern w:val="0"/>
              </w:rPr>
              <w:t>然后进行检验</w:t>
            </w:r>
            <w:r>
              <w:rPr>
                <w:rFonts w:hint="eastAsia"/>
              </w:rPr>
              <w:t>。</w:t>
            </w:r>
          </w:p>
          <w:p w14:paraId="2BC4BEF0">
            <w:pPr>
              <w:widowControl/>
              <w:spacing w:line="460" w:lineRule="exact"/>
              <w:ind w:firstLine="482"/>
              <w:jc w:val="left"/>
              <w:rPr>
                <w:highlight w:val="none"/>
              </w:rPr>
            </w:pPr>
            <w:r>
              <w:rPr>
                <w:b/>
                <w:bCs/>
                <w:color w:val="000000"/>
                <w:kern w:val="0"/>
              </w:rPr>
              <w:t>本项目</w:t>
            </w:r>
            <w:r>
              <w:rPr>
                <w:rFonts w:hint="eastAsia"/>
                <w:b/>
                <w:bCs/>
                <w:color w:val="000000"/>
                <w:kern w:val="0"/>
              </w:rPr>
              <w:t>热后车磨</w:t>
            </w:r>
            <w:r>
              <w:rPr>
                <w:b/>
                <w:bCs/>
                <w:color w:val="000000"/>
                <w:kern w:val="0"/>
              </w:rPr>
              <w:t>过程噪声污染源主要为</w:t>
            </w:r>
            <w:r>
              <w:rPr>
                <w:rFonts w:hint="eastAsia"/>
                <w:b/>
                <w:bCs/>
              </w:rPr>
              <w:t>磨床</w:t>
            </w:r>
            <w:r>
              <w:rPr>
                <w:b/>
                <w:bCs/>
                <w:color w:val="000000"/>
                <w:kern w:val="0"/>
              </w:rPr>
              <w:t>运行过程中产生的设备噪声；固体废物</w:t>
            </w:r>
            <w:r>
              <w:rPr>
                <w:rFonts w:hint="eastAsia"/>
                <w:b/>
                <w:bCs/>
                <w:color w:val="000000"/>
                <w:kern w:val="0"/>
              </w:rPr>
              <w:t>车磨</w:t>
            </w:r>
            <w:r>
              <w:rPr>
                <w:b/>
                <w:bCs/>
                <w:color w:val="000000"/>
                <w:kern w:val="0"/>
              </w:rPr>
              <w:t>过程产生的</w:t>
            </w:r>
            <w:r>
              <w:rPr>
                <w:rFonts w:hint="eastAsia"/>
                <w:b/>
                <w:bCs/>
                <w:color w:val="000000"/>
                <w:kern w:val="0"/>
              </w:rPr>
              <w:t>废铁屑</w:t>
            </w:r>
            <w:r>
              <w:rPr>
                <w:b/>
                <w:bCs/>
                <w:color w:val="000000"/>
                <w:kern w:val="0"/>
              </w:rPr>
              <w:t>、含油</w:t>
            </w:r>
            <w:r>
              <w:rPr>
                <w:rFonts w:hint="eastAsia"/>
                <w:b/>
                <w:bCs/>
                <w:color w:val="000000"/>
                <w:kern w:val="0"/>
              </w:rPr>
              <w:t>铁屑</w:t>
            </w:r>
            <w:r>
              <w:rPr>
                <w:b/>
                <w:bCs/>
                <w:color w:val="000000"/>
                <w:kern w:val="0"/>
              </w:rPr>
              <w:t>、废切削液、</w:t>
            </w:r>
            <w:r>
              <w:rPr>
                <w:rFonts w:hint="eastAsia"/>
                <w:b/>
                <w:bCs/>
                <w:color w:val="000000"/>
                <w:kern w:val="0"/>
              </w:rPr>
              <w:t>检验产生的不合格工件、</w:t>
            </w:r>
            <w:r>
              <w:rPr>
                <w:b/>
                <w:bCs/>
                <w:color w:val="000000"/>
                <w:kern w:val="0"/>
              </w:rPr>
              <w:t>机械设备运行与维护过程中产生的废润滑油</w:t>
            </w:r>
            <w:r>
              <w:rPr>
                <w:rFonts w:hint="eastAsia"/>
                <w:b/>
                <w:bCs/>
                <w:color w:val="000000"/>
                <w:kern w:val="0"/>
                <w:highlight w:val="none"/>
              </w:rPr>
              <w:t>、使用切削油和润滑油产生的废油桶。</w:t>
            </w:r>
          </w:p>
          <w:p w14:paraId="06FF46AB">
            <w:pPr>
              <w:spacing w:line="460" w:lineRule="exact"/>
              <w:ind w:firstLine="480"/>
            </w:pPr>
            <w:r>
              <w:rPr>
                <w:rFonts w:hint="eastAsia"/>
              </w:rPr>
              <w:t>（5）组装</w:t>
            </w:r>
          </w:p>
          <w:p w14:paraId="5E2432DE">
            <w:pPr>
              <w:spacing w:line="460" w:lineRule="exact"/>
              <w:ind w:firstLine="480"/>
              <w:rPr>
                <w:highlight w:val="none"/>
              </w:rPr>
            </w:pPr>
            <w:r>
              <w:rPr>
                <w:rFonts w:hint="eastAsia"/>
              </w:rPr>
              <w:t>自产的工件加</w:t>
            </w:r>
            <w:r>
              <w:rPr>
                <w:rFonts w:hint="eastAsia"/>
                <w:highlight w:val="none"/>
              </w:rPr>
              <w:t>入外购的工件，在组装线进行工件组装，</w:t>
            </w:r>
            <w:r>
              <w:rPr>
                <w:rFonts w:hint="eastAsia"/>
                <w:color w:val="000000"/>
                <w:kern w:val="0"/>
                <w:highlight w:val="none"/>
              </w:rPr>
              <w:t>然后进行检验</w:t>
            </w:r>
            <w:r>
              <w:rPr>
                <w:rFonts w:hint="eastAsia"/>
                <w:highlight w:val="none"/>
              </w:rPr>
              <w:t>。</w:t>
            </w:r>
          </w:p>
          <w:p w14:paraId="4250FB74">
            <w:pPr>
              <w:pStyle w:val="13"/>
              <w:ind w:left="0" w:leftChars="0" w:right="-34" w:rightChars="-14" w:firstLine="482"/>
              <w:rPr>
                <w:highlight w:val="none"/>
              </w:rPr>
            </w:pPr>
            <w:r>
              <w:rPr>
                <w:b/>
                <w:bCs/>
                <w:color w:val="000000"/>
                <w:kern w:val="0"/>
                <w:highlight w:val="none"/>
              </w:rPr>
              <w:t>本项目</w:t>
            </w:r>
            <w:r>
              <w:rPr>
                <w:rFonts w:hint="eastAsia"/>
                <w:b/>
                <w:bCs/>
                <w:color w:val="000000"/>
                <w:kern w:val="0"/>
                <w:highlight w:val="none"/>
              </w:rPr>
              <w:t>组装</w:t>
            </w:r>
            <w:r>
              <w:rPr>
                <w:b/>
                <w:bCs/>
                <w:color w:val="000000"/>
                <w:kern w:val="0"/>
                <w:highlight w:val="none"/>
              </w:rPr>
              <w:t>过程</w:t>
            </w:r>
            <w:r>
              <w:rPr>
                <w:rFonts w:hint="eastAsia"/>
                <w:b/>
                <w:bCs/>
                <w:color w:val="000000"/>
                <w:kern w:val="0"/>
                <w:highlight w:val="none"/>
              </w:rPr>
              <w:t>产生的</w:t>
            </w:r>
            <w:r>
              <w:rPr>
                <w:b/>
                <w:bCs/>
                <w:color w:val="000000"/>
                <w:kern w:val="0"/>
                <w:highlight w:val="none"/>
              </w:rPr>
              <w:t>固体废物</w:t>
            </w:r>
            <w:r>
              <w:rPr>
                <w:rFonts w:hint="eastAsia"/>
                <w:b/>
                <w:bCs/>
                <w:color w:val="000000"/>
                <w:kern w:val="0"/>
                <w:highlight w:val="none"/>
              </w:rPr>
              <w:t>为不合格工件、外购工件产生的废包箱。</w:t>
            </w:r>
          </w:p>
          <w:p w14:paraId="50615E86">
            <w:pPr>
              <w:spacing w:line="460" w:lineRule="exact"/>
              <w:ind w:firstLine="480"/>
            </w:pPr>
            <w:r>
              <w:rPr>
                <w:rFonts w:hint="eastAsia"/>
              </w:rPr>
              <w:t>（6）热后车磨</w:t>
            </w:r>
          </w:p>
          <w:p w14:paraId="207D05EE">
            <w:pPr>
              <w:spacing w:line="460" w:lineRule="exact"/>
              <w:ind w:firstLine="480"/>
            </w:pPr>
            <w:r>
              <w:rPr>
                <w:rFonts w:hint="eastAsia"/>
              </w:rPr>
              <w:t>组装后的工件使用磨床对工件进行进一步打磨加工，</w:t>
            </w:r>
            <w:r>
              <w:rPr>
                <w:rFonts w:hint="eastAsia"/>
                <w:color w:val="000000"/>
                <w:kern w:val="0"/>
              </w:rPr>
              <w:t>然后进行检验。</w:t>
            </w:r>
          </w:p>
          <w:p w14:paraId="65AE176B">
            <w:pPr>
              <w:widowControl/>
              <w:spacing w:line="460" w:lineRule="exact"/>
              <w:ind w:firstLine="482"/>
              <w:jc w:val="left"/>
              <w:rPr>
                <w:highlight w:val="none"/>
              </w:rPr>
            </w:pPr>
            <w:r>
              <w:rPr>
                <w:b/>
                <w:bCs/>
                <w:color w:val="000000"/>
                <w:kern w:val="0"/>
              </w:rPr>
              <w:t>本项目</w:t>
            </w:r>
            <w:r>
              <w:rPr>
                <w:rFonts w:hint="eastAsia"/>
                <w:b/>
                <w:bCs/>
                <w:color w:val="000000"/>
                <w:kern w:val="0"/>
              </w:rPr>
              <w:t>热后车磨</w:t>
            </w:r>
            <w:r>
              <w:rPr>
                <w:b/>
                <w:bCs/>
                <w:color w:val="000000"/>
                <w:kern w:val="0"/>
              </w:rPr>
              <w:t>过程噪声污染源主要为</w:t>
            </w:r>
            <w:r>
              <w:rPr>
                <w:rFonts w:hint="eastAsia"/>
                <w:b/>
                <w:bCs/>
              </w:rPr>
              <w:t>磨床</w:t>
            </w:r>
            <w:r>
              <w:rPr>
                <w:b/>
                <w:bCs/>
                <w:color w:val="000000"/>
                <w:kern w:val="0"/>
              </w:rPr>
              <w:t>运行过程中产生的设备噪声；固体废物</w:t>
            </w:r>
            <w:r>
              <w:rPr>
                <w:rFonts w:hint="eastAsia"/>
                <w:b/>
                <w:bCs/>
                <w:color w:val="000000"/>
                <w:kern w:val="0"/>
              </w:rPr>
              <w:t>车磨</w:t>
            </w:r>
            <w:r>
              <w:rPr>
                <w:b/>
                <w:bCs/>
                <w:color w:val="000000"/>
                <w:kern w:val="0"/>
              </w:rPr>
              <w:t>过程产生的</w:t>
            </w:r>
            <w:r>
              <w:rPr>
                <w:rFonts w:hint="eastAsia"/>
                <w:b/>
                <w:bCs/>
                <w:color w:val="000000"/>
                <w:kern w:val="0"/>
              </w:rPr>
              <w:t>废铁屑</w:t>
            </w:r>
            <w:r>
              <w:rPr>
                <w:b/>
                <w:bCs/>
                <w:color w:val="000000"/>
                <w:kern w:val="0"/>
              </w:rPr>
              <w:t>、含油</w:t>
            </w:r>
            <w:r>
              <w:rPr>
                <w:rFonts w:hint="eastAsia"/>
                <w:b/>
                <w:bCs/>
                <w:color w:val="000000"/>
                <w:kern w:val="0"/>
              </w:rPr>
              <w:t>铁屑</w:t>
            </w:r>
            <w:r>
              <w:rPr>
                <w:b/>
                <w:bCs/>
                <w:color w:val="000000"/>
                <w:kern w:val="0"/>
              </w:rPr>
              <w:t>、废切削液、</w:t>
            </w:r>
            <w:r>
              <w:rPr>
                <w:rFonts w:hint="eastAsia"/>
                <w:b/>
                <w:bCs/>
                <w:color w:val="000000"/>
                <w:kern w:val="0"/>
                <w:highlight w:val="none"/>
              </w:rPr>
              <w:t>检验产生的不合格工件、</w:t>
            </w:r>
            <w:r>
              <w:rPr>
                <w:b/>
                <w:bCs/>
                <w:color w:val="000000"/>
                <w:kern w:val="0"/>
                <w:highlight w:val="none"/>
              </w:rPr>
              <w:t>机械设备运行与维护过程中产生的废润滑油</w:t>
            </w:r>
            <w:r>
              <w:rPr>
                <w:rFonts w:hint="eastAsia"/>
                <w:b/>
                <w:bCs/>
                <w:color w:val="000000"/>
                <w:kern w:val="0"/>
                <w:highlight w:val="none"/>
              </w:rPr>
              <w:t>、使用切削油和润滑油产生的废油桶。</w:t>
            </w:r>
          </w:p>
          <w:p w14:paraId="4F4EA7DB">
            <w:pPr>
              <w:numPr>
                <w:ilvl w:val="0"/>
                <w:numId w:val="12"/>
              </w:numPr>
              <w:spacing w:line="460" w:lineRule="exact"/>
              <w:ind w:left="547" w:leftChars="228" w:firstLine="0" w:firstLineChars="0"/>
            </w:pPr>
            <w:r>
              <w:rPr>
                <w:rFonts w:hint="eastAsia"/>
              </w:rPr>
              <w:t>入库包装销售</w:t>
            </w:r>
          </w:p>
          <w:p w14:paraId="081090F0">
            <w:pPr>
              <w:spacing w:line="460" w:lineRule="exact"/>
              <w:ind w:left="547" w:leftChars="228" w:firstLine="0" w:firstLineChars="0"/>
            </w:pPr>
            <w:r>
              <w:rPr>
                <w:rFonts w:hint="eastAsia"/>
              </w:rPr>
              <w:drawing>
                <wp:anchor distT="0" distB="0" distL="114935" distR="114935" simplePos="0" relativeHeight="251660288" behindDoc="0" locked="0" layoutInCell="1" allowOverlap="1">
                  <wp:simplePos x="0" y="0"/>
                  <wp:positionH relativeFrom="column">
                    <wp:posOffset>361315</wp:posOffset>
                  </wp:positionH>
                  <wp:positionV relativeFrom="paragraph">
                    <wp:posOffset>330200</wp:posOffset>
                  </wp:positionV>
                  <wp:extent cx="4166235" cy="5536565"/>
                  <wp:effectExtent l="0" t="0" r="5715" b="6985"/>
                  <wp:wrapTopAndBottom/>
                  <wp:docPr id="6" name="图片 6" descr="图片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05"/>
                          <pic:cNvPicPr>
                            <a:picLocks noChangeAspect="1"/>
                          </pic:cNvPicPr>
                        </pic:nvPicPr>
                        <pic:blipFill>
                          <a:blip r:embed="rId16" cstate="print"/>
                          <a:stretch>
                            <a:fillRect/>
                          </a:stretch>
                        </pic:blipFill>
                        <pic:spPr>
                          <a:xfrm>
                            <a:off x="0" y="0"/>
                            <a:ext cx="4166235" cy="5536565"/>
                          </a:xfrm>
                          <a:prstGeom prst="rect">
                            <a:avLst/>
                          </a:prstGeom>
                        </pic:spPr>
                      </pic:pic>
                    </a:graphicData>
                  </a:graphic>
                </wp:anchor>
              </w:drawing>
            </w:r>
            <w:r>
              <w:rPr>
                <w:rFonts w:hint="eastAsia"/>
              </w:rPr>
              <w:t>经检验合格后的成品打包装入库等待销售。</w:t>
            </w:r>
          </w:p>
          <w:p w14:paraId="66996197">
            <w:pPr>
              <w:pStyle w:val="13"/>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rPr>
                <w:b/>
                <w:bCs/>
                <w:sz w:val="21"/>
                <w:szCs w:val="21"/>
              </w:rPr>
            </w:pPr>
            <w:r>
              <w:rPr>
                <w:rFonts w:hint="eastAsia"/>
                <w:b/>
                <w:bCs/>
                <w:sz w:val="21"/>
                <w:szCs w:val="21"/>
              </w:rPr>
              <w:t>图2-</w:t>
            </w:r>
            <w:r>
              <w:rPr>
                <w:rFonts w:hint="eastAsia"/>
                <w:b/>
                <w:bCs/>
                <w:sz w:val="21"/>
                <w:szCs w:val="21"/>
                <w:lang w:val="en-US" w:eastAsia="zh-CN"/>
              </w:rPr>
              <w:t>4</w:t>
            </w:r>
            <w:r>
              <w:rPr>
                <w:rFonts w:hint="eastAsia"/>
                <w:b/>
                <w:bCs/>
                <w:sz w:val="21"/>
                <w:szCs w:val="21"/>
              </w:rPr>
              <w:t xml:space="preserve">  生产工艺及排污节点图</w:t>
            </w:r>
          </w:p>
          <w:p w14:paraId="70560E49">
            <w:pPr>
              <w:ind w:firstLine="0" w:firstLineChars="0"/>
              <w:rPr>
                <w:b/>
                <w:bCs/>
                <w:color w:val="0070C0"/>
              </w:rPr>
            </w:pPr>
            <w:r>
              <w:rPr>
                <w:b/>
                <w:bCs/>
              </w:rPr>
              <w:t>主要污染工序：</w:t>
            </w:r>
          </w:p>
          <w:p w14:paraId="7DCE93F1">
            <w:pPr>
              <w:ind w:firstLine="480"/>
              <w:rPr>
                <w:highlight w:val="none"/>
              </w:rPr>
            </w:pPr>
            <w:r>
              <w:t>（1）废气：</w:t>
            </w:r>
            <w:r>
              <w:rPr>
                <w:rFonts w:hint="eastAsia"/>
              </w:rPr>
              <w:t>本项目废气污染源主要为</w:t>
            </w:r>
            <w:r>
              <w:rPr>
                <w:rFonts w:hint="eastAsia"/>
                <w:highlight w:val="none"/>
              </w:rPr>
              <w:t>热前加工过程数控滚齿机（高速运转）产生的油雾、热处理过程中渗碳产生的挥发性有机物、淬火和回火产生的挥发性有机物（以非甲烷总烃计）和油雾，抛丸过程产生的颗粒物</w:t>
            </w:r>
            <w:r>
              <w:rPr>
                <w:highlight w:val="none"/>
              </w:rPr>
              <w:t>。</w:t>
            </w:r>
          </w:p>
          <w:p w14:paraId="6C334BD4">
            <w:pPr>
              <w:ind w:firstLine="480"/>
              <w:rPr>
                <w:color w:val="0070C0"/>
                <w:highlight w:val="none"/>
              </w:rPr>
            </w:pPr>
            <w:r>
              <w:rPr>
                <w:highlight w:val="none"/>
              </w:rPr>
              <w:t>（2）废水：</w:t>
            </w:r>
            <w:r>
              <w:rPr>
                <w:rFonts w:hint="eastAsia"/>
                <w:highlight w:val="none"/>
              </w:rPr>
              <w:t>本项目废水主要清洗机清理废水、软化水装置产生的浓盐水、蓄热式电锅炉排污水、生活废水</w:t>
            </w:r>
            <w:r>
              <w:rPr>
                <w:highlight w:val="none"/>
              </w:rPr>
              <w:t>。</w:t>
            </w:r>
          </w:p>
          <w:p w14:paraId="675C9759">
            <w:pPr>
              <w:ind w:firstLine="480"/>
              <w:rPr>
                <w:highlight w:val="none"/>
              </w:rPr>
            </w:pPr>
            <w:r>
              <w:rPr>
                <w:highlight w:val="none"/>
              </w:rPr>
              <w:t>（3）噪声：</w:t>
            </w:r>
            <w:r>
              <w:rPr>
                <w:rFonts w:hint="eastAsia"/>
                <w:highlight w:val="none"/>
              </w:rPr>
              <w:t>本项目噪声污染物</w:t>
            </w:r>
            <w:r>
              <w:rPr>
                <w:highlight w:val="none"/>
              </w:rPr>
              <w:t>主要为</w:t>
            </w:r>
            <w:r>
              <w:rPr>
                <w:rFonts w:hint="eastAsia"/>
                <w:highlight w:val="none"/>
              </w:rPr>
              <w:t>生产设备、风机等</w:t>
            </w:r>
            <w:r>
              <w:rPr>
                <w:highlight w:val="none"/>
              </w:rPr>
              <w:t>运行产生的噪声。</w:t>
            </w:r>
          </w:p>
          <w:p w14:paraId="08E9374C">
            <w:pPr>
              <w:tabs>
                <w:tab w:val="left" w:pos="6310"/>
              </w:tabs>
              <w:ind w:firstLine="480"/>
              <w:rPr>
                <w:b/>
                <w:bCs/>
                <w:sz w:val="21"/>
                <w:szCs w:val="21"/>
                <w:highlight w:val="none"/>
              </w:rPr>
            </w:pPr>
            <w:r>
              <w:rPr>
                <w:highlight w:val="none"/>
              </w:rPr>
              <w:t>（4）固体废物：</w:t>
            </w:r>
            <w:r>
              <w:rPr>
                <w:rFonts w:ascii="脣脦脤氓" w:hAnsi="脣脦脤氓" w:eastAsia="脣脦脤氓" w:cs="脣脦脤氓"/>
                <w:color w:val="000000"/>
                <w:kern w:val="0"/>
                <w:sz w:val="25"/>
                <w:szCs w:val="25"/>
                <w:highlight w:val="none"/>
              </w:rPr>
              <w:t>本项目产生的固体废物包</w:t>
            </w:r>
            <w:r>
              <w:rPr>
                <w:rFonts w:ascii="脣脦脤氓" w:hAnsi="脣脦脤氓" w:eastAsia="脣脦脤氓" w:cs="脣脦脤氓"/>
                <w:kern w:val="0"/>
                <w:sz w:val="25"/>
                <w:szCs w:val="25"/>
                <w:highlight w:val="none"/>
              </w:rPr>
              <w:t>括</w:t>
            </w:r>
            <w:r>
              <w:rPr>
                <w:rFonts w:hint="eastAsia" w:ascii="脣脦脤氓" w:hAnsi="脣脦脤氓" w:eastAsia="脣脦脤氓" w:cs="脣脦脤氓"/>
                <w:kern w:val="0"/>
                <w:sz w:val="25"/>
                <w:szCs w:val="25"/>
                <w:highlight w:val="none"/>
              </w:rPr>
              <w:t>不合格工件、下脚料、</w:t>
            </w:r>
            <w:r>
              <w:rPr>
                <w:rFonts w:hint="eastAsia"/>
                <w:kern w:val="0"/>
                <w:highlight w:val="none"/>
              </w:rPr>
              <w:t>废铁屑</w:t>
            </w:r>
            <w:r>
              <w:rPr>
                <w:kern w:val="0"/>
                <w:highlight w:val="none"/>
              </w:rPr>
              <w:t>、含油</w:t>
            </w:r>
            <w:r>
              <w:rPr>
                <w:rFonts w:hint="eastAsia"/>
                <w:kern w:val="0"/>
                <w:highlight w:val="none"/>
              </w:rPr>
              <w:t>铁屑</w:t>
            </w:r>
            <w:r>
              <w:rPr>
                <w:kern w:val="0"/>
                <w:highlight w:val="none"/>
              </w:rPr>
              <w:t>、</w:t>
            </w:r>
            <w:r>
              <w:rPr>
                <w:rFonts w:hint="eastAsia"/>
                <w:kern w:val="0"/>
                <w:highlight w:val="none"/>
              </w:rPr>
              <w:t>废金属沉淀物、含油金属沉淀物、</w:t>
            </w:r>
            <w:r>
              <w:rPr>
                <w:kern w:val="0"/>
                <w:highlight w:val="none"/>
              </w:rPr>
              <w:t>废切削液、</w:t>
            </w:r>
            <w:r>
              <w:rPr>
                <w:rFonts w:hint="eastAsia"/>
                <w:kern w:val="0"/>
                <w:highlight w:val="none"/>
              </w:rPr>
              <w:t>废液压油、废</w:t>
            </w:r>
            <w:r>
              <w:rPr>
                <w:rFonts w:hint="eastAsia"/>
                <w:kern w:val="0"/>
                <w:highlight w:val="none"/>
                <w:lang w:eastAsia="zh-CN"/>
              </w:rPr>
              <w:t>淬火油</w:t>
            </w:r>
            <w:r>
              <w:rPr>
                <w:rFonts w:hint="eastAsia"/>
                <w:kern w:val="0"/>
                <w:highlight w:val="none"/>
              </w:rPr>
              <w:t>、</w:t>
            </w:r>
            <w:r>
              <w:rPr>
                <w:kern w:val="0"/>
                <w:highlight w:val="none"/>
              </w:rPr>
              <w:t>废润滑油</w:t>
            </w:r>
            <w:r>
              <w:rPr>
                <w:rFonts w:hint="eastAsia"/>
                <w:kern w:val="0"/>
                <w:highlight w:val="none"/>
              </w:rPr>
              <w:t>、废油桶、油污、废活性炭、除尘灰、废布袋、</w:t>
            </w:r>
            <w:r>
              <w:rPr>
                <w:rFonts w:hint="eastAsia" w:ascii="脣脦脤氓" w:hAnsi="脣脦脤氓" w:eastAsia="脣脦脤氓" w:cs="脣脦脤氓"/>
                <w:color w:val="000000"/>
                <w:kern w:val="0"/>
                <w:sz w:val="25"/>
                <w:szCs w:val="25"/>
                <w:highlight w:val="none"/>
              </w:rPr>
              <w:t>废包装箱</w:t>
            </w:r>
            <w:r>
              <w:rPr>
                <w:rFonts w:hint="eastAsia" w:ascii="脣脦脤氓" w:hAnsi="脣脦脤氓" w:cs="脣脦脤氓"/>
                <w:color w:val="000000"/>
                <w:kern w:val="0"/>
                <w:sz w:val="25"/>
                <w:szCs w:val="25"/>
                <w:highlight w:val="none"/>
              </w:rPr>
              <w:t>、废树脂</w:t>
            </w:r>
            <w:r>
              <w:rPr>
                <w:rFonts w:ascii="脣脦脤氓" w:hAnsi="脣脦脤氓" w:eastAsia="脣脦脤氓" w:cs="脣脦脤氓"/>
                <w:color w:val="000000"/>
                <w:kern w:val="0"/>
                <w:sz w:val="25"/>
                <w:szCs w:val="25"/>
                <w:highlight w:val="none"/>
              </w:rPr>
              <w:t>等</w:t>
            </w:r>
            <w:r>
              <w:rPr>
                <w:rFonts w:hint="eastAsia"/>
                <w:snapToGrid w:val="0"/>
                <w:kern w:val="0"/>
                <w:szCs w:val="21"/>
                <w:highlight w:val="none"/>
              </w:rPr>
              <w:t>。</w:t>
            </w:r>
          </w:p>
          <w:p w14:paraId="20067C72">
            <w:pPr>
              <w:spacing w:line="360" w:lineRule="auto"/>
              <w:ind w:firstLine="0" w:firstLineChars="0"/>
              <w:jc w:val="center"/>
              <w:rPr>
                <w:b/>
                <w:bCs/>
                <w:sz w:val="21"/>
                <w:szCs w:val="21"/>
              </w:rPr>
            </w:pPr>
            <w:r>
              <w:rPr>
                <w:rFonts w:hint="eastAsia"/>
                <w:b/>
                <w:bCs/>
                <w:sz w:val="21"/>
                <w:szCs w:val="21"/>
              </w:rPr>
              <w:t>表2-7  本项目主要污染源治理措施一览表</w:t>
            </w:r>
          </w:p>
          <w:tbl>
            <w:tblPr>
              <w:tblStyle w:val="22"/>
              <w:tblW w:w="8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9"/>
              <w:gridCol w:w="612"/>
              <w:gridCol w:w="600"/>
              <w:gridCol w:w="777"/>
              <w:gridCol w:w="1650"/>
              <w:gridCol w:w="3586"/>
              <w:gridCol w:w="547"/>
            </w:tblGrid>
            <w:tr w14:paraId="6691C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tcBorders>
                    <w:tl2br w:val="nil"/>
                    <w:tr2bl w:val="nil"/>
                  </w:tcBorders>
                  <w:tcMar>
                    <w:left w:w="28" w:type="dxa"/>
                    <w:right w:w="28" w:type="dxa"/>
                  </w:tcMar>
                  <w:vAlign w:val="center"/>
                </w:tcPr>
                <w:p w14:paraId="65A35CCB">
                  <w:pPr>
                    <w:spacing w:line="240" w:lineRule="auto"/>
                    <w:ind w:firstLine="0" w:firstLineChars="0"/>
                    <w:jc w:val="center"/>
                    <w:rPr>
                      <w:sz w:val="21"/>
                      <w:szCs w:val="21"/>
                    </w:rPr>
                  </w:pPr>
                  <w:r>
                    <w:rPr>
                      <w:sz w:val="21"/>
                      <w:szCs w:val="21"/>
                    </w:rPr>
                    <w:t>类别</w:t>
                  </w:r>
                </w:p>
              </w:tc>
              <w:tc>
                <w:tcPr>
                  <w:tcW w:w="1989" w:type="dxa"/>
                  <w:gridSpan w:val="3"/>
                  <w:tcBorders>
                    <w:tl2br w:val="nil"/>
                    <w:tr2bl w:val="nil"/>
                  </w:tcBorders>
                  <w:tcMar>
                    <w:left w:w="28" w:type="dxa"/>
                    <w:right w:w="28" w:type="dxa"/>
                  </w:tcMar>
                  <w:vAlign w:val="center"/>
                </w:tcPr>
                <w:p w14:paraId="19BB758F">
                  <w:pPr>
                    <w:spacing w:line="240" w:lineRule="auto"/>
                    <w:ind w:firstLine="0" w:firstLineChars="0"/>
                    <w:jc w:val="center"/>
                    <w:rPr>
                      <w:sz w:val="21"/>
                      <w:szCs w:val="21"/>
                    </w:rPr>
                  </w:pPr>
                  <w:r>
                    <w:rPr>
                      <w:sz w:val="21"/>
                      <w:szCs w:val="21"/>
                    </w:rPr>
                    <w:t>污染源名称</w:t>
                  </w:r>
                </w:p>
              </w:tc>
              <w:tc>
                <w:tcPr>
                  <w:tcW w:w="1650" w:type="dxa"/>
                  <w:tcBorders>
                    <w:tl2br w:val="nil"/>
                    <w:tr2bl w:val="nil"/>
                  </w:tcBorders>
                  <w:tcMar>
                    <w:left w:w="28" w:type="dxa"/>
                    <w:right w:w="28" w:type="dxa"/>
                  </w:tcMar>
                  <w:vAlign w:val="center"/>
                </w:tcPr>
                <w:p w14:paraId="2CD20623">
                  <w:pPr>
                    <w:spacing w:line="240" w:lineRule="auto"/>
                    <w:ind w:firstLine="0" w:firstLineChars="0"/>
                    <w:jc w:val="center"/>
                    <w:rPr>
                      <w:sz w:val="21"/>
                      <w:szCs w:val="21"/>
                    </w:rPr>
                  </w:pPr>
                  <w:r>
                    <w:rPr>
                      <w:sz w:val="21"/>
                      <w:szCs w:val="21"/>
                    </w:rPr>
                    <w:t>污染因子</w:t>
                  </w:r>
                </w:p>
              </w:tc>
              <w:tc>
                <w:tcPr>
                  <w:tcW w:w="3586" w:type="dxa"/>
                  <w:tcBorders>
                    <w:tl2br w:val="nil"/>
                    <w:tr2bl w:val="nil"/>
                  </w:tcBorders>
                  <w:vAlign w:val="center"/>
                </w:tcPr>
                <w:p w14:paraId="298EB42A">
                  <w:pPr>
                    <w:spacing w:line="240" w:lineRule="auto"/>
                    <w:ind w:firstLine="0" w:firstLineChars="0"/>
                    <w:jc w:val="center"/>
                    <w:rPr>
                      <w:sz w:val="21"/>
                      <w:szCs w:val="21"/>
                    </w:rPr>
                  </w:pPr>
                  <w:r>
                    <w:rPr>
                      <w:sz w:val="21"/>
                      <w:szCs w:val="21"/>
                    </w:rPr>
                    <w:t>治理措施</w:t>
                  </w:r>
                </w:p>
              </w:tc>
              <w:tc>
                <w:tcPr>
                  <w:tcW w:w="547" w:type="dxa"/>
                  <w:tcBorders>
                    <w:tl2br w:val="nil"/>
                    <w:tr2bl w:val="nil"/>
                  </w:tcBorders>
                  <w:vAlign w:val="center"/>
                </w:tcPr>
                <w:p w14:paraId="00ED77D6">
                  <w:pPr>
                    <w:spacing w:line="240" w:lineRule="auto"/>
                    <w:ind w:firstLine="0" w:firstLineChars="0"/>
                    <w:jc w:val="center"/>
                    <w:rPr>
                      <w:sz w:val="21"/>
                      <w:szCs w:val="21"/>
                    </w:rPr>
                  </w:pPr>
                  <w:r>
                    <w:rPr>
                      <w:sz w:val="21"/>
                      <w:szCs w:val="21"/>
                    </w:rPr>
                    <w:t>排放特征</w:t>
                  </w:r>
                </w:p>
              </w:tc>
            </w:tr>
            <w:tr w14:paraId="0A0B1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restart"/>
                  <w:tcBorders>
                    <w:tl2br w:val="nil"/>
                    <w:tr2bl w:val="nil"/>
                  </w:tcBorders>
                  <w:tcMar>
                    <w:left w:w="28" w:type="dxa"/>
                    <w:right w:w="28" w:type="dxa"/>
                  </w:tcMar>
                  <w:vAlign w:val="center"/>
                </w:tcPr>
                <w:p w14:paraId="2DD6F64E">
                  <w:pPr>
                    <w:spacing w:line="240" w:lineRule="auto"/>
                    <w:ind w:firstLine="0" w:firstLineChars="0"/>
                    <w:jc w:val="center"/>
                    <w:rPr>
                      <w:sz w:val="21"/>
                      <w:szCs w:val="21"/>
                    </w:rPr>
                  </w:pPr>
                  <w:r>
                    <w:rPr>
                      <w:rFonts w:hint="eastAsia"/>
                      <w:sz w:val="21"/>
                      <w:szCs w:val="21"/>
                    </w:rPr>
                    <w:t>废气</w:t>
                  </w:r>
                </w:p>
              </w:tc>
              <w:tc>
                <w:tcPr>
                  <w:tcW w:w="612" w:type="dxa"/>
                  <w:vMerge w:val="restart"/>
                  <w:tcBorders>
                    <w:tl2br w:val="nil"/>
                    <w:tr2bl w:val="nil"/>
                  </w:tcBorders>
                  <w:tcMar>
                    <w:left w:w="28" w:type="dxa"/>
                    <w:right w:w="28" w:type="dxa"/>
                  </w:tcMar>
                  <w:vAlign w:val="center"/>
                </w:tcPr>
                <w:p w14:paraId="24515E23">
                  <w:pPr>
                    <w:spacing w:line="240" w:lineRule="auto"/>
                    <w:ind w:firstLine="0" w:firstLineChars="0"/>
                    <w:jc w:val="center"/>
                    <w:rPr>
                      <w:sz w:val="21"/>
                      <w:szCs w:val="21"/>
                    </w:rPr>
                  </w:pPr>
                  <w:r>
                    <w:rPr>
                      <w:rFonts w:hint="eastAsia"/>
                      <w:sz w:val="21"/>
                      <w:szCs w:val="21"/>
                    </w:rPr>
                    <w:t>有组织</w:t>
                  </w:r>
                </w:p>
              </w:tc>
              <w:tc>
                <w:tcPr>
                  <w:tcW w:w="600" w:type="dxa"/>
                  <w:vMerge w:val="restart"/>
                  <w:tcBorders>
                    <w:tl2br w:val="nil"/>
                    <w:tr2bl w:val="nil"/>
                  </w:tcBorders>
                  <w:tcMar>
                    <w:left w:w="28" w:type="dxa"/>
                    <w:right w:w="28" w:type="dxa"/>
                  </w:tcMar>
                  <w:vAlign w:val="center"/>
                </w:tcPr>
                <w:p w14:paraId="39B0DF5E">
                  <w:pPr>
                    <w:spacing w:line="240" w:lineRule="auto"/>
                    <w:ind w:firstLine="0" w:firstLineChars="0"/>
                    <w:jc w:val="center"/>
                    <w:rPr>
                      <w:sz w:val="21"/>
                      <w:szCs w:val="21"/>
                      <w:highlight w:val="none"/>
                    </w:rPr>
                  </w:pPr>
                  <w:r>
                    <w:rPr>
                      <w:rFonts w:hint="eastAsia"/>
                      <w:sz w:val="21"/>
                      <w:szCs w:val="21"/>
                      <w:highlight w:val="none"/>
                    </w:rPr>
                    <w:t>热处理</w:t>
                  </w:r>
                </w:p>
              </w:tc>
              <w:tc>
                <w:tcPr>
                  <w:tcW w:w="777" w:type="dxa"/>
                  <w:vMerge w:val="restart"/>
                  <w:tcBorders>
                    <w:tl2br w:val="nil"/>
                    <w:tr2bl w:val="nil"/>
                  </w:tcBorders>
                  <w:tcMar>
                    <w:left w:w="28" w:type="dxa"/>
                    <w:right w:w="28" w:type="dxa"/>
                  </w:tcMar>
                  <w:vAlign w:val="center"/>
                </w:tcPr>
                <w:p w14:paraId="5A59EA48">
                  <w:pPr>
                    <w:spacing w:line="240" w:lineRule="auto"/>
                    <w:ind w:firstLine="0" w:firstLineChars="0"/>
                    <w:jc w:val="center"/>
                    <w:rPr>
                      <w:sz w:val="21"/>
                      <w:szCs w:val="21"/>
                      <w:highlight w:val="none"/>
                    </w:rPr>
                  </w:pPr>
                  <w:r>
                    <w:rPr>
                      <w:rFonts w:hint="eastAsia"/>
                      <w:sz w:val="21"/>
                      <w:szCs w:val="21"/>
                      <w:highlight w:val="none"/>
                    </w:rPr>
                    <w:t>淬火/回火废气</w:t>
                  </w:r>
                </w:p>
              </w:tc>
              <w:tc>
                <w:tcPr>
                  <w:tcW w:w="1650" w:type="dxa"/>
                  <w:tcBorders>
                    <w:tl2br w:val="nil"/>
                    <w:tr2bl w:val="nil"/>
                  </w:tcBorders>
                  <w:tcMar>
                    <w:left w:w="28" w:type="dxa"/>
                    <w:right w:w="28" w:type="dxa"/>
                  </w:tcMar>
                  <w:vAlign w:val="center"/>
                </w:tcPr>
                <w:p w14:paraId="26C55702">
                  <w:pPr>
                    <w:spacing w:line="240" w:lineRule="auto"/>
                    <w:ind w:firstLine="0" w:firstLineChars="0"/>
                    <w:jc w:val="center"/>
                    <w:rPr>
                      <w:sz w:val="21"/>
                      <w:szCs w:val="21"/>
                      <w:highlight w:val="none"/>
                    </w:rPr>
                  </w:pPr>
                  <w:r>
                    <w:rPr>
                      <w:rFonts w:hint="eastAsia"/>
                      <w:sz w:val="21"/>
                      <w:szCs w:val="21"/>
                      <w:highlight w:val="none"/>
                    </w:rPr>
                    <w:t>挥发性有机物（以非甲烷总烃代）</w:t>
                  </w:r>
                </w:p>
              </w:tc>
              <w:tc>
                <w:tcPr>
                  <w:tcW w:w="3586" w:type="dxa"/>
                  <w:vMerge w:val="restart"/>
                  <w:tcBorders>
                    <w:tl2br w:val="nil"/>
                    <w:tr2bl w:val="nil"/>
                  </w:tcBorders>
                  <w:vAlign w:val="center"/>
                </w:tcPr>
                <w:p w14:paraId="16A88563">
                  <w:pPr>
                    <w:spacing w:line="240" w:lineRule="auto"/>
                    <w:ind w:firstLine="0" w:firstLineChars="0"/>
                    <w:jc w:val="center"/>
                    <w:rPr>
                      <w:sz w:val="21"/>
                      <w:szCs w:val="21"/>
                      <w:highlight w:val="none"/>
                    </w:rPr>
                  </w:pPr>
                  <w:r>
                    <w:rPr>
                      <w:sz w:val="21"/>
                      <w:szCs w:val="21"/>
                      <w:highlight w:val="none"/>
                    </w:rPr>
                    <w:t>1</w:t>
                  </w:r>
                  <w:r>
                    <w:rPr>
                      <w:rFonts w:hint="eastAsia"/>
                      <w:sz w:val="21"/>
                      <w:szCs w:val="21"/>
                      <w:highlight w:val="none"/>
                    </w:rPr>
                    <w:t>套静电式油烟净化器</w:t>
                  </w:r>
                  <w:r>
                    <w:rPr>
                      <w:sz w:val="21"/>
                      <w:szCs w:val="21"/>
                      <w:highlight w:val="none"/>
                    </w:rPr>
                    <w:t>+</w:t>
                  </w:r>
                  <w:r>
                    <w:rPr>
                      <w:rFonts w:hint="eastAsia"/>
                      <w:sz w:val="21"/>
                      <w:szCs w:val="21"/>
                      <w:highlight w:val="none"/>
                    </w:rPr>
                    <w:t>活性炭吸附装置+</w:t>
                  </w:r>
                  <w:r>
                    <w:rPr>
                      <w:sz w:val="21"/>
                      <w:szCs w:val="21"/>
                      <w:highlight w:val="none"/>
                    </w:rPr>
                    <w:t>1根15m高排气筒</w:t>
                  </w:r>
                </w:p>
              </w:tc>
              <w:tc>
                <w:tcPr>
                  <w:tcW w:w="547" w:type="dxa"/>
                  <w:tcBorders>
                    <w:tl2br w:val="nil"/>
                    <w:tr2bl w:val="nil"/>
                  </w:tcBorders>
                  <w:vAlign w:val="center"/>
                </w:tcPr>
                <w:p w14:paraId="61133934">
                  <w:pPr>
                    <w:spacing w:line="240" w:lineRule="auto"/>
                    <w:ind w:firstLine="0" w:firstLineChars="0"/>
                    <w:jc w:val="center"/>
                    <w:rPr>
                      <w:sz w:val="21"/>
                      <w:szCs w:val="21"/>
                    </w:rPr>
                  </w:pPr>
                  <w:r>
                    <w:rPr>
                      <w:sz w:val="21"/>
                      <w:szCs w:val="21"/>
                    </w:rPr>
                    <w:t>间断</w:t>
                  </w:r>
                </w:p>
              </w:tc>
            </w:tr>
            <w:tr w14:paraId="14980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429" w:type="dxa"/>
                  <w:vMerge w:val="continue"/>
                  <w:tcBorders>
                    <w:tl2br w:val="nil"/>
                    <w:tr2bl w:val="nil"/>
                  </w:tcBorders>
                  <w:tcMar>
                    <w:left w:w="28" w:type="dxa"/>
                    <w:right w:w="28" w:type="dxa"/>
                  </w:tcMar>
                  <w:vAlign w:val="center"/>
                </w:tcPr>
                <w:p w14:paraId="6760497D">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26CA88E">
                  <w:pPr>
                    <w:spacing w:line="240" w:lineRule="auto"/>
                    <w:ind w:firstLine="0" w:firstLineChars="0"/>
                    <w:jc w:val="center"/>
                    <w:rPr>
                      <w:sz w:val="21"/>
                      <w:szCs w:val="21"/>
                    </w:rPr>
                  </w:pPr>
                </w:p>
              </w:tc>
              <w:tc>
                <w:tcPr>
                  <w:tcW w:w="600" w:type="dxa"/>
                  <w:vMerge w:val="continue"/>
                  <w:tcBorders>
                    <w:tl2br w:val="nil"/>
                    <w:tr2bl w:val="nil"/>
                  </w:tcBorders>
                  <w:tcMar>
                    <w:left w:w="28" w:type="dxa"/>
                    <w:right w:w="28" w:type="dxa"/>
                  </w:tcMar>
                  <w:vAlign w:val="center"/>
                </w:tcPr>
                <w:p w14:paraId="7559E211">
                  <w:pPr>
                    <w:spacing w:line="240" w:lineRule="auto"/>
                    <w:ind w:firstLine="0" w:firstLineChars="0"/>
                    <w:jc w:val="center"/>
                    <w:rPr>
                      <w:sz w:val="21"/>
                      <w:szCs w:val="21"/>
                    </w:rPr>
                  </w:pPr>
                </w:p>
              </w:tc>
              <w:tc>
                <w:tcPr>
                  <w:tcW w:w="777" w:type="dxa"/>
                  <w:vMerge w:val="continue"/>
                  <w:tcBorders>
                    <w:tl2br w:val="nil"/>
                    <w:tr2bl w:val="nil"/>
                  </w:tcBorders>
                  <w:tcMar>
                    <w:left w:w="28" w:type="dxa"/>
                    <w:right w:w="28" w:type="dxa"/>
                  </w:tcMar>
                  <w:vAlign w:val="center"/>
                </w:tcPr>
                <w:p w14:paraId="3C6FC0A0">
                  <w:pPr>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22AFC6B7">
                  <w:pPr>
                    <w:spacing w:line="240" w:lineRule="auto"/>
                    <w:ind w:firstLine="0" w:firstLineChars="0"/>
                    <w:jc w:val="center"/>
                    <w:rPr>
                      <w:sz w:val="21"/>
                      <w:szCs w:val="21"/>
                    </w:rPr>
                  </w:pPr>
                  <w:r>
                    <w:rPr>
                      <w:rFonts w:hint="eastAsia"/>
                      <w:sz w:val="21"/>
                      <w:szCs w:val="21"/>
                    </w:rPr>
                    <w:t>油雾</w:t>
                  </w:r>
                </w:p>
              </w:tc>
              <w:tc>
                <w:tcPr>
                  <w:tcW w:w="3586" w:type="dxa"/>
                  <w:vMerge w:val="continue"/>
                  <w:tcBorders>
                    <w:tl2br w:val="nil"/>
                    <w:tr2bl w:val="nil"/>
                  </w:tcBorders>
                  <w:vAlign w:val="center"/>
                </w:tcPr>
                <w:p w14:paraId="048AEEFC">
                  <w:pPr>
                    <w:spacing w:line="240" w:lineRule="auto"/>
                    <w:ind w:firstLine="0" w:firstLineChars="0"/>
                    <w:jc w:val="center"/>
                    <w:rPr>
                      <w:sz w:val="21"/>
                      <w:szCs w:val="21"/>
                    </w:rPr>
                  </w:pPr>
                </w:p>
              </w:tc>
              <w:tc>
                <w:tcPr>
                  <w:tcW w:w="547" w:type="dxa"/>
                  <w:tcBorders>
                    <w:tl2br w:val="nil"/>
                    <w:tr2bl w:val="nil"/>
                  </w:tcBorders>
                  <w:vAlign w:val="center"/>
                </w:tcPr>
                <w:p w14:paraId="6DA3800C">
                  <w:pPr>
                    <w:spacing w:line="240" w:lineRule="auto"/>
                    <w:ind w:firstLine="0" w:firstLineChars="0"/>
                    <w:jc w:val="center"/>
                    <w:rPr>
                      <w:sz w:val="21"/>
                      <w:szCs w:val="21"/>
                    </w:rPr>
                  </w:pPr>
                  <w:r>
                    <w:rPr>
                      <w:sz w:val="21"/>
                      <w:szCs w:val="21"/>
                    </w:rPr>
                    <w:t>间断</w:t>
                  </w:r>
                </w:p>
              </w:tc>
            </w:tr>
            <w:tr w14:paraId="5C5DD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67EC0C6">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017AC30B">
                  <w:pPr>
                    <w:spacing w:line="240" w:lineRule="auto"/>
                    <w:ind w:firstLine="0" w:firstLineChars="0"/>
                    <w:jc w:val="center"/>
                    <w:rPr>
                      <w:sz w:val="21"/>
                      <w:szCs w:val="21"/>
                    </w:rPr>
                  </w:pPr>
                </w:p>
              </w:tc>
              <w:tc>
                <w:tcPr>
                  <w:tcW w:w="1377" w:type="dxa"/>
                  <w:gridSpan w:val="2"/>
                  <w:tcBorders>
                    <w:tl2br w:val="nil"/>
                    <w:tr2bl w:val="nil"/>
                  </w:tcBorders>
                  <w:tcMar>
                    <w:left w:w="28" w:type="dxa"/>
                    <w:right w:w="28" w:type="dxa"/>
                  </w:tcMar>
                  <w:vAlign w:val="center"/>
                </w:tcPr>
                <w:p w14:paraId="3D5EC21A">
                  <w:pPr>
                    <w:spacing w:line="240" w:lineRule="auto"/>
                    <w:ind w:firstLine="0" w:firstLineChars="0"/>
                    <w:jc w:val="center"/>
                    <w:rPr>
                      <w:sz w:val="21"/>
                      <w:szCs w:val="21"/>
                    </w:rPr>
                  </w:pPr>
                  <w:r>
                    <w:rPr>
                      <w:rFonts w:hint="eastAsia"/>
                      <w:sz w:val="21"/>
                      <w:szCs w:val="21"/>
                    </w:rPr>
                    <w:t>抛丸</w:t>
                  </w:r>
                  <w:r>
                    <w:rPr>
                      <w:sz w:val="21"/>
                      <w:szCs w:val="21"/>
                    </w:rPr>
                    <w:t>废气</w:t>
                  </w:r>
                </w:p>
              </w:tc>
              <w:tc>
                <w:tcPr>
                  <w:tcW w:w="1650" w:type="dxa"/>
                  <w:tcBorders>
                    <w:tl2br w:val="nil"/>
                    <w:tr2bl w:val="nil"/>
                  </w:tcBorders>
                  <w:tcMar>
                    <w:left w:w="28" w:type="dxa"/>
                    <w:right w:w="28" w:type="dxa"/>
                  </w:tcMar>
                  <w:vAlign w:val="center"/>
                </w:tcPr>
                <w:p w14:paraId="5C6033DA">
                  <w:pPr>
                    <w:spacing w:line="240" w:lineRule="auto"/>
                    <w:ind w:firstLine="0" w:firstLineChars="0"/>
                    <w:jc w:val="center"/>
                    <w:rPr>
                      <w:sz w:val="21"/>
                      <w:szCs w:val="21"/>
                    </w:rPr>
                  </w:pPr>
                  <w:r>
                    <w:rPr>
                      <w:sz w:val="21"/>
                      <w:szCs w:val="21"/>
                    </w:rPr>
                    <w:t>颗粒物</w:t>
                  </w:r>
                </w:p>
              </w:tc>
              <w:tc>
                <w:tcPr>
                  <w:tcW w:w="3586" w:type="dxa"/>
                  <w:tcBorders>
                    <w:tl2br w:val="nil"/>
                    <w:tr2bl w:val="nil"/>
                  </w:tcBorders>
                  <w:vAlign w:val="center"/>
                </w:tcPr>
                <w:p w14:paraId="7F1662B4">
                  <w:pPr>
                    <w:spacing w:line="240" w:lineRule="auto"/>
                    <w:ind w:firstLine="0" w:firstLineChars="0"/>
                    <w:jc w:val="center"/>
                    <w:rPr>
                      <w:sz w:val="21"/>
                      <w:szCs w:val="21"/>
                    </w:rPr>
                  </w:pPr>
                  <w:r>
                    <w:rPr>
                      <w:sz w:val="21"/>
                      <w:szCs w:val="21"/>
                    </w:rPr>
                    <w:t>1台</w:t>
                  </w:r>
                  <w:r>
                    <w:rPr>
                      <w:rFonts w:hint="eastAsia"/>
                      <w:sz w:val="21"/>
                      <w:szCs w:val="21"/>
                    </w:rPr>
                    <w:t>脉冲布袋</w:t>
                  </w:r>
                  <w:r>
                    <w:rPr>
                      <w:sz w:val="21"/>
                      <w:szCs w:val="21"/>
                    </w:rPr>
                    <w:t>除尘器+1根15m高排气筒</w:t>
                  </w:r>
                </w:p>
              </w:tc>
              <w:tc>
                <w:tcPr>
                  <w:tcW w:w="547" w:type="dxa"/>
                  <w:tcBorders>
                    <w:tl2br w:val="nil"/>
                    <w:tr2bl w:val="nil"/>
                  </w:tcBorders>
                  <w:vAlign w:val="center"/>
                </w:tcPr>
                <w:p w14:paraId="17C6270D">
                  <w:pPr>
                    <w:spacing w:line="240" w:lineRule="auto"/>
                    <w:ind w:firstLine="0" w:firstLineChars="0"/>
                    <w:jc w:val="center"/>
                    <w:rPr>
                      <w:sz w:val="21"/>
                      <w:szCs w:val="21"/>
                    </w:rPr>
                  </w:pPr>
                  <w:r>
                    <w:rPr>
                      <w:rFonts w:hint="eastAsia"/>
                      <w:sz w:val="21"/>
                      <w:szCs w:val="21"/>
                    </w:rPr>
                    <w:t>间断</w:t>
                  </w:r>
                </w:p>
              </w:tc>
            </w:tr>
            <w:tr w14:paraId="164AE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1CC430FA">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7A10B190">
                  <w:pPr>
                    <w:spacing w:line="240" w:lineRule="auto"/>
                    <w:ind w:firstLine="0" w:firstLineChars="0"/>
                    <w:jc w:val="center"/>
                    <w:rPr>
                      <w:sz w:val="21"/>
                      <w:szCs w:val="21"/>
                    </w:rPr>
                  </w:pPr>
                </w:p>
              </w:tc>
              <w:tc>
                <w:tcPr>
                  <w:tcW w:w="1377" w:type="dxa"/>
                  <w:gridSpan w:val="2"/>
                  <w:tcBorders>
                    <w:tl2br w:val="nil"/>
                    <w:tr2bl w:val="nil"/>
                  </w:tcBorders>
                  <w:tcMar>
                    <w:left w:w="28" w:type="dxa"/>
                    <w:right w:w="28" w:type="dxa"/>
                  </w:tcMar>
                  <w:vAlign w:val="center"/>
                </w:tcPr>
                <w:p w14:paraId="57D90D0A">
                  <w:pPr>
                    <w:spacing w:line="240" w:lineRule="auto"/>
                    <w:ind w:firstLine="0" w:firstLineChars="0"/>
                    <w:jc w:val="center"/>
                    <w:rPr>
                      <w:sz w:val="21"/>
                      <w:szCs w:val="21"/>
                    </w:rPr>
                  </w:pPr>
                  <w:r>
                    <w:rPr>
                      <w:rFonts w:hint="eastAsia"/>
                      <w:sz w:val="21"/>
                      <w:szCs w:val="21"/>
                    </w:rPr>
                    <w:t>食堂废气</w:t>
                  </w:r>
                </w:p>
              </w:tc>
              <w:tc>
                <w:tcPr>
                  <w:tcW w:w="1650" w:type="dxa"/>
                  <w:tcBorders>
                    <w:tl2br w:val="nil"/>
                    <w:tr2bl w:val="nil"/>
                  </w:tcBorders>
                  <w:tcMar>
                    <w:left w:w="28" w:type="dxa"/>
                    <w:right w:w="28" w:type="dxa"/>
                  </w:tcMar>
                  <w:vAlign w:val="center"/>
                </w:tcPr>
                <w:p w14:paraId="0A96C504">
                  <w:pPr>
                    <w:spacing w:line="240" w:lineRule="auto"/>
                    <w:ind w:firstLine="0" w:firstLineChars="0"/>
                    <w:jc w:val="center"/>
                    <w:rPr>
                      <w:sz w:val="21"/>
                      <w:szCs w:val="21"/>
                    </w:rPr>
                  </w:pPr>
                  <w:r>
                    <w:rPr>
                      <w:rFonts w:hint="eastAsia"/>
                      <w:sz w:val="21"/>
                      <w:szCs w:val="21"/>
                    </w:rPr>
                    <w:t>食堂油烟</w:t>
                  </w:r>
                </w:p>
              </w:tc>
              <w:tc>
                <w:tcPr>
                  <w:tcW w:w="3586" w:type="dxa"/>
                  <w:tcBorders>
                    <w:tl2br w:val="nil"/>
                    <w:tr2bl w:val="nil"/>
                  </w:tcBorders>
                  <w:vAlign w:val="center"/>
                </w:tcPr>
                <w:p w14:paraId="63432818">
                  <w:pPr>
                    <w:spacing w:line="240" w:lineRule="auto"/>
                    <w:ind w:firstLine="0" w:firstLineChars="0"/>
                    <w:jc w:val="center"/>
                    <w:rPr>
                      <w:sz w:val="21"/>
                      <w:szCs w:val="21"/>
                    </w:rPr>
                  </w:pPr>
                  <w:r>
                    <w:rPr>
                      <w:rFonts w:hint="eastAsia"/>
                      <w:sz w:val="21"/>
                      <w:szCs w:val="21"/>
                    </w:rPr>
                    <w:t>1台油烟净化器处理后，通过排气筒引至楼顶排放</w:t>
                  </w:r>
                </w:p>
              </w:tc>
              <w:tc>
                <w:tcPr>
                  <w:tcW w:w="547" w:type="dxa"/>
                  <w:tcBorders>
                    <w:tl2br w:val="nil"/>
                    <w:tr2bl w:val="nil"/>
                  </w:tcBorders>
                  <w:vAlign w:val="center"/>
                </w:tcPr>
                <w:p w14:paraId="4B760FE4">
                  <w:pPr>
                    <w:spacing w:line="240" w:lineRule="auto"/>
                    <w:ind w:firstLine="0" w:firstLineChars="0"/>
                    <w:jc w:val="center"/>
                    <w:rPr>
                      <w:sz w:val="21"/>
                      <w:szCs w:val="21"/>
                    </w:rPr>
                  </w:pPr>
                  <w:r>
                    <w:rPr>
                      <w:rFonts w:hint="eastAsia"/>
                      <w:sz w:val="21"/>
                      <w:szCs w:val="21"/>
                    </w:rPr>
                    <w:t>间断</w:t>
                  </w:r>
                </w:p>
              </w:tc>
            </w:tr>
            <w:tr w14:paraId="0C462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5E840283">
                  <w:pPr>
                    <w:spacing w:line="240" w:lineRule="auto"/>
                    <w:ind w:firstLine="0" w:firstLineChars="0"/>
                    <w:jc w:val="center"/>
                    <w:rPr>
                      <w:sz w:val="21"/>
                      <w:szCs w:val="21"/>
                    </w:rPr>
                  </w:pPr>
                </w:p>
              </w:tc>
              <w:tc>
                <w:tcPr>
                  <w:tcW w:w="612" w:type="dxa"/>
                  <w:vMerge w:val="restart"/>
                  <w:tcBorders>
                    <w:tl2br w:val="nil"/>
                    <w:tr2bl w:val="nil"/>
                  </w:tcBorders>
                  <w:tcMar>
                    <w:left w:w="28" w:type="dxa"/>
                    <w:right w:w="28" w:type="dxa"/>
                  </w:tcMar>
                  <w:vAlign w:val="center"/>
                </w:tcPr>
                <w:p w14:paraId="700CF879">
                  <w:pPr>
                    <w:spacing w:line="240" w:lineRule="auto"/>
                    <w:ind w:firstLine="0" w:firstLineChars="0"/>
                    <w:jc w:val="center"/>
                    <w:rPr>
                      <w:sz w:val="21"/>
                      <w:szCs w:val="21"/>
                    </w:rPr>
                  </w:pPr>
                  <w:r>
                    <w:rPr>
                      <w:rFonts w:hint="eastAsia"/>
                      <w:sz w:val="21"/>
                      <w:szCs w:val="21"/>
                    </w:rPr>
                    <w:t>无组织</w:t>
                  </w:r>
                </w:p>
              </w:tc>
              <w:tc>
                <w:tcPr>
                  <w:tcW w:w="1377" w:type="dxa"/>
                  <w:gridSpan w:val="2"/>
                  <w:tcBorders>
                    <w:tl2br w:val="nil"/>
                    <w:tr2bl w:val="nil"/>
                  </w:tcBorders>
                  <w:tcMar>
                    <w:left w:w="28" w:type="dxa"/>
                    <w:right w:w="28" w:type="dxa"/>
                  </w:tcMar>
                  <w:vAlign w:val="center"/>
                </w:tcPr>
                <w:p w14:paraId="5F26EC6D">
                  <w:pPr>
                    <w:spacing w:line="240" w:lineRule="auto"/>
                    <w:ind w:firstLine="0" w:firstLineChars="0"/>
                    <w:jc w:val="center"/>
                    <w:rPr>
                      <w:sz w:val="21"/>
                      <w:szCs w:val="21"/>
                      <w:highlight w:val="none"/>
                    </w:rPr>
                  </w:pPr>
                  <w:r>
                    <w:rPr>
                      <w:rFonts w:hint="eastAsia"/>
                      <w:sz w:val="21"/>
                      <w:szCs w:val="21"/>
                      <w:highlight w:val="none"/>
                    </w:rPr>
                    <w:t>数控滚齿机（高速运转）</w:t>
                  </w:r>
                </w:p>
              </w:tc>
              <w:tc>
                <w:tcPr>
                  <w:tcW w:w="1650" w:type="dxa"/>
                  <w:tcBorders>
                    <w:tl2br w:val="nil"/>
                    <w:tr2bl w:val="nil"/>
                  </w:tcBorders>
                  <w:tcMar>
                    <w:left w:w="28" w:type="dxa"/>
                    <w:right w:w="28" w:type="dxa"/>
                  </w:tcMar>
                  <w:vAlign w:val="center"/>
                </w:tcPr>
                <w:p w14:paraId="43568A07">
                  <w:pPr>
                    <w:spacing w:line="240" w:lineRule="auto"/>
                    <w:ind w:firstLine="0" w:firstLineChars="0"/>
                    <w:jc w:val="center"/>
                    <w:rPr>
                      <w:sz w:val="21"/>
                      <w:szCs w:val="21"/>
                      <w:highlight w:val="none"/>
                    </w:rPr>
                  </w:pPr>
                  <w:r>
                    <w:rPr>
                      <w:rFonts w:hint="eastAsia"/>
                      <w:sz w:val="21"/>
                      <w:szCs w:val="21"/>
                      <w:highlight w:val="none"/>
                    </w:rPr>
                    <w:t>油雾</w:t>
                  </w:r>
                </w:p>
              </w:tc>
              <w:tc>
                <w:tcPr>
                  <w:tcW w:w="3586" w:type="dxa"/>
                  <w:tcBorders>
                    <w:tl2br w:val="nil"/>
                    <w:tr2bl w:val="nil"/>
                  </w:tcBorders>
                  <w:vAlign w:val="center"/>
                </w:tcPr>
                <w:p w14:paraId="768EB612">
                  <w:pPr>
                    <w:spacing w:line="240" w:lineRule="auto"/>
                    <w:ind w:firstLine="0" w:firstLineChars="0"/>
                    <w:jc w:val="center"/>
                    <w:rPr>
                      <w:sz w:val="21"/>
                      <w:szCs w:val="21"/>
                      <w:highlight w:val="none"/>
                    </w:rPr>
                  </w:pPr>
                  <w:r>
                    <w:rPr>
                      <w:rFonts w:hint="eastAsia"/>
                      <w:sz w:val="21"/>
                      <w:szCs w:val="21"/>
                      <w:highlight w:val="none"/>
                    </w:rPr>
                    <w:t>工业油烟净化器处理，回收的液压油可再利用</w:t>
                  </w:r>
                </w:p>
              </w:tc>
              <w:tc>
                <w:tcPr>
                  <w:tcW w:w="547" w:type="dxa"/>
                  <w:tcBorders>
                    <w:tl2br w:val="nil"/>
                    <w:tr2bl w:val="nil"/>
                  </w:tcBorders>
                  <w:vAlign w:val="center"/>
                </w:tcPr>
                <w:p w14:paraId="1974FE8C">
                  <w:pPr>
                    <w:spacing w:line="240" w:lineRule="auto"/>
                    <w:ind w:firstLine="0" w:firstLineChars="0"/>
                    <w:jc w:val="center"/>
                    <w:rPr>
                      <w:sz w:val="21"/>
                      <w:szCs w:val="21"/>
                    </w:rPr>
                  </w:pPr>
                  <w:r>
                    <w:rPr>
                      <w:rFonts w:hint="eastAsia"/>
                      <w:sz w:val="21"/>
                      <w:szCs w:val="21"/>
                    </w:rPr>
                    <w:t>间断</w:t>
                  </w:r>
                </w:p>
              </w:tc>
            </w:tr>
            <w:tr w14:paraId="134DA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AF14381">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3BEEAB15">
                  <w:pPr>
                    <w:spacing w:line="240" w:lineRule="auto"/>
                    <w:ind w:firstLine="0" w:firstLineChars="0"/>
                    <w:jc w:val="center"/>
                    <w:rPr>
                      <w:sz w:val="21"/>
                      <w:szCs w:val="21"/>
                    </w:rPr>
                  </w:pPr>
                </w:p>
              </w:tc>
              <w:tc>
                <w:tcPr>
                  <w:tcW w:w="1377" w:type="dxa"/>
                  <w:gridSpan w:val="2"/>
                  <w:tcBorders>
                    <w:tl2br w:val="nil"/>
                    <w:tr2bl w:val="nil"/>
                  </w:tcBorders>
                  <w:tcMar>
                    <w:left w:w="28" w:type="dxa"/>
                    <w:right w:w="28" w:type="dxa"/>
                  </w:tcMar>
                  <w:vAlign w:val="center"/>
                </w:tcPr>
                <w:p w14:paraId="56CD91C4">
                  <w:pPr>
                    <w:spacing w:line="240" w:lineRule="auto"/>
                    <w:ind w:firstLine="0" w:firstLineChars="0"/>
                    <w:jc w:val="center"/>
                    <w:rPr>
                      <w:sz w:val="21"/>
                      <w:szCs w:val="21"/>
                      <w:highlight w:val="none"/>
                    </w:rPr>
                  </w:pPr>
                  <w:r>
                    <w:rPr>
                      <w:rFonts w:hint="eastAsia"/>
                      <w:sz w:val="21"/>
                      <w:szCs w:val="21"/>
                      <w:highlight w:val="none"/>
                    </w:rPr>
                    <w:t>渗碳废气</w:t>
                  </w:r>
                </w:p>
              </w:tc>
              <w:tc>
                <w:tcPr>
                  <w:tcW w:w="1650" w:type="dxa"/>
                  <w:tcBorders>
                    <w:tl2br w:val="nil"/>
                    <w:tr2bl w:val="nil"/>
                  </w:tcBorders>
                  <w:tcMar>
                    <w:left w:w="28" w:type="dxa"/>
                    <w:right w:w="28" w:type="dxa"/>
                  </w:tcMar>
                  <w:vAlign w:val="center"/>
                </w:tcPr>
                <w:p w14:paraId="30B6D3F2">
                  <w:pPr>
                    <w:spacing w:line="240" w:lineRule="auto"/>
                    <w:ind w:firstLine="0" w:firstLineChars="0"/>
                    <w:jc w:val="center"/>
                    <w:rPr>
                      <w:sz w:val="21"/>
                      <w:szCs w:val="21"/>
                      <w:highlight w:val="none"/>
                    </w:rPr>
                  </w:pPr>
                  <w:r>
                    <w:rPr>
                      <w:rFonts w:hint="eastAsia"/>
                      <w:sz w:val="21"/>
                      <w:szCs w:val="21"/>
                      <w:highlight w:val="none"/>
                    </w:rPr>
                    <w:t>挥发性有机物</w:t>
                  </w:r>
                </w:p>
              </w:tc>
              <w:tc>
                <w:tcPr>
                  <w:tcW w:w="3586" w:type="dxa"/>
                  <w:tcBorders>
                    <w:tl2br w:val="nil"/>
                    <w:tr2bl w:val="nil"/>
                  </w:tcBorders>
                  <w:vAlign w:val="center"/>
                </w:tcPr>
                <w:p w14:paraId="46112C52">
                  <w:pPr>
                    <w:spacing w:line="240" w:lineRule="auto"/>
                    <w:ind w:firstLine="0" w:firstLineChars="0"/>
                    <w:jc w:val="center"/>
                    <w:rPr>
                      <w:highlight w:val="none"/>
                    </w:rPr>
                  </w:pPr>
                  <w:r>
                    <w:rPr>
                      <w:rFonts w:hint="eastAsia"/>
                      <w:sz w:val="21"/>
                      <w:szCs w:val="21"/>
                      <w:highlight w:val="none"/>
                    </w:rPr>
                    <w:t>渗碳多用炉防爆口设置</w:t>
                  </w:r>
                  <w:r>
                    <w:rPr>
                      <w:rFonts w:hint="eastAsia"/>
                      <w:bCs/>
                      <w:sz w:val="21"/>
                      <w:szCs w:val="21"/>
                      <w:highlight w:val="none"/>
                    </w:rPr>
                    <w:t>环形燃烧器</w:t>
                  </w:r>
                  <w:r>
                    <w:rPr>
                      <w:rFonts w:hint="eastAsia"/>
                      <w:sz w:val="21"/>
                      <w:szCs w:val="21"/>
                      <w:highlight w:val="none"/>
                    </w:rPr>
                    <w:t>燃烧处理</w:t>
                  </w:r>
                </w:p>
              </w:tc>
              <w:tc>
                <w:tcPr>
                  <w:tcW w:w="547" w:type="dxa"/>
                  <w:tcBorders>
                    <w:tl2br w:val="nil"/>
                    <w:tr2bl w:val="nil"/>
                  </w:tcBorders>
                  <w:vAlign w:val="center"/>
                </w:tcPr>
                <w:p w14:paraId="7DB672AE">
                  <w:pPr>
                    <w:spacing w:line="240" w:lineRule="auto"/>
                    <w:ind w:firstLine="0" w:firstLineChars="0"/>
                    <w:jc w:val="center"/>
                    <w:rPr>
                      <w:sz w:val="21"/>
                      <w:szCs w:val="21"/>
                    </w:rPr>
                  </w:pPr>
                  <w:r>
                    <w:rPr>
                      <w:sz w:val="21"/>
                      <w:szCs w:val="21"/>
                    </w:rPr>
                    <w:t>间断</w:t>
                  </w:r>
                </w:p>
              </w:tc>
            </w:tr>
            <w:tr w14:paraId="5FD93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0E684051">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6E398512">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628740A0">
                  <w:pPr>
                    <w:spacing w:line="240" w:lineRule="auto"/>
                    <w:ind w:firstLine="0" w:firstLineChars="0"/>
                    <w:jc w:val="center"/>
                    <w:rPr>
                      <w:sz w:val="21"/>
                      <w:szCs w:val="21"/>
                      <w:highlight w:val="cyan"/>
                    </w:rPr>
                  </w:pPr>
                  <w:r>
                    <w:rPr>
                      <w:rFonts w:hint="eastAsia"/>
                      <w:sz w:val="21"/>
                      <w:szCs w:val="21"/>
                    </w:rPr>
                    <w:t>淬火废气</w:t>
                  </w:r>
                </w:p>
              </w:tc>
              <w:tc>
                <w:tcPr>
                  <w:tcW w:w="1650" w:type="dxa"/>
                  <w:tcBorders>
                    <w:tl2br w:val="nil"/>
                    <w:tr2bl w:val="nil"/>
                  </w:tcBorders>
                  <w:tcMar>
                    <w:left w:w="28" w:type="dxa"/>
                    <w:right w:w="28" w:type="dxa"/>
                  </w:tcMar>
                  <w:vAlign w:val="center"/>
                </w:tcPr>
                <w:p w14:paraId="4ADB6BFB">
                  <w:pPr>
                    <w:spacing w:line="240" w:lineRule="auto"/>
                    <w:ind w:firstLine="0" w:firstLineChars="0"/>
                    <w:jc w:val="center"/>
                    <w:rPr>
                      <w:sz w:val="21"/>
                      <w:szCs w:val="21"/>
                    </w:rPr>
                  </w:pPr>
                  <w:r>
                    <w:rPr>
                      <w:rFonts w:hint="eastAsia"/>
                      <w:sz w:val="21"/>
                      <w:szCs w:val="21"/>
                    </w:rPr>
                    <w:t>挥发性有机物（以非甲烷总烃代）</w:t>
                  </w:r>
                </w:p>
              </w:tc>
              <w:tc>
                <w:tcPr>
                  <w:tcW w:w="3586" w:type="dxa"/>
                  <w:vMerge w:val="restart"/>
                  <w:tcBorders>
                    <w:tl2br w:val="nil"/>
                    <w:tr2bl w:val="nil"/>
                  </w:tcBorders>
                  <w:vAlign w:val="center"/>
                </w:tcPr>
                <w:p w14:paraId="084F31C9">
                  <w:pPr>
                    <w:spacing w:line="240" w:lineRule="auto"/>
                    <w:ind w:firstLine="0" w:firstLineChars="0"/>
                    <w:jc w:val="center"/>
                    <w:rPr>
                      <w:sz w:val="21"/>
                      <w:szCs w:val="21"/>
                      <w:highlight w:val="cyan"/>
                    </w:rPr>
                  </w:pPr>
                  <w:r>
                    <w:rPr>
                      <w:rFonts w:hint="eastAsia"/>
                      <w:sz w:val="21"/>
                      <w:szCs w:val="21"/>
                    </w:rPr>
                    <w:t>车间封闭、地面硬化</w:t>
                  </w:r>
                </w:p>
              </w:tc>
              <w:tc>
                <w:tcPr>
                  <w:tcW w:w="547" w:type="dxa"/>
                  <w:vMerge w:val="restart"/>
                  <w:tcBorders>
                    <w:tl2br w:val="nil"/>
                    <w:tr2bl w:val="nil"/>
                  </w:tcBorders>
                  <w:vAlign w:val="center"/>
                </w:tcPr>
                <w:p w14:paraId="4B31BFC7">
                  <w:pPr>
                    <w:spacing w:line="240" w:lineRule="auto"/>
                    <w:ind w:firstLine="0" w:firstLineChars="0"/>
                    <w:jc w:val="center"/>
                    <w:rPr>
                      <w:sz w:val="21"/>
                      <w:szCs w:val="21"/>
                    </w:rPr>
                  </w:pPr>
                  <w:r>
                    <w:rPr>
                      <w:rFonts w:hint="eastAsia"/>
                      <w:sz w:val="21"/>
                      <w:szCs w:val="21"/>
                    </w:rPr>
                    <w:t>间断</w:t>
                  </w:r>
                </w:p>
              </w:tc>
            </w:tr>
            <w:tr w14:paraId="786FB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10495980">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C6817A0">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3BC553C4">
                  <w:pPr>
                    <w:spacing w:line="240" w:lineRule="auto"/>
                    <w:ind w:firstLine="0" w:firstLineChars="0"/>
                    <w:jc w:val="center"/>
                    <w:rPr>
                      <w:sz w:val="21"/>
                      <w:szCs w:val="21"/>
                      <w:highlight w:val="cyan"/>
                    </w:rPr>
                  </w:pPr>
                </w:p>
              </w:tc>
              <w:tc>
                <w:tcPr>
                  <w:tcW w:w="1650" w:type="dxa"/>
                  <w:tcBorders>
                    <w:tl2br w:val="nil"/>
                    <w:tr2bl w:val="nil"/>
                  </w:tcBorders>
                  <w:tcMar>
                    <w:left w:w="28" w:type="dxa"/>
                    <w:right w:w="28" w:type="dxa"/>
                  </w:tcMar>
                  <w:vAlign w:val="center"/>
                </w:tcPr>
                <w:p w14:paraId="54790661">
                  <w:pPr>
                    <w:spacing w:line="240" w:lineRule="auto"/>
                    <w:ind w:firstLine="0" w:firstLineChars="0"/>
                    <w:jc w:val="center"/>
                    <w:rPr>
                      <w:sz w:val="21"/>
                      <w:szCs w:val="21"/>
                    </w:rPr>
                  </w:pPr>
                  <w:r>
                    <w:rPr>
                      <w:rFonts w:hint="eastAsia"/>
                      <w:sz w:val="21"/>
                      <w:szCs w:val="21"/>
                    </w:rPr>
                    <w:t>油雾</w:t>
                  </w:r>
                </w:p>
              </w:tc>
              <w:tc>
                <w:tcPr>
                  <w:tcW w:w="3586" w:type="dxa"/>
                  <w:vMerge w:val="continue"/>
                  <w:tcBorders>
                    <w:tl2br w:val="nil"/>
                    <w:tr2bl w:val="nil"/>
                  </w:tcBorders>
                  <w:vAlign w:val="center"/>
                </w:tcPr>
                <w:p w14:paraId="54D421AE">
                  <w:pPr>
                    <w:spacing w:line="240" w:lineRule="auto"/>
                    <w:ind w:firstLine="0" w:firstLineChars="0"/>
                    <w:jc w:val="center"/>
                    <w:rPr>
                      <w:sz w:val="21"/>
                      <w:szCs w:val="21"/>
                      <w:highlight w:val="cyan"/>
                    </w:rPr>
                  </w:pPr>
                </w:p>
              </w:tc>
              <w:tc>
                <w:tcPr>
                  <w:tcW w:w="547" w:type="dxa"/>
                  <w:vMerge w:val="continue"/>
                  <w:tcBorders>
                    <w:tl2br w:val="nil"/>
                    <w:tr2bl w:val="nil"/>
                  </w:tcBorders>
                  <w:vAlign w:val="center"/>
                </w:tcPr>
                <w:p w14:paraId="29336BCC">
                  <w:pPr>
                    <w:spacing w:line="240" w:lineRule="auto"/>
                    <w:ind w:firstLine="0" w:firstLineChars="0"/>
                    <w:jc w:val="center"/>
                    <w:rPr>
                      <w:sz w:val="21"/>
                      <w:szCs w:val="21"/>
                    </w:rPr>
                  </w:pPr>
                </w:p>
              </w:tc>
            </w:tr>
            <w:tr w14:paraId="324CA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F4A46CE">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38971098">
                  <w:pPr>
                    <w:spacing w:line="240" w:lineRule="auto"/>
                    <w:ind w:firstLine="0" w:firstLineChars="0"/>
                    <w:jc w:val="center"/>
                    <w:rPr>
                      <w:sz w:val="21"/>
                      <w:szCs w:val="21"/>
                    </w:rPr>
                  </w:pPr>
                </w:p>
              </w:tc>
              <w:tc>
                <w:tcPr>
                  <w:tcW w:w="1377" w:type="dxa"/>
                  <w:gridSpan w:val="2"/>
                  <w:tcBorders>
                    <w:tl2br w:val="nil"/>
                    <w:tr2bl w:val="nil"/>
                  </w:tcBorders>
                  <w:tcMar>
                    <w:left w:w="28" w:type="dxa"/>
                    <w:right w:w="28" w:type="dxa"/>
                  </w:tcMar>
                  <w:vAlign w:val="center"/>
                </w:tcPr>
                <w:p w14:paraId="479DF307">
                  <w:pPr>
                    <w:spacing w:line="240" w:lineRule="auto"/>
                    <w:ind w:firstLine="0" w:firstLineChars="0"/>
                    <w:jc w:val="center"/>
                    <w:rPr>
                      <w:sz w:val="21"/>
                      <w:szCs w:val="21"/>
                    </w:rPr>
                  </w:pPr>
                  <w:r>
                    <w:rPr>
                      <w:rFonts w:hint="eastAsia"/>
                      <w:sz w:val="21"/>
                      <w:szCs w:val="21"/>
                    </w:rPr>
                    <w:t>抛丸</w:t>
                  </w:r>
                  <w:r>
                    <w:rPr>
                      <w:sz w:val="21"/>
                      <w:szCs w:val="21"/>
                    </w:rPr>
                    <w:t>废气</w:t>
                  </w:r>
                </w:p>
              </w:tc>
              <w:tc>
                <w:tcPr>
                  <w:tcW w:w="1650" w:type="dxa"/>
                  <w:tcBorders>
                    <w:tl2br w:val="nil"/>
                    <w:tr2bl w:val="nil"/>
                  </w:tcBorders>
                  <w:tcMar>
                    <w:left w:w="28" w:type="dxa"/>
                    <w:right w:w="28" w:type="dxa"/>
                  </w:tcMar>
                  <w:vAlign w:val="center"/>
                </w:tcPr>
                <w:p w14:paraId="37AF7A33">
                  <w:pPr>
                    <w:spacing w:line="240" w:lineRule="auto"/>
                    <w:ind w:firstLine="0" w:firstLineChars="0"/>
                    <w:jc w:val="center"/>
                    <w:rPr>
                      <w:sz w:val="21"/>
                      <w:szCs w:val="21"/>
                    </w:rPr>
                  </w:pPr>
                  <w:r>
                    <w:rPr>
                      <w:sz w:val="21"/>
                      <w:szCs w:val="21"/>
                    </w:rPr>
                    <w:t>颗粒物</w:t>
                  </w:r>
                </w:p>
              </w:tc>
              <w:tc>
                <w:tcPr>
                  <w:tcW w:w="3586" w:type="dxa"/>
                  <w:vMerge w:val="continue"/>
                  <w:tcBorders>
                    <w:tl2br w:val="nil"/>
                    <w:tr2bl w:val="nil"/>
                  </w:tcBorders>
                  <w:vAlign w:val="center"/>
                </w:tcPr>
                <w:p w14:paraId="51F056AA">
                  <w:pPr>
                    <w:spacing w:line="240" w:lineRule="auto"/>
                    <w:ind w:firstLine="0" w:firstLineChars="0"/>
                    <w:jc w:val="center"/>
                    <w:rPr>
                      <w:sz w:val="21"/>
                      <w:szCs w:val="21"/>
                      <w:highlight w:val="cyan"/>
                    </w:rPr>
                  </w:pPr>
                </w:p>
              </w:tc>
              <w:tc>
                <w:tcPr>
                  <w:tcW w:w="547" w:type="dxa"/>
                  <w:vMerge w:val="continue"/>
                  <w:tcBorders>
                    <w:tl2br w:val="nil"/>
                    <w:tr2bl w:val="nil"/>
                  </w:tcBorders>
                  <w:vAlign w:val="center"/>
                </w:tcPr>
                <w:p w14:paraId="36A3E148">
                  <w:pPr>
                    <w:spacing w:line="240" w:lineRule="auto"/>
                    <w:ind w:firstLine="0" w:firstLineChars="0"/>
                    <w:jc w:val="center"/>
                    <w:rPr>
                      <w:sz w:val="21"/>
                      <w:szCs w:val="21"/>
                    </w:rPr>
                  </w:pPr>
                </w:p>
              </w:tc>
            </w:tr>
            <w:tr w14:paraId="7E9CD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restart"/>
                  <w:tcBorders>
                    <w:tl2br w:val="nil"/>
                    <w:tr2bl w:val="nil"/>
                  </w:tcBorders>
                  <w:tcMar>
                    <w:left w:w="28" w:type="dxa"/>
                    <w:right w:w="28" w:type="dxa"/>
                  </w:tcMar>
                  <w:vAlign w:val="center"/>
                </w:tcPr>
                <w:p w14:paraId="209F4862">
                  <w:pPr>
                    <w:spacing w:line="240" w:lineRule="auto"/>
                    <w:ind w:firstLine="0" w:firstLineChars="0"/>
                    <w:jc w:val="center"/>
                    <w:rPr>
                      <w:sz w:val="21"/>
                      <w:szCs w:val="21"/>
                    </w:rPr>
                  </w:pPr>
                  <w:r>
                    <w:rPr>
                      <w:sz w:val="21"/>
                      <w:szCs w:val="21"/>
                    </w:rPr>
                    <w:t>废水</w:t>
                  </w:r>
                </w:p>
              </w:tc>
              <w:tc>
                <w:tcPr>
                  <w:tcW w:w="612" w:type="dxa"/>
                  <w:vMerge w:val="restart"/>
                  <w:tcBorders>
                    <w:tl2br w:val="nil"/>
                    <w:tr2bl w:val="nil"/>
                  </w:tcBorders>
                  <w:tcMar>
                    <w:left w:w="28" w:type="dxa"/>
                    <w:right w:w="28" w:type="dxa"/>
                  </w:tcMar>
                  <w:vAlign w:val="center"/>
                </w:tcPr>
                <w:p w14:paraId="7C6F2D68">
                  <w:pPr>
                    <w:spacing w:line="240" w:lineRule="auto"/>
                    <w:ind w:firstLine="0" w:firstLineChars="0"/>
                    <w:jc w:val="center"/>
                    <w:rPr>
                      <w:sz w:val="21"/>
                      <w:szCs w:val="21"/>
                    </w:rPr>
                  </w:pPr>
                  <w:r>
                    <w:rPr>
                      <w:rFonts w:hint="eastAsia"/>
                      <w:sz w:val="21"/>
                      <w:szCs w:val="21"/>
                    </w:rPr>
                    <w:t>生产废水</w:t>
                  </w:r>
                </w:p>
              </w:tc>
              <w:tc>
                <w:tcPr>
                  <w:tcW w:w="1377" w:type="dxa"/>
                  <w:gridSpan w:val="2"/>
                  <w:tcBorders>
                    <w:tl2br w:val="nil"/>
                    <w:tr2bl w:val="nil"/>
                  </w:tcBorders>
                  <w:tcMar>
                    <w:left w:w="28" w:type="dxa"/>
                    <w:right w:w="28" w:type="dxa"/>
                  </w:tcMar>
                  <w:vAlign w:val="center"/>
                </w:tcPr>
                <w:p w14:paraId="60DE034D">
                  <w:pPr>
                    <w:spacing w:line="240" w:lineRule="auto"/>
                    <w:ind w:firstLine="0" w:firstLineChars="0"/>
                    <w:jc w:val="center"/>
                    <w:rPr>
                      <w:rFonts w:hint="eastAsia" w:eastAsia="宋体"/>
                      <w:sz w:val="21"/>
                      <w:szCs w:val="21"/>
                      <w:lang w:eastAsia="zh-CN"/>
                    </w:rPr>
                  </w:pPr>
                  <w:r>
                    <w:rPr>
                      <w:rFonts w:hint="eastAsia"/>
                      <w:sz w:val="21"/>
                      <w:szCs w:val="21"/>
                      <w:lang w:eastAsia="zh-CN"/>
                    </w:rPr>
                    <w:t>热处理过程清洗机清理废水</w:t>
                  </w:r>
                </w:p>
              </w:tc>
              <w:tc>
                <w:tcPr>
                  <w:tcW w:w="1650" w:type="dxa"/>
                  <w:vMerge w:val="restart"/>
                  <w:tcBorders>
                    <w:tl2br w:val="nil"/>
                    <w:tr2bl w:val="nil"/>
                  </w:tcBorders>
                  <w:tcMar>
                    <w:left w:w="28" w:type="dxa"/>
                    <w:right w:w="28" w:type="dxa"/>
                  </w:tcMar>
                  <w:vAlign w:val="center"/>
                </w:tcPr>
                <w:p w14:paraId="1509466E">
                  <w:pPr>
                    <w:pStyle w:val="31"/>
                    <w:rPr>
                      <w:rFonts w:hint="eastAsia" w:eastAsia="宋体"/>
                      <w:sz w:val="21"/>
                      <w:highlight w:val="none"/>
                      <w:lang w:eastAsia="zh-CN"/>
                    </w:rPr>
                  </w:pPr>
                  <w:r>
                    <w:rPr>
                      <w:sz w:val="21"/>
                      <w:highlight w:val="none"/>
                    </w:rPr>
                    <w:t>COD、BOD</w:t>
                  </w:r>
                  <w:r>
                    <w:rPr>
                      <w:sz w:val="21"/>
                      <w:highlight w:val="none"/>
                      <w:vertAlign w:val="subscript"/>
                    </w:rPr>
                    <w:t>5</w:t>
                  </w:r>
                  <w:r>
                    <w:rPr>
                      <w:sz w:val="21"/>
                      <w:highlight w:val="none"/>
                    </w:rPr>
                    <w:t>、SS、</w:t>
                  </w:r>
                  <w:r>
                    <w:rPr>
                      <w:rFonts w:hint="eastAsia"/>
                      <w:bCs/>
                      <w:sz w:val="21"/>
                      <w:highlight w:val="none"/>
                    </w:rPr>
                    <w:t>氨氮、</w:t>
                  </w:r>
                  <w:r>
                    <w:rPr>
                      <w:rFonts w:hint="eastAsia"/>
                      <w:bCs/>
                      <w:sz w:val="21"/>
                      <w:highlight w:val="none"/>
                      <w:lang w:val="en-US" w:eastAsia="zh-CN"/>
                    </w:rPr>
                    <w:t>石油类、</w:t>
                  </w:r>
                  <w:r>
                    <w:rPr>
                      <w:rFonts w:hint="eastAsia"/>
                      <w:bCs/>
                      <w:sz w:val="21"/>
                      <w:szCs w:val="21"/>
                      <w:highlight w:val="none"/>
                      <w:lang w:eastAsia="zh-CN"/>
                    </w:rPr>
                    <w:t>阴离子表面活性剂</w:t>
                  </w:r>
                </w:p>
              </w:tc>
              <w:tc>
                <w:tcPr>
                  <w:tcW w:w="3586" w:type="dxa"/>
                  <w:tcBorders>
                    <w:tl2br w:val="nil"/>
                    <w:tr2bl w:val="nil"/>
                  </w:tcBorders>
                  <w:vAlign w:val="center"/>
                </w:tcPr>
                <w:p w14:paraId="5151C427">
                  <w:pPr>
                    <w:pStyle w:val="31"/>
                    <w:rPr>
                      <w:sz w:val="21"/>
                      <w:highlight w:val="none"/>
                    </w:rPr>
                  </w:pPr>
                  <w:r>
                    <w:rPr>
                      <w:rFonts w:hint="eastAsia"/>
                      <w:sz w:val="21"/>
                      <w:highlight w:val="none"/>
                      <w:lang w:val="en-US" w:eastAsia="zh-CN"/>
                    </w:rPr>
                    <w:t>自带油水分离器处理</w:t>
                  </w:r>
                  <w:r>
                    <w:rPr>
                      <w:rFonts w:hint="eastAsia"/>
                      <w:sz w:val="21"/>
                      <w:highlight w:val="none"/>
                      <w:lang w:eastAsia="zh-CN"/>
                    </w:rPr>
                    <w:t>后，</w:t>
                  </w:r>
                  <w:r>
                    <w:rPr>
                      <w:rFonts w:hint="eastAsia"/>
                      <w:sz w:val="21"/>
                      <w:highlight w:val="none"/>
                    </w:rPr>
                    <w:t>排入</w:t>
                  </w:r>
                  <w:r>
                    <w:rPr>
                      <w:rFonts w:hint="eastAsia"/>
                      <w:sz w:val="21"/>
                      <w:highlight w:val="none"/>
                      <w:lang w:val="en-US" w:eastAsia="zh-CN"/>
                    </w:rPr>
                    <w:t>污水处理设施</w:t>
                  </w:r>
                  <w:r>
                    <w:rPr>
                      <w:rFonts w:hint="eastAsia"/>
                      <w:sz w:val="21"/>
                      <w:highlight w:val="none"/>
                    </w:rPr>
                    <w:t>处理，</w:t>
                  </w:r>
                  <w:r>
                    <w:rPr>
                      <w:rFonts w:hint="eastAsia"/>
                      <w:sz w:val="21"/>
                      <w:highlight w:val="none"/>
                      <w:lang w:eastAsia="zh-CN"/>
                    </w:rPr>
                    <w:t>然后</w:t>
                  </w:r>
                  <w:r>
                    <w:rPr>
                      <w:rFonts w:hint="eastAsia"/>
                      <w:sz w:val="21"/>
                      <w:highlight w:val="none"/>
                    </w:rPr>
                    <w:t>经园区污水管网，汇入园区污水处理厂处理</w:t>
                  </w:r>
                </w:p>
              </w:tc>
              <w:tc>
                <w:tcPr>
                  <w:tcW w:w="547" w:type="dxa"/>
                  <w:vMerge w:val="restart"/>
                  <w:tcBorders>
                    <w:tl2br w:val="nil"/>
                    <w:tr2bl w:val="nil"/>
                  </w:tcBorders>
                  <w:vAlign w:val="center"/>
                </w:tcPr>
                <w:p w14:paraId="0C0A9A4F">
                  <w:pPr>
                    <w:spacing w:line="240" w:lineRule="auto"/>
                    <w:ind w:firstLine="0" w:firstLineChars="0"/>
                    <w:jc w:val="center"/>
                    <w:rPr>
                      <w:sz w:val="21"/>
                      <w:szCs w:val="21"/>
                    </w:rPr>
                  </w:pPr>
                  <w:r>
                    <w:rPr>
                      <w:sz w:val="21"/>
                      <w:szCs w:val="21"/>
                    </w:rPr>
                    <w:t>间断</w:t>
                  </w:r>
                </w:p>
              </w:tc>
            </w:tr>
            <w:tr w14:paraId="27895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260374D">
                  <w:pPr>
                    <w:spacing w:line="240" w:lineRule="auto"/>
                    <w:ind w:firstLine="0" w:firstLineChars="0"/>
                    <w:jc w:val="center"/>
                  </w:pPr>
                </w:p>
              </w:tc>
              <w:tc>
                <w:tcPr>
                  <w:tcW w:w="612" w:type="dxa"/>
                  <w:vMerge w:val="continue"/>
                  <w:tcBorders>
                    <w:tl2br w:val="nil"/>
                    <w:tr2bl w:val="nil"/>
                  </w:tcBorders>
                  <w:tcMar>
                    <w:left w:w="28" w:type="dxa"/>
                    <w:right w:w="28" w:type="dxa"/>
                  </w:tcMar>
                  <w:vAlign w:val="center"/>
                </w:tcPr>
                <w:p w14:paraId="31CA9D10">
                  <w:pPr>
                    <w:spacing w:line="240" w:lineRule="auto"/>
                    <w:ind w:firstLine="0" w:firstLineChars="0"/>
                    <w:jc w:val="center"/>
                  </w:pPr>
                </w:p>
              </w:tc>
              <w:tc>
                <w:tcPr>
                  <w:tcW w:w="1377" w:type="dxa"/>
                  <w:gridSpan w:val="2"/>
                  <w:tcBorders>
                    <w:tl2br w:val="nil"/>
                    <w:tr2bl w:val="nil"/>
                  </w:tcBorders>
                  <w:tcMar>
                    <w:left w:w="28" w:type="dxa"/>
                    <w:right w:w="28" w:type="dxa"/>
                  </w:tcMar>
                  <w:vAlign w:val="center"/>
                </w:tcPr>
                <w:p w14:paraId="0FB6AF05">
                  <w:pPr>
                    <w:spacing w:line="240" w:lineRule="auto"/>
                    <w:ind w:firstLine="0" w:firstLineChars="0"/>
                    <w:jc w:val="center"/>
                    <w:rPr>
                      <w:rFonts w:hint="eastAsia" w:eastAsia="宋体"/>
                      <w:sz w:val="21"/>
                      <w:szCs w:val="21"/>
                      <w:lang w:eastAsia="zh-CN"/>
                    </w:rPr>
                  </w:pPr>
                  <w:r>
                    <w:rPr>
                      <w:rFonts w:hint="eastAsia"/>
                      <w:sz w:val="21"/>
                      <w:szCs w:val="21"/>
                      <w:lang w:eastAsia="zh-CN"/>
                    </w:rPr>
                    <w:t>抛丸后清洗机清洗废水</w:t>
                  </w:r>
                </w:p>
              </w:tc>
              <w:tc>
                <w:tcPr>
                  <w:tcW w:w="1650" w:type="dxa"/>
                  <w:vMerge w:val="continue"/>
                  <w:tcBorders>
                    <w:tl2br w:val="nil"/>
                    <w:tr2bl w:val="nil"/>
                  </w:tcBorders>
                  <w:tcMar>
                    <w:left w:w="28" w:type="dxa"/>
                    <w:right w:w="28" w:type="dxa"/>
                  </w:tcMar>
                  <w:vAlign w:val="center"/>
                </w:tcPr>
                <w:p w14:paraId="0B7C86AA">
                  <w:pPr>
                    <w:spacing w:line="240" w:lineRule="auto"/>
                    <w:ind w:firstLine="0" w:firstLineChars="0"/>
                    <w:jc w:val="center"/>
                    <w:rPr>
                      <w:rFonts w:hint="eastAsia"/>
                      <w:sz w:val="21"/>
                      <w:szCs w:val="21"/>
                      <w:highlight w:val="none"/>
                    </w:rPr>
                  </w:pPr>
                </w:p>
              </w:tc>
              <w:tc>
                <w:tcPr>
                  <w:tcW w:w="3586" w:type="dxa"/>
                  <w:tcBorders>
                    <w:tl2br w:val="nil"/>
                    <w:tr2bl w:val="nil"/>
                  </w:tcBorders>
                  <w:vAlign w:val="center"/>
                </w:tcPr>
                <w:p w14:paraId="61A1B239">
                  <w:pPr>
                    <w:spacing w:line="240" w:lineRule="auto"/>
                    <w:ind w:firstLine="0" w:firstLineChars="0"/>
                    <w:jc w:val="center"/>
                    <w:rPr>
                      <w:rFonts w:hint="eastAsia" w:eastAsia="宋体"/>
                      <w:b/>
                      <w:bCs/>
                      <w:sz w:val="21"/>
                      <w:szCs w:val="21"/>
                      <w:highlight w:val="none"/>
                      <w:lang w:eastAsia="zh-CN"/>
                    </w:rPr>
                  </w:pPr>
                  <w:r>
                    <w:rPr>
                      <w:rFonts w:hint="eastAsia"/>
                      <w:sz w:val="21"/>
                      <w:highlight w:val="none"/>
                    </w:rPr>
                    <w:t>排入</w:t>
                  </w:r>
                  <w:r>
                    <w:rPr>
                      <w:rFonts w:hint="eastAsia"/>
                      <w:sz w:val="21"/>
                      <w:highlight w:val="none"/>
                      <w:lang w:val="en-US" w:eastAsia="zh-CN"/>
                    </w:rPr>
                    <w:t>污水处理设施</w:t>
                  </w:r>
                  <w:r>
                    <w:rPr>
                      <w:rFonts w:hint="eastAsia"/>
                      <w:sz w:val="21"/>
                      <w:highlight w:val="none"/>
                    </w:rPr>
                    <w:t>处理</w:t>
                  </w:r>
                  <w:r>
                    <w:rPr>
                      <w:rFonts w:hint="eastAsia"/>
                      <w:sz w:val="21"/>
                      <w:highlight w:val="none"/>
                      <w:lang w:eastAsia="zh-CN"/>
                    </w:rPr>
                    <w:t>后</w:t>
                  </w:r>
                  <w:r>
                    <w:rPr>
                      <w:rFonts w:hint="eastAsia"/>
                      <w:sz w:val="21"/>
                      <w:highlight w:val="none"/>
                    </w:rPr>
                    <w:t>，经园区污水管网，汇入园区污水处理厂处理</w:t>
                  </w:r>
                </w:p>
              </w:tc>
              <w:tc>
                <w:tcPr>
                  <w:tcW w:w="547" w:type="dxa"/>
                  <w:vMerge w:val="continue"/>
                  <w:tcBorders>
                    <w:tl2br w:val="nil"/>
                    <w:tr2bl w:val="nil"/>
                  </w:tcBorders>
                  <w:vAlign w:val="center"/>
                </w:tcPr>
                <w:p w14:paraId="7E6ACD9E">
                  <w:pPr>
                    <w:spacing w:line="240" w:lineRule="auto"/>
                    <w:ind w:firstLine="0" w:firstLineChars="0"/>
                    <w:jc w:val="center"/>
                    <w:rPr>
                      <w:rFonts w:hint="eastAsia"/>
                      <w:sz w:val="21"/>
                      <w:szCs w:val="21"/>
                    </w:rPr>
                  </w:pPr>
                </w:p>
              </w:tc>
            </w:tr>
            <w:tr w14:paraId="70EA9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7EAB2D4C">
                  <w:pPr>
                    <w:spacing w:line="240" w:lineRule="auto"/>
                    <w:ind w:firstLine="0" w:firstLineChars="0"/>
                    <w:jc w:val="center"/>
                    <w:rPr>
                      <w:sz w:val="21"/>
                      <w:szCs w:val="21"/>
                    </w:rPr>
                  </w:pPr>
                </w:p>
              </w:tc>
              <w:tc>
                <w:tcPr>
                  <w:tcW w:w="1989" w:type="dxa"/>
                  <w:gridSpan w:val="3"/>
                  <w:tcBorders>
                    <w:tl2br w:val="nil"/>
                    <w:tr2bl w:val="nil"/>
                  </w:tcBorders>
                  <w:tcMar>
                    <w:left w:w="28" w:type="dxa"/>
                    <w:right w:w="28" w:type="dxa"/>
                  </w:tcMar>
                  <w:vAlign w:val="center"/>
                </w:tcPr>
                <w:p w14:paraId="668560BC">
                  <w:pPr>
                    <w:spacing w:line="240" w:lineRule="auto"/>
                    <w:ind w:firstLine="0" w:firstLineChars="0"/>
                    <w:jc w:val="center"/>
                    <w:rPr>
                      <w:sz w:val="21"/>
                      <w:szCs w:val="21"/>
                      <w:highlight w:val="none"/>
                    </w:rPr>
                  </w:pPr>
                  <w:r>
                    <w:rPr>
                      <w:rFonts w:hint="eastAsia"/>
                      <w:sz w:val="21"/>
                      <w:szCs w:val="21"/>
                      <w:highlight w:val="none"/>
                    </w:rPr>
                    <w:t>软化水装置产生的浓盐水</w:t>
                  </w:r>
                </w:p>
              </w:tc>
              <w:tc>
                <w:tcPr>
                  <w:tcW w:w="1650" w:type="dxa"/>
                  <w:vMerge w:val="restart"/>
                  <w:tcBorders>
                    <w:tl2br w:val="nil"/>
                    <w:tr2bl w:val="nil"/>
                  </w:tcBorders>
                  <w:tcMar>
                    <w:left w:w="28" w:type="dxa"/>
                    <w:right w:w="28" w:type="dxa"/>
                  </w:tcMar>
                  <w:vAlign w:val="center"/>
                </w:tcPr>
                <w:p w14:paraId="506FD630">
                  <w:pPr>
                    <w:pStyle w:val="31"/>
                    <w:rPr>
                      <w:sz w:val="21"/>
                      <w:highlight w:val="none"/>
                    </w:rPr>
                  </w:pPr>
                  <w:r>
                    <w:rPr>
                      <w:sz w:val="21"/>
                      <w:highlight w:val="none"/>
                    </w:rPr>
                    <w:t>COD、BOD</w:t>
                  </w:r>
                  <w:r>
                    <w:rPr>
                      <w:sz w:val="21"/>
                      <w:highlight w:val="none"/>
                      <w:vertAlign w:val="subscript"/>
                    </w:rPr>
                    <w:t>5</w:t>
                  </w:r>
                  <w:r>
                    <w:rPr>
                      <w:sz w:val="21"/>
                      <w:highlight w:val="none"/>
                    </w:rPr>
                    <w:t>、SS、</w:t>
                  </w:r>
                  <w:r>
                    <w:rPr>
                      <w:rFonts w:hint="eastAsia"/>
                      <w:bCs/>
                      <w:sz w:val="21"/>
                      <w:highlight w:val="none"/>
                    </w:rPr>
                    <w:t>氨氮</w:t>
                  </w:r>
                </w:p>
              </w:tc>
              <w:tc>
                <w:tcPr>
                  <w:tcW w:w="3586" w:type="dxa"/>
                  <w:vMerge w:val="restart"/>
                  <w:tcBorders>
                    <w:tl2br w:val="nil"/>
                    <w:tr2bl w:val="nil"/>
                  </w:tcBorders>
                  <w:vAlign w:val="center"/>
                </w:tcPr>
                <w:p w14:paraId="196937CA">
                  <w:pPr>
                    <w:pStyle w:val="31"/>
                    <w:rPr>
                      <w:sz w:val="21"/>
                      <w:highlight w:val="none"/>
                    </w:rPr>
                  </w:pPr>
                  <w:r>
                    <w:rPr>
                      <w:rFonts w:hint="eastAsia"/>
                      <w:sz w:val="21"/>
                      <w:highlight w:val="none"/>
                    </w:rPr>
                    <w:t>经园区污水管网，汇入园区污水处理厂处理</w:t>
                  </w:r>
                </w:p>
              </w:tc>
              <w:tc>
                <w:tcPr>
                  <w:tcW w:w="547" w:type="dxa"/>
                  <w:tcBorders>
                    <w:tl2br w:val="nil"/>
                    <w:tr2bl w:val="nil"/>
                  </w:tcBorders>
                  <w:vAlign w:val="center"/>
                </w:tcPr>
                <w:p w14:paraId="74F39C9C">
                  <w:pPr>
                    <w:spacing w:line="240" w:lineRule="auto"/>
                    <w:ind w:firstLine="0" w:firstLineChars="0"/>
                    <w:jc w:val="center"/>
                    <w:rPr>
                      <w:sz w:val="21"/>
                      <w:szCs w:val="21"/>
                    </w:rPr>
                  </w:pPr>
                  <w:r>
                    <w:rPr>
                      <w:sz w:val="21"/>
                      <w:szCs w:val="21"/>
                    </w:rPr>
                    <w:t>间断</w:t>
                  </w:r>
                </w:p>
              </w:tc>
            </w:tr>
            <w:tr w14:paraId="56E58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37F1F1E1">
                  <w:pPr>
                    <w:spacing w:line="240" w:lineRule="auto"/>
                    <w:ind w:firstLine="0" w:firstLineChars="0"/>
                    <w:jc w:val="center"/>
                    <w:rPr>
                      <w:sz w:val="21"/>
                      <w:szCs w:val="21"/>
                    </w:rPr>
                  </w:pPr>
                </w:p>
              </w:tc>
              <w:tc>
                <w:tcPr>
                  <w:tcW w:w="1989" w:type="dxa"/>
                  <w:gridSpan w:val="3"/>
                  <w:tcBorders>
                    <w:tl2br w:val="nil"/>
                    <w:tr2bl w:val="nil"/>
                  </w:tcBorders>
                  <w:tcMar>
                    <w:left w:w="28" w:type="dxa"/>
                    <w:right w:w="28" w:type="dxa"/>
                  </w:tcMar>
                  <w:vAlign w:val="center"/>
                </w:tcPr>
                <w:p w14:paraId="198D3E4F">
                  <w:pPr>
                    <w:spacing w:line="240" w:lineRule="auto"/>
                    <w:ind w:firstLine="0" w:firstLineChars="0"/>
                    <w:jc w:val="center"/>
                    <w:rPr>
                      <w:sz w:val="21"/>
                      <w:szCs w:val="21"/>
                      <w:highlight w:val="none"/>
                    </w:rPr>
                  </w:pPr>
                  <w:r>
                    <w:rPr>
                      <w:rFonts w:hint="eastAsia"/>
                      <w:sz w:val="21"/>
                      <w:szCs w:val="21"/>
                      <w:highlight w:val="none"/>
                    </w:rPr>
                    <w:t>蓄热式电锅炉排污水</w:t>
                  </w:r>
                </w:p>
              </w:tc>
              <w:tc>
                <w:tcPr>
                  <w:tcW w:w="1650" w:type="dxa"/>
                  <w:vMerge w:val="continue"/>
                  <w:tcBorders>
                    <w:tl2br w:val="nil"/>
                    <w:tr2bl w:val="nil"/>
                  </w:tcBorders>
                  <w:tcMar>
                    <w:left w:w="28" w:type="dxa"/>
                    <w:right w:w="28" w:type="dxa"/>
                  </w:tcMar>
                  <w:vAlign w:val="center"/>
                </w:tcPr>
                <w:p w14:paraId="0369F7BA">
                  <w:pPr>
                    <w:pStyle w:val="31"/>
                    <w:rPr>
                      <w:sz w:val="21"/>
                    </w:rPr>
                  </w:pPr>
                </w:p>
              </w:tc>
              <w:tc>
                <w:tcPr>
                  <w:tcW w:w="3586" w:type="dxa"/>
                  <w:vMerge w:val="continue"/>
                  <w:tcBorders>
                    <w:tl2br w:val="nil"/>
                    <w:tr2bl w:val="nil"/>
                  </w:tcBorders>
                  <w:vAlign w:val="center"/>
                </w:tcPr>
                <w:p w14:paraId="5E131F6C">
                  <w:pPr>
                    <w:pStyle w:val="31"/>
                    <w:rPr>
                      <w:bCs/>
                      <w:sz w:val="21"/>
                      <w:highlight w:val="yellow"/>
                    </w:rPr>
                  </w:pPr>
                </w:p>
              </w:tc>
              <w:tc>
                <w:tcPr>
                  <w:tcW w:w="547" w:type="dxa"/>
                  <w:tcBorders>
                    <w:tl2br w:val="nil"/>
                    <w:tr2bl w:val="nil"/>
                  </w:tcBorders>
                  <w:vAlign w:val="center"/>
                </w:tcPr>
                <w:p w14:paraId="0B840603">
                  <w:pPr>
                    <w:spacing w:line="240" w:lineRule="auto"/>
                    <w:ind w:firstLine="0" w:firstLineChars="0"/>
                    <w:jc w:val="center"/>
                    <w:rPr>
                      <w:sz w:val="21"/>
                      <w:szCs w:val="21"/>
                    </w:rPr>
                  </w:pPr>
                </w:p>
              </w:tc>
            </w:tr>
            <w:tr w14:paraId="5712F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528E2FB5">
                  <w:pPr>
                    <w:spacing w:line="240" w:lineRule="auto"/>
                    <w:ind w:firstLine="0" w:firstLineChars="0"/>
                    <w:jc w:val="center"/>
                    <w:rPr>
                      <w:sz w:val="21"/>
                      <w:szCs w:val="21"/>
                    </w:rPr>
                  </w:pPr>
                </w:p>
              </w:tc>
              <w:tc>
                <w:tcPr>
                  <w:tcW w:w="1989" w:type="dxa"/>
                  <w:gridSpan w:val="3"/>
                  <w:tcBorders>
                    <w:tl2br w:val="nil"/>
                    <w:tr2bl w:val="nil"/>
                  </w:tcBorders>
                  <w:tcMar>
                    <w:left w:w="28" w:type="dxa"/>
                    <w:right w:w="28" w:type="dxa"/>
                  </w:tcMar>
                  <w:vAlign w:val="center"/>
                </w:tcPr>
                <w:p w14:paraId="2522508D">
                  <w:pPr>
                    <w:spacing w:line="240" w:lineRule="auto"/>
                    <w:ind w:firstLine="0" w:firstLineChars="0"/>
                    <w:jc w:val="center"/>
                    <w:rPr>
                      <w:sz w:val="21"/>
                      <w:szCs w:val="21"/>
                      <w:highlight w:val="none"/>
                    </w:rPr>
                  </w:pPr>
                  <w:r>
                    <w:rPr>
                      <w:sz w:val="21"/>
                      <w:szCs w:val="21"/>
                      <w:highlight w:val="none"/>
                    </w:rPr>
                    <w:t>生活废水</w:t>
                  </w:r>
                </w:p>
              </w:tc>
              <w:tc>
                <w:tcPr>
                  <w:tcW w:w="1650" w:type="dxa"/>
                  <w:tcBorders>
                    <w:tl2br w:val="nil"/>
                    <w:tr2bl w:val="nil"/>
                  </w:tcBorders>
                  <w:tcMar>
                    <w:left w:w="28" w:type="dxa"/>
                    <w:right w:w="28" w:type="dxa"/>
                  </w:tcMar>
                  <w:vAlign w:val="center"/>
                </w:tcPr>
                <w:p w14:paraId="32AD7F70">
                  <w:pPr>
                    <w:pStyle w:val="31"/>
                    <w:rPr>
                      <w:sz w:val="21"/>
                      <w:highlight w:val="none"/>
                    </w:rPr>
                  </w:pPr>
                  <w:r>
                    <w:rPr>
                      <w:sz w:val="21"/>
                      <w:highlight w:val="none"/>
                    </w:rPr>
                    <w:t>COD、BOD</w:t>
                  </w:r>
                  <w:r>
                    <w:rPr>
                      <w:sz w:val="21"/>
                      <w:highlight w:val="none"/>
                      <w:vertAlign w:val="subscript"/>
                    </w:rPr>
                    <w:t>5</w:t>
                  </w:r>
                  <w:r>
                    <w:rPr>
                      <w:sz w:val="21"/>
                      <w:highlight w:val="none"/>
                    </w:rPr>
                    <w:t>、SS、</w:t>
                  </w:r>
                  <w:r>
                    <w:rPr>
                      <w:rFonts w:hint="eastAsia"/>
                      <w:bCs/>
                      <w:sz w:val="21"/>
                      <w:highlight w:val="none"/>
                    </w:rPr>
                    <w:t>氨氮、动植物油</w:t>
                  </w:r>
                </w:p>
              </w:tc>
              <w:tc>
                <w:tcPr>
                  <w:tcW w:w="3586" w:type="dxa"/>
                  <w:tcBorders>
                    <w:tl2br w:val="nil"/>
                    <w:tr2bl w:val="nil"/>
                  </w:tcBorders>
                  <w:vAlign w:val="center"/>
                </w:tcPr>
                <w:p w14:paraId="04310BC6">
                  <w:pPr>
                    <w:pStyle w:val="31"/>
                    <w:rPr>
                      <w:sz w:val="21"/>
                      <w:highlight w:val="none"/>
                    </w:rPr>
                  </w:pPr>
                  <w:r>
                    <w:rPr>
                      <w:rFonts w:hint="eastAsia"/>
                      <w:sz w:val="21"/>
                      <w:highlight w:val="none"/>
                      <w:lang w:eastAsia="zh-CN"/>
                    </w:rPr>
                    <w:t>食堂废水经隔油池处理后与其它生活废水，</w:t>
                  </w:r>
                  <w:r>
                    <w:rPr>
                      <w:rFonts w:hint="eastAsia"/>
                      <w:sz w:val="21"/>
                      <w:highlight w:val="none"/>
                    </w:rPr>
                    <w:t>经园区污水管网，</w:t>
                  </w:r>
                  <w:r>
                    <w:rPr>
                      <w:rFonts w:hint="eastAsia"/>
                      <w:sz w:val="21"/>
                      <w:highlight w:val="none"/>
                      <w:lang w:eastAsia="zh-CN"/>
                    </w:rPr>
                    <w:t>排</w:t>
                  </w:r>
                  <w:r>
                    <w:rPr>
                      <w:rFonts w:hint="eastAsia"/>
                      <w:sz w:val="21"/>
                      <w:highlight w:val="none"/>
                    </w:rPr>
                    <w:t>入园区污水处理厂处理</w:t>
                  </w:r>
                </w:p>
              </w:tc>
              <w:tc>
                <w:tcPr>
                  <w:tcW w:w="547" w:type="dxa"/>
                  <w:tcBorders>
                    <w:tl2br w:val="nil"/>
                    <w:tr2bl w:val="nil"/>
                  </w:tcBorders>
                  <w:vAlign w:val="center"/>
                </w:tcPr>
                <w:p w14:paraId="7327CCA7">
                  <w:pPr>
                    <w:spacing w:line="240" w:lineRule="auto"/>
                    <w:ind w:firstLine="0" w:firstLineChars="0"/>
                    <w:jc w:val="center"/>
                    <w:rPr>
                      <w:sz w:val="21"/>
                      <w:szCs w:val="21"/>
                      <w:highlight w:val="none"/>
                    </w:rPr>
                  </w:pPr>
                  <w:r>
                    <w:rPr>
                      <w:sz w:val="21"/>
                      <w:szCs w:val="21"/>
                      <w:highlight w:val="none"/>
                    </w:rPr>
                    <w:t>间断</w:t>
                  </w:r>
                </w:p>
              </w:tc>
            </w:tr>
            <w:tr w14:paraId="79BA6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tcBorders>
                    <w:tl2br w:val="nil"/>
                    <w:tr2bl w:val="nil"/>
                  </w:tcBorders>
                  <w:tcMar>
                    <w:left w:w="28" w:type="dxa"/>
                    <w:right w:w="28" w:type="dxa"/>
                  </w:tcMar>
                  <w:vAlign w:val="center"/>
                </w:tcPr>
                <w:p w14:paraId="30ABB7C5">
                  <w:pPr>
                    <w:spacing w:line="240" w:lineRule="auto"/>
                    <w:ind w:firstLine="0" w:firstLineChars="0"/>
                    <w:jc w:val="center"/>
                    <w:rPr>
                      <w:sz w:val="21"/>
                      <w:szCs w:val="21"/>
                    </w:rPr>
                  </w:pPr>
                  <w:r>
                    <w:rPr>
                      <w:sz w:val="21"/>
                      <w:szCs w:val="21"/>
                    </w:rPr>
                    <w:t>噪声</w:t>
                  </w:r>
                </w:p>
              </w:tc>
              <w:tc>
                <w:tcPr>
                  <w:tcW w:w="1989" w:type="dxa"/>
                  <w:gridSpan w:val="3"/>
                  <w:tcBorders>
                    <w:tl2br w:val="nil"/>
                    <w:tr2bl w:val="nil"/>
                  </w:tcBorders>
                  <w:tcMar>
                    <w:left w:w="28" w:type="dxa"/>
                    <w:right w:w="28" w:type="dxa"/>
                  </w:tcMar>
                  <w:vAlign w:val="center"/>
                </w:tcPr>
                <w:p w14:paraId="3116EE95">
                  <w:pPr>
                    <w:spacing w:line="240" w:lineRule="auto"/>
                    <w:ind w:firstLine="0" w:firstLineChars="0"/>
                    <w:jc w:val="center"/>
                    <w:rPr>
                      <w:sz w:val="21"/>
                      <w:szCs w:val="21"/>
                    </w:rPr>
                  </w:pPr>
                  <w:r>
                    <w:rPr>
                      <w:sz w:val="21"/>
                      <w:szCs w:val="21"/>
                    </w:rPr>
                    <w:t>生产设备</w:t>
                  </w:r>
                </w:p>
              </w:tc>
              <w:tc>
                <w:tcPr>
                  <w:tcW w:w="1650" w:type="dxa"/>
                  <w:tcBorders>
                    <w:tl2br w:val="nil"/>
                    <w:tr2bl w:val="nil"/>
                  </w:tcBorders>
                  <w:tcMar>
                    <w:left w:w="28" w:type="dxa"/>
                    <w:right w:w="28" w:type="dxa"/>
                  </w:tcMar>
                  <w:vAlign w:val="center"/>
                </w:tcPr>
                <w:p w14:paraId="545C03C2">
                  <w:pPr>
                    <w:spacing w:line="240" w:lineRule="auto"/>
                    <w:ind w:firstLine="0" w:firstLineChars="0"/>
                    <w:jc w:val="center"/>
                    <w:rPr>
                      <w:sz w:val="21"/>
                      <w:szCs w:val="21"/>
                    </w:rPr>
                  </w:pPr>
                  <w:r>
                    <w:rPr>
                      <w:sz w:val="21"/>
                      <w:szCs w:val="21"/>
                    </w:rPr>
                    <w:t>噪声</w:t>
                  </w:r>
                </w:p>
              </w:tc>
              <w:tc>
                <w:tcPr>
                  <w:tcW w:w="3586" w:type="dxa"/>
                  <w:tcBorders>
                    <w:tl2br w:val="nil"/>
                    <w:tr2bl w:val="nil"/>
                  </w:tcBorders>
                  <w:vAlign w:val="center"/>
                </w:tcPr>
                <w:p w14:paraId="48F496F2">
                  <w:pPr>
                    <w:spacing w:line="240" w:lineRule="auto"/>
                    <w:ind w:firstLine="0" w:firstLineChars="0"/>
                    <w:jc w:val="center"/>
                    <w:rPr>
                      <w:sz w:val="21"/>
                      <w:szCs w:val="21"/>
                    </w:rPr>
                  </w:pPr>
                  <w:r>
                    <w:rPr>
                      <w:sz w:val="21"/>
                      <w:szCs w:val="21"/>
                    </w:rPr>
                    <w:t>基础减振</w:t>
                  </w:r>
                  <w:r>
                    <w:rPr>
                      <w:rFonts w:hint="eastAsia"/>
                      <w:sz w:val="21"/>
                      <w:szCs w:val="21"/>
                    </w:rPr>
                    <w:t>、</w:t>
                  </w:r>
                  <w:r>
                    <w:rPr>
                      <w:sz w:val="21"/>
                      <w:szCs w:val="21"/>
                    </w:rPr>
                    <w:t>厂房隔声、</w:t>
                  </w:r>
                  <w:r>
                    <w:rPr>
                      <w:rFonts w:hint="eastAsia"/>
                      <w:sz w:val="21"/>
                      <w:szCs w:val="21"/>
                    </w:rPr>
                    <w:t>距离衰减</w:t>
                  </w:r>
                </w:p>
              </w:tc>
              <w:tc>
                <w:tcPr>
                  <w:tcW w:w="547" w:type="dxa"/>
                  <w:tcBorders>
                    <w:tl2br w:val="nil"/>
                    <w:tr2bl w:val="nil"/>
                  </w:tcBorders>
                  <w:vAlign w:val="center"/>
                </w:tcPr>
                <w:p w14:paraId="15C6356F">
                  <w:pPr>
                    <w:spacing w:line="240" w:lineRule="auto"/>
                    <w:ind w:firstLine="0" w:firstLineChars="0"/>
                    <w:jc w:val="center"/>
                    <w:rPr>
                      <w:sz w:val="21"/>
                      <w:szCs w:val="21"/>
                    </w:rPr>
                  </w:pPr>
                  <w:r>
                    <w:rPr>
                      <w:rFonts w:hint="eastAsia"/>
                      <w:sz w:val="21"/>
                      <w:szCs w:val="21"/>
                    </w:rPr>
                    <w:t>连续</w:t>
                  </w:r>
                </w:p>
              </w:tc>
            </w:tr>
            <w:tr w14:paraId="0AC8B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restart"/>
                  <w:tcBorders>
                    <w:tl2br w:val="nil"/>
                    <w:tr2bl w:val="nil"/>
                  </w:tcBorders>
                  <w:tcMar>
                    <w:left w:w="28" w:type="dxa"/>
                    <w:right w:w="28" w:type="dxa"/>
                  </w:tcMar>
                  <w:vAlign w:val="center"/>
                </w:tcPr>
                <w:p w14:paraId="0048D99D">
                  <w:pPr>
                    <w:spacing w:line="240" w:lineRule="auto"/>
                    <w:ind w:firstLine="0" w:firstLineChars="0"/>
                    <w:jc w:val="center"/>
                    <w:rPr>
                      <w:sz w:val="21"/>
                      <w:szCs w:val="21"/>
                    </w:rPr>
                  </w:pPr>
                  <w:r>
                    <w:rPr>
                      <w:sz w:val="21"/>
                      <w:szCs w:val="21"/>
                    </w:rPr>
                    <w:t>固废</w:t>
                  </w:r>
                </w:p>
              </w:tc>
              <w:tc>
                <w:tcPr>
                  <w:tcW w:w="612" w:type="dxa"/>
                  <w:vMerge w:val="restart"/>
                  <w:tcBorders>
                    <w:tl2br w:val="nil"/>
                    <w:tr2bl w:val="nil"/>
                  </w:tcBorders>
                  <w:tcMar>
                    <w:left w:w="28" w:type="dxa"/>
                    <w:right w:w="28" w:type="dxa"/>
                  </w:tcMar>
                  <w:vAlign w:val="center"/>
                </w:tcPr>
                <w:p w14:paraId="159531B1">
                  <w:pPr>
                    <w:spacing w:line="240" w:lineRule="auto"/>
                    <w:ind w:firstLine="0" w:firstLineChars="0"/>
                    <w:jc w:val="center"/>
                    <w:rPr>
                      <w:sz w:val="21"/>
                      <w:szCs w:val="21"/>
                    </w:rPr>
                  </w:pPr>
                  <w:r>
                    <w:rPr>
                      <w:sz w:val="21"/>
                      <w:szCs w:val="21"/>
                    </w:rPr>
                    <w:t>一般固废</w:t>
                  </w:r>
                </w:p>
              </w:tc>
              <w:tc>
                <w:tcPr>
                  <w:tcW w:w="1377" w:type="dxa"/>
                  <w:gridSpan w:val="2"/>
                  <w:vMerge w:val="restart"/>
                  <w:tcBorders>
                    <w:tl2br w:val="nil"/>
                    <w:tr2bl w:val="nil"/>
                  </w:tcBorders>
                  <w:tcMar>
                    <w:left w:w="28" w:type="dxa"/>
                    <w:right w:w="28" w:type="dxa"/>
                  </w:tcMar>
                  <w:vAlign w:val="center"/>
                </w:tcPr>
                <w:p w14:paraId="39C38DB3">
                  <w:pPr>
                    <w:spacing w:line="240" w:lineRule="auto"/>
                    <w:ind w:firstLine="0" w:firstLineChars="0"/>
                    <w:jc w:val="center"/>
                    <w:rPr>
                      <w:sz w:val="21"/>
                      <w:szCs w:val="21"/>
                    </w:rPr>
                  </w:pPr>
                  <w:r>
                    <w:rPr>
                      <w:rFonts w:hint="eastAsia"/>
                      <w:sz w:val="21"/>
                      <w:szCs w:val="21"/>
                    </w:rPr>
                    <w:t>热前加工</w:t>
                  </w:r>
                  <w:r>
                    <w:rPr>
                      <w:sz w:val="21"/>
                      <w:szCs w:val="21"/>
                    </w:rPr>
                    <w:t>工序</w:t>
                  </w:r>
                </w:p>
              </w:tc>
              <w:tc>
                <w:tcPr>
                  <w:tcW w:w="1650" w:type="dxa"/>
                  <w:tcBorders>
                    <w:tl2br w:val="nil"/>
                    <w:tr2bl w:val="nil"/>
                  </w:tcBorders>
                  <w:tcMar>
                    <w:left w:w="28" w:type="dxa"/>
                    <w:right w:w="28" w:type="dxa"/>
                  </w:tcMar>
                  <w:vAlign w:val="center"/>
                </w:tcPr>
                <w:p w14:paraId="7CA0E488">
                  <w:pPr>
                    <w:widowControl/>
                    <w:spacing w:line="240" w:lineRule="auto"/>
                    <w:ind w:firstLine="0" w:firstLineChars="0"/>
                    <w:jc w:val="center"/>
                    <w:rPr>
                      <w:sz w:val="21"/>
                      <w:szCs w:val="21"/>
                    </w:rPr>
                  </w:pPr>
                  <w:r>
                    <w:rPr>
                      <w:rFonts w:hint="eastAsia"/>
                      <w:sz w:val="21"/>
                      <w:szCs w:val="21"/>
                    </w:rPr>
                    <w:t>不合格工件</w:t>
                  </w:r>
                </w:p>
              </w:tc>
              <w:tc>
                <w:tcPr>
                  <w:tcW w:w="3586" w:type="dxa"/>
                  <w:vMerge w:val="restart"/>
                  <w:tcBorders>
                    <w:tl2br w:val="nil"/>
                    <w:tr2bl w:val="nil"/>
                  </w:tcBorders>
                  <w:vAlign w:val="center"/>
                </w:tcPr>
                <w:p w14:paraId="2B3A2D09">
                  <w:pPr>
                    <w:spacing w:line="240" w:lineRule="auto"/>
                    <w:ind w:firstLine="0" w:firstLineChars="0"/>
                    <w:jc w:val="center"/>
                    <w:rPr>
                      <w:sz w:val="21"/>
                      <w:szCs w:val="21"/>
                    </w:rPr>
                  </w:pPr>
                  <w:r>
                    <w:rPr>
                      <w:sz w:val="21"/>
                      <w:szCs w:val="21"/>
                    </w:rPr>
                    <w:t>外售钢铁企业作为生产原料</w:t>
                  </w:r>
                </w:p>
              </w:tc>
              <w:tc>
                <w:tcPr>
                  <w:tcW w:w="547" w:type="dxa"/>
                  <w:tcBorders>
                    <w:tl2br w:val="nil"/>
                    <w:tr2bl w:val="nil"/>
                  </w:tcBorders>
                  <w:vAlign w:val="center"/>
                </w:tcPr>
                <w:p w14:paraId="79B2DFAD">
                  <w:pPr>
                    <w:spacing w:line="240" w:lineRule="auto"/>
                    <w:ind w:firstLine="0" w:firstLineChars="0"/>
                    <w:jc w:val="center"/>
                    <w:rPr>
                      <w:sz w:val="21"/>
                      <w:szCs w:val="21"/>
                    </w:rPr>
                  </w:pPr>
                  <w:r>
                    <w:rPr>
                      <w:sz w:val="21"/>
                      <w:szCs w:val="21"/>
                    </w:rPr>
                    <w:t>间断</w:t>
                  </w:r>
                </w:p>
              </w:tc>
            </w:tr>
            <w:tr w14:paraId="3E49D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777653A">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3EF5C729">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33DEBFAE">
                  <w:pPr>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0531D966">
                  <w:pPr>
                    <w:widowControl/>
                    <w:spacing w:line="240" w:lineRule="auto"/>
                    <w:ind w:firstLine="0" w:firstLineChars="0"/>
                    <w:jc w:val="center"/>
                    <w:rPr>
                      <w:sz w:val="21"/>
                      <w:szCs w:val="21"/>
                    </w:rPr>
                  </w:pPr>
                  <w:r>
                    <w:rPr>
                      <w:rFonts w:hint="eastAsia"/>
                      <w:sz w:val="21"/>
                      <w:szCs w:val="21"/>
                    </w:rPr>
                    <w:t>下脚料</w:t>
                  </w:r>
                </w:p>
              </w:tc>
              <w:tc>
                <w:tcPr>
                  <w:tcW w:w="3586" w:type="dxa"/>
                  <w:vMerge w:val="continue"/>
                  <w:tcBorders>
                    <w:tl2br w:val="nil"/>
                    <w:tr2bl w:val="nil"/>
                  </w:tcBorders>
                  <w:vAlign w:val="center"/>
                </w:tcPr>
                <w:p w14:paraId="3AB8020C">
                  <w:pPr>
                    <w:spacing w:line="240" w:lineRule="auto"/>
                    <w:ind w:firstLine="0" w:firstLineChars="0"/>
                    <w:jc w:val="center"/>
                    <w:rPr>
                      <w:sz w:val="21"/>
                      <w:szCs w:val="21"/>
                    </w:rPr>
                  </w:pPr>
                </w:p>
              </w:tc>
              <w:tc>
                <w:tcPr>
                  <w:tcW w:w="547" w:type="dxa"/>
                  <w:tcBorders>
                    <w:tl2br w:val="nil"/>
                    <w:tr2bl w:val="nil"/>
                  </w:tcBorders>
                  <w:vAlign w:val="center"/>
                </w:tcPr>
                <w:p w14:paraId="159CE355">
                  <w:pPr>
                    <w:spacing w:line="240" w:lineRule="auto"/>
                    <w:ind w:firstLine="0" w:firstLineChars="0"/>
                    <w:jc w:val="center"/>
                    <w:rPr>
                      <w:sz w:val="21"/>
                      <w:szCs w:val="21"/>
                    </w:rPr>
                  </w:pPr>
                  <w:r>
                    <w:rPr>
                      <w:rFonts w:hint="eastAsia"/>
                      <w:sz w:val="21"/>
                      <w:szCs w:val="21"/>
                    </w:rPr>
                    <w:t>间断</w:t>
                  </w:r>
                </w:p>
              </w:tc>
            </w:tr>
            <w:tr w14:paraId="51B4A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D38A58D">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F1E67D8">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2CB2E2ED">
                  <w:pPr>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08E4816F">
                  <w:pPr>
                    <w:widowControl/>
                    <w:spacing w:line="240" w:lineRule="auto"/>
                    <w:ind w:firstLine="0" w:firstLineChars="0"/>
                    <w:jc w:val="center"/>
                    <w:rPr>
                      <w:sz w:val="21"/>
                      <w:szCs w:val="21"/>
                    </w:rPr>
                  </w:pPr>
                  <w:r>
                    <w:rPr>
                      <w:rFonts w:hint="eastAsia"/>
                      <w:sz w:val="21"/>
                      <w:szCs w:val="21"/>
                    </w:rPr>
                    <w:t>废铁屑</w:t>
                  </w:r>
                </w:p>
              </w:tc>
              <w:tc>
                <w:tcPr>
                  <w:tcW w:w="3586" w:type="dxa"/>
                  <w:vMerge w:val="continue"/>
                  <w:tcBorders>
                    <w:tl2br w:val="nil"/>
                    <w:tr2bl w:val="nil"/>
                  </w:tcBorders>
                  <w:vAlign w:val="center"/>
                </w:tcPr>
                <w:p w14:paraId="17773836">
                  <w:pPr>
                    <w:spacing w:line="240" w:lineRule="auto"/>
                    <w:ind w:firstLine="0" w:firstLineChars="0"/>
                    <w:jc w:val="center"/>
                    <w:rPr>
                      <w:sz w:val="21"/>
                      <w:szCs w:val="21"/>
                    </w:rPr>
                  </w:pPr>
                </w:p>
              </w:tc>
              <w:tc>
                <w:tcPr>
                  <w:tcW w:w="547" w:type="dxa"/>
                  <w:tcBorders>
                    <w:tl2br w:val="nil"/>
                    <w:tr2bl w:val="nil"/>
                  </w:tcBorders>
                  <w:vAlign w:val="center"/>
                </w:tcPr>
                <w:p w14:paraId="4DEFB016">
                  <w:pPr>
                    <w:spacing w:line="240" w:lineRule="auto"/>
                    <w:ind w:firstLine="0" w:firstLineChars="0"/>
                    <w:jc w:val="center"/>
                    <w:rPr>
                      <w:sz w:val="21"/>
                      <w:szCs w:val="21"/>
                    </w:rPr>
                  </w:pPr>
                  <w:r>
                    <w:rPr>
                      <w:rFonts w:hint="eastAsia"/>
                      <w:sz w:val="21"/>
                      <w:szCs w:val="21"/>
                    </w:rPr>
                    <w:t>间断</w:t>
                  </w:r>
                </w:p>
              </w:tc>
            </w:tr>
            <w:tr w14:paraId="0B171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F1810C3">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2E96C55">
                  <w:pPr>
                    <w:spacing w:line="240" w:lineRule="auto"/>
                    <w:ind w:firstLine="0" w:firstLineChars="0"/>
                    <w:jc w:val="center"/>
                    <w:rPr>
                      <w:sz w:val="21"/>
                      <w:szCs w:val="21"/>
                      <w:highlight w:val="none"/>
                    </w:rPr>
                  </w:pPr>
                </w:p>
              </w:tc>
              <w:tc>
                <w:tcPr>
                  <w:tcW w:w="1377" w:type="dxa"/>
                  <w:gridSpan w:val="2"/>
                  <w:tcBorders>
                    <w:tl2br w:val="nil"/>
                    <w:tr2bl w:val="nil"/>
                  </w:tcBorders>
                  <w:tcMar>
                    <w:left w:w="28" w:type="dxa"/>
                    <w:right w:w="28" w:type="dxa"/>
                  </w:tcMar>
                  <w:vAlign w:val="center"/>
                </w:tcPr>
                <w:p w14:paraId="7CF2187A">
                  <w:pPr>
                    <w:spacing w:line="240" w:lineRule="auto"/>
                    <w:ind w:firstLine="0" w:firstLineChars="0"/>
                    <w:jc w:val="center"/>
                    <w:rPr>
                      <w:sz w:val="21"/>
                      <w:szCs w:val="21"/>
                      <w:highlight w:val="none"/>
                    </w:rPr>
                  </w:pPr>
                  <w:r>
                    <w:rPr>
                      <w:rFonts w:hint="eastAsia"/>
                      <w:sz w:val="21"/>
                      <w:szCs w:val="21"/>
                      <w:highlight w:val="none"/>
                    </w:rPr>
                    <w:t>热处理</w:t>
                  </w:r>
                </w:p>
              </w:tc>
              <w:tc>
                <w:tcPr>
                  <w:tcW w:w="1650" w:type="dxa"/>
                  <w:tcBorders>
                    <w:tl2br w:val="nil"/>
                    <w:tr2bl w:val="nil"/>
                  </w:tcBorders>
                  <w:tcMar>
                    <w:left w:w="28" w:type="dxa"/>
                    <w:right w:w="28" w:type="dxa"/>
                  </w:tcMar>
                  <w:vAlign w:val="center"/>
                </w:tcPr>
                <w:p w14:paraId="67491654">
                  <w:pPr>
                    <w:widowControl/>
                    <w:spacing w:line="240" w:lineRule="auto"/>
                    <w:ind w:firstLine="0" w:firstLineChars="0"/>
                    <w:jc w:val="center"/>
                    <w:rPr>
                      <w:sz w:val="21"/>
                      <w:szCs w:val="21"/>
                      <w:highlight w:val="none"/>
                    </w:rPr>
                  </w:pPr>
                  <w:r>
                    <w:rPr>
                      <w:rFonts w:hint="eastAsia"/>
                      <w:sz w:val="21"/>
                      <w:szCs w:val="21"/>
                      <w:highlight w:val="none"/>
                    </w:rPr>
                    <w:t>不合格工件</w:t>
                  </w:r>
                </w:p>
              </w:tc>
              <w:tc>
                <w:tcPr>
                  <w:tcW w:w="3586" w:type="dxa"/>
                  <w:vMerge w:val="continue"/>
                  <w:tcBorders>
                    <w:tl2br w:val="nil"/>
                    <w:tr2bl w:val="nil"/>
                  </w:tcBorders>
                  <w:vAlign w:val="center"/>
                </w:tcPr>
                <w:p w14:paraId="17718665">
                  <w:pPr>
                    <w:spacing w:line="240" w:lineRule="auto"/>
                    <w:ind w:firstLine="0" w:firstLineChars="0"/>
                    <w:jc w:val="center"/>
                    <w:rPr>
                      <w:sz w:val="21"/>
                      <w:szCs w:val="21"/>
                      <w:highlight w:val="none"/>
                    </w:rPr>
                  </w:pPr>
                </w:p>
              </w:tc>
              <w:tc>
                <w:tcPr>
                  <w:tcW w:w="547" w:type="dxa"/>
                  <w:tcBorders>
                    <w:tl2br w:val="nil"/>
                    <w:tr2bl w:val="nil"/>
                  </w:tcBorders>
                  <w:vAlign w:val="center"/>
                </w:tcPr>
                <w:p w14:paraId="448B8994">
                  <w:pPr>
                    <w:spacing w:line="240" w:lineRule="auto"/>
                    <w:ind w:firstLine="0" w:firstLineChars="0"/>
                    <w:jc w:val="center"/>
                    <w:rPr>
                      <w:sz w:val="21"/>
                      <w:szCs w:val="21"/>
                      <w:highlight w:val="none"/>
                    </w:rPr>
                  </w:pPr>
                  <w:r>
                    <w:rPr>
                      <w:rFonts w:hint="eastAsia"/>
                      <w:sz w:val="21"/>
                      <w:szCs w:val="21"/>
                      <w:highlight w:val="none"/>
                    </w:rPr>
                    <w:t>间断</w:t>
                  </w:r>
                </w:p>
              </w:tc>
            </w:tr>
            <w:tr w14:paraId="5739F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344238B1">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6F211032">
                  <w:pPr>
                    <w:spacing w:line="240" w:lineRule="auto"/>
                    <w:ind w:firstLine="0" w:firstLineChars="0"/>
                    <w:jc w:val="center"/>
                    <w:rPr>
                      <w:sz w:val="21"/>
                      <w:szCs w:val="21"/>
                    </w:rPr>
                  </w:pPr>
                </w:p>
              </w:tc>
              <w:tc>
                <w:tcPr>
                  <w:tcW w:w="1377" w:type="dxa"/>
                  <w:gridSpan w:val="2"/>
                  <w:tcBorders>
                    <w:tl2br w:val="nil"/>
                    <w:tr2bl w:val="nil"/>
                  </w:tcBorders>
                  <w:tcMar>
                    <w:left w:w="28" w:type="dxa"/>
                    <w:right w:w="28" w:type="dxa"/>
                  </w:tcMar>
                  <w:vAlign w:val="center"/>
                </w:tcPr>
                <w:p w14:paraId="7A05B815">
                  <w:pPr>
                    <w:spacing w:line="240" w:lineRule="auto"/>
                    <w:ind w:firstLine="0" w:firstLineChars="0"/>
                    <w:jc w:val="center"/>
                    <w:rPr>
                      <w:sz w:val="21"/>
                      <w:szCs w:val="21"/>
                    </w:rPr>
                  </w:pPr>
                  <w:r>
                    <w:rPr>
                      <w:rFonts w:hint="eastAsia"/>
                      <w:sz w:val="21"/>
                      <w:szCs w:val="21"/>
                    </w:rPr>
                    <w:t>抛丸清理</w:t>
                  </w:r>
                </w:p>
              </w:tc>
              <w:tc>
                <w:tcPr>
                  <w:tcW w:w="1650" w:type="dxa"/>
                  <w:tcBorders>
                    <w:tl2br w:val="nil"/>
                    <w:tr2bl w:val="nil"/>
                  </w:tcBorders>
                  <w:tcMar>
                    <w:left w:w="28" w:type="dxa"/>
                    <w:right w:w="28" w:type="dxa"/>
                  </w:tcMar>
                  <w:vAlign w:val="center"/>
                </w:tcPr>
                <w:p w14:paraId="371CD7F9">
                  <w:pPr>
                    <w:widowControl/>
                    <w:spacing w:line="240" w:lineRule="auto"/>
                    <w:ind w:firstLine="0" w:firstLineChars="0"/>
                    <w:jc w:val="center"/>
                    <w:rPr>
                      <w:sz w:val="21"/>
                      <w:szCs w:val="21"/>
                    </w:rPr>
                  </w:pPr>
                  <w:r>
                    <w:rPr>
                      <w:rFonts w:hint="eastAsia"/>
                      <w:sz w:val="21"/>
                      <w:szCs w:val="21"/>
                    </w:rPr>
                    <w:t>废金属沉淀物</w:t>
                  </w:r>
                </w:p>
              </w:tc>
              <w:tc>
                <w:tcPr>
                  <w:tcW w:w="3586" w:type="dxa"/>
                  <w:vMerge w:val="continue"/>
                  <w:tcBorders>
                    <w:tl2br w:val="nil"/>
                    <w:tr2bl w:val="nil"/>
                  </w:tcBorders>
                  <w:vAlign w:val="center"/>
                </w:tcPr>
                <w:p w14:paraId="5826D91C">
                  <w:pPr>
                    <w:spacing w:line="240" w:lineRule="auto"/>
                    <w:ind w:firstLine="0" w:firstLineChars="0"/>
                    <w:jc w:val="center"/>
                    <w:rPr>
                      <w:sz w:val="21"/>
                      <w:szCs w:val="21"/>
                    </w:rPr>
                  </w:pPr>
                </w:p>
              </w:tc>
              <w:tc>
                <w:tcPr>
                  <w:tcW w:w="547" w:type="dxa"/>
                  <w:tcBorders>
                    <w:tl2br w:val="nil"/>
                    <w:tr2bl w:val="nil"/>
                  </w:tcBorders>
                  <w:vAlign w:val="center"/>
                </w:tcPr>
                <w:p w14:paraId="04DA429A">
                  <w:pPr>
                    <w:spacing w:line="240" w:lineRule="auto"/>
                    <w:ind w:firstLine="0" w:firstLineChars="0"/>
                    <w:jc w:val="center"/>
                    <w:rPr>
                      <w:sz w:val="21"/>
                      <w:szCs w:val="21"/>
                    </w:rPr>
                  </w:pPr>
                  <w:r>
                    <w:rPr>
                      <w:sz w:val="21"/>
                      <w:szCs w:val="21"/>
                    </w:rPr>
                    <w:t>间断</w:t>
                  </w:r>
                </w:p>
              </w:tc>
            </w:tr>
            <w:tr w14:paraId="2AF1B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1C31393">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3BEC5579">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2456DBF7">
                  <w:pPr>
                    <w:spacing w:line="240" w:lineRule="auto"/>
                    <w:ind w:firstLine="0" w:firstLineChars="0"/>
                    <w:jc w:val="center"/>
                    <w:rPr>
                      <w:sz w:val="21"/>
                      <w:szCs w:val="21"/>
                    </w:rPr>
                  </w:pPr>
                  <w:r>
                    <w:rPr>
                      <w:rFonts w:hint="eastAsia"/>
                      <w:sz w:val="21"/>
                      <w:szCs w:val="21"/>
                    </w:rPr>
                    <w:t>热后车磨</w:t>
                  </w:r>
                </w:p>
              </w:tc>
              <w:tc>
                <w:tcPr>
                  <w:tcW w:w="1650" w:type="dxa"/>
                  <w:tcBorders>
                    <w:tl2br w:val="nil"/>
                    <w:tr2bl w:val="nil"/>
                  </w:tcBorders>
                  <w:tcMar>
                    <w:left w:w="28" w:type="dxa"/>
                    <w:right w:w="28" w:type="dxa"/>
                  </w:tcMar>
                  <w:vAlign w:val="center"/>
                </w:tcPr>
                <w:p w14:paraId="32DF1439">
                  <w:pPr>
                    <w:widowControl/>
                    <w:spacing w:line="240" w:lineRule="auto"/>
                    <w:ind w:firstLine="0" w:firstLineChars="0"/>
                    <w:jc w:val="center"/>
                    <w:rPr>
                      <w:sz w:val="21"/>
                      <w:szCs w:val="21"/>
                    </w:rPr>
                  </w:pPr>
                  <w:r>
                    <w:rPr>
                      <w:rFonts w:hint="eastAsia"/>
                      <w:sz w:val="21"/>
                      <w:szCs w:val="21"/>
                    </w:rPr>
                    <w:t>不合格工件</w:t>
                  </w:r>
                </w:p>
              </w:tc>
              <w:tc>
                <w:tcPr>
                  <w:tcW w:w="3586" w:type="dxa"/>
                  <w:vMerge w:val="continue"/>
                  <w:tcBorders>
                    <w:tl2br w:val="nil"/>
                    <w:tr2bl w:val="nil"/>
                  </w:tcBorders>
                  <w:vAlign w:val="center"/>
                </w:tcPr>
                <w:p w14:paraId="47EC53F3">
                  <w:pPr>
                    <w:spacing w:line="240" w:lineRule="auto"/>
                    <w:ind w:firstLine="0" w:firstLineChars="0"/>
                    <w:jc w:val="center"/>
                    <w:rPr>
                      <w:sz w:val="21"/>
                      <w:szCs w:val="21"/>
                    </w:rPr>
                  </w:pPr>
                </w:p>
              </w:tc>
              <w:tc>
                <w:tcPr>
                  <w:tcW w:w="547" w:type="dxa"/>
                  <w:tcBorders>
                    <w:tl2br w:val="nil"/>
                    <w:tr2bl w:val="nil"/>
                  </w:tcBorders>
                  <w:vAlign w:val="center"/>
                </w:tcPr>
                <w:p w14:paraId="3B8D137E">
                  <w:pPr>
                    <w:spacing w:line="240" w:lineRule="auto"/>
                    <w:ind w:firstLine="0" w:firstLineChars="0"/>
                    <w:jc w:val="center"/>
                    <w:rPr>
                      <w:sz w:val="21"/>
                      <w:szCs w:val="21"/>
                    </w:rPr>
                  </w:pPr>
                  <w:r>
                    <w:rPr>
                      <w:rFonts w:hint="eastAsia"/>
                      <w:sz w:val="21"/>
                      <w:szCs w:val="21"/>
                    </w:rPr>
                    <w:t>间断</w:t>
                  </w:r>
                </w:p>
              </w:tc>
            </w:tr>
            <w:tr w14:paraId="4344E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32EDAC5">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046F5E48">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2CBDB8F3">
                  <w:pPr>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719D559A">
                  <w:pPr>
                    <w:widowControl/>
                    <w:spacing w:line="240" w:lineRule="auto"/>
                    <w:ind w:firstLine="0" w:firstLineChars="0"/>
                    <w:jc w:val="center"/>
                    <w:rPr>
                      <w:sz w:val="21"/>
                      <w:szCs w:val="21"/>
                    </w:rPr>
                  </w:pPr>
                  <w:r>
                    <w:rPr>
                      <w:rFonts w:hint="eastAsia"/>
                      <w:sz w:val="21"/>
                      <w:szCs w:val="21"/>
                    </w:rPr>
                    <w:t>废铁屑</w:t>
                  </w:r>
                </w:p>
              </w:tc>
              <w:tc>
                <w:tcPr>
                  <w:tcW w:w="3586" w:type="dxa"/>
                  <w:vMerge w:val="continue"/>
                  <w:tcBorders>
                    <w:tl2br w:val="nil"/>
                    <w:tr2bl w:val="nil"/>
                  </w:tcBorders>
                  <w:vAlign w:val="center"/>
                </w:tcPr>
                <w:p w14:paraId="27AC1DE0">
                  <w:pPr>
                    <w:spacing w:line="240" w:lineRule="auto"/>
                    <w:ind w:firstLine="0" w:firstLineChars="0"/>
                    <w:jc w:val="center"/>
                    <w:rPr>
                      <w:sz w:val="21"/>
                      <w:szCs w:val="21"/>
                    </w:rPr>
                  </w:pPr>
                </w:p>
              </w:tc>
              <w:tc>
                <w:tcPr>
                  <w:tcW w:w="547" w:type="dxa"/>
                  <w:tcBorders>
                    <w:tl2br w:val="nil"/>
                    <w:tr2bl w:val="nil"/>
                  </w:tcBorders>
                  <w:vAlign w:val="center"/>
                </w:tcPr>
                <w:p w14:paraId="16829B1B">
                  <w:pPr>
                    <w:spacing w:line="240" w:lineRule="auto"/>
                    <w:ind w:firstLine="0" w:firstLineChars="0"/>
                    <w:jc w:val="center"/>
                    <w:rPr>
                      <w:sz w:val="21"/>
                      <w:szCs w:val="21"/>
                    </w:rPr>
                  </w:pPr>
                  <w:r>
                    <w:rPr>
                      <w:rFonts w:hint="eastAsia"/>
                      <w:sz w:val="21"/>
                      <w:szCs w:val="21"/>
                    </w:rPr>
                    <w:t>间断</w:t>
                  </w:r>
                </w:p>
              </w:tc>
            </w:tr>
            <w:tr w14:paraId="67830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03D9CC1">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6D1B5070">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7E216B74">
                  <w:pPr>
                    <w:spacing w:line="240" w:lineRule="auto"/>
                    <w:ind w:firstLine="0" w:firstLineChars="0"/>
                    <w:jc w:val="center"/>
                    <w:rPr>
                      <w:sz w:val="21"/>
                      <w:szCs w:val="21"/>
                    </w:rPr>
                  </w:pPr>
                  <w:r>
                    <w:rPr>
                      <w:rFonts w:hint="eastAsia"/>
                      <w:sz w:val="21"/>
                      <w:szCs w:val="21"/>
                    </w:rPr>
                    <w:t>组装</w:t>
                  </w:r>
                </w:p>
              </w:tc>
              <w:tc>
                <w:tcPr>
                  <w:tcW w:w="1650" w:type="dxa"/>
                  <w:tcBorders>
                    <w:tl2br w:val="nil"/>
                    <w:tr2bl w:val="nil"/>
                  </w:tcBorders>
                  <w:tcMar>
                    <w:left w:w="28" w:type="dxa"/>
                    <w:right w:w="28" w:type="dxa"/>
                  </w:tcMar>
                  <w:vAlign w:val="center"/>
                </w:tcPr>
                <w:p w14:paraId="6CBCB29F">
                  <w:pPr>
                    <w:widowControl/>
                    <w:spacing w:line="240" w:lineRule="auto"/>
                    <w:ind w:firstLine="0" w:firstLineChars="0"/>
                    <w:jc w:val="center"/>
                    <w:rPr>
                      <w:sz w:val="21"/>
                      <w:szCs w:val="21"/>
                    </w:rPr>
                  </w:pPr>
                  <w:r>
                    <w:rPr>
                      <w:rFonts w:hint="eastAsia"/>
                      <w:sz w:val="21"/>
                      <w:szCs w:val="21"/>
                    </w:rPr>
                    <w:t>不合格工件</w:t>
                  </w:r>
                </w:p>
              </w:tc>
              <w:tc>
                <w:tcPr>
                  <w:tcW w:w="3586" w:type="dxa"/>
                  <w:vMerge w:val="continue"/>
                  <w:tcBorders>
                    <w:tl2br w:val="nil"/>
                    <w:tr2bl w:val="nil"/>
                  </w:tcBorders>
                  <w:vAlign w:val="center"/>
                </w:tcPr>
                <w:p w14:paraId="7C8C6E56">
                  <w:pPr>
                    <w:spacing w:line="240" w:lineRule="auto"/>
                    <w:ind w:firstLine="0" w:firstLineChars="0"/>
                    <w:jc w:val="center"/>
                    <w:rPr>
                      <w:sz w:val="21"/>
                      <w:szCs w:val="21"/>
                    </w:rPr>
                  </w:pPr>
                </w:p>
              </w:tc>
              <w:tc>
                <w:tcPr>
                  <w:tcW w:w="547" w:type="dxa"/>
                  <w:tcBorders>
                    <w:tl2br w:val="nil"/>
                    <w:tr2bl w:val="nil"/>
                  </w:tcBorders>
                  <w:vAlign w:val="center"/>
                </w:tcPr>
                <w:p w14:paraId="5772FB30">
                  <w:pPr>
                    <w:spacing w:line="240" w:lineRule="auto"/>
                    <w:ind w:firstLine="0" w:firstLineChars="0"/>
                    <w:jc w:val="center"/>
                    <w:rPr>
                      <w:sz w:val="21"/>
                      <w:szCs w:val="21"/>
                    </w:rPr>
                  </w:pPr>
                  <w:r>
                    <w:rPr>
                      <w:rFonts w:hint="eastAsia"/>
                      <w:sz w:val="21"/>
                      <w:szCs w:val="21"/>
                    </w:rPr>
                    <w:t>间断</w:t>
                  </w:r>
                </w:p>
              </w:tc>
            </w:tr>
            <w:tr w14:paraId="3C025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0392B9B1">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5B8A96A8">
                  <w:pPr>
                    <w:spacing w:line="240" w:lineRule="auto"/>
                    <w:ind w:firstLine="0" w:firstLineChars="0"/>
                    <w:jc w:val="center"/>
                    <w:rPr>
                      <w:sz w:val="21"/>
                      <w:szCs w:val="21"/>
                      <w:highlight w:val="none"/>
                    </w:rPr>
                  </w:pPr>
                </w:p>
              </w:tc>
              <w:tc>
                <w:tcPr>
                  <w:tcW w:w="1377" w:type="dxa"/>
                  <w:gridSpan w:val="2"/>
                  <w:vMerge w:val="continue"/>
                  <w:tcBorders>
                    <w:tl2br w:val="nil"/>
                    <w:tr2bl w:val="nil"/>
                  </w:tcBorders>
                  <w:tcMar>
                    <w:left w:w="28" w:type="dxa"/>
                    <w:right w:w="28" w:type="dxa"/>
                  </w:tcMar>
                  <w:vAlign w:val="center"/>
                </w:tcPr>
                <w:p w14:paraId="5F2A7E47">
                  <w:pPr>
                    <w:spacing w:line="240" w:lineRule="auto"/>
                    <w:ind w:firstLine="0" w:firstLineChars="0"/>
                    <w:jc w:val="center"/>
                    <w:rPr>
                      <w:sz w:val="21"/>
                      <w:szCs w:val="21"/>
                      <w:highlight w:val="none"/>
                    </w:rPr>
                  </w:pPr>
                </w:p>
              </w:tc>
              <w:tc>
                <w:tcPr>
                  <w:tcW w:w="1650" w:type="dxa"/>
                  <w:tcBorders>
                    <w:tl2br w:val="nil"/>
                    <w:tr2bl w:val="nil"/>
                  </w:tcBorders>
                  <w:tcMar>
                    <w:left w:w="28" w:type="dxa"/>
                    <w:right w:w="28" w:type="dxa"/>
                  </w:tcMar>
                  <w:vAlign w:val="center"/>
                </w:tcPr>
                <w:p w14:paraId="361D83E1">
                  <w:pPr>
                    <w:widowControl/>
                    <w:spacing w:line="240" w:lineRule="auto"/>
                    <w:ind w:firstLine="0" w:firstLineChars="0"/>
                    <w:jc w:val="center"/>
                    <w:rPr>
                      <w:sz w:val="21"/>
                      <w:szCs w:val="21"/>
                      <w:highlight w:val="none"/>
                    </w:rPr>
                  </w:pPr>
                  <w:r>
                    <w:rPr>
                      <w:rFonts w:hint="eastAsia"/>
                      <w:sz w:val="21"/>
                      <w:szCs w:val="21"/>
                      <w:highlight w:val="none"/>
                    </w:rPr>
                    <w:t>废包装箱</w:t>
                  </w:r>
                </w:p>
              </w:tc>
              <w:tc>
                <w:tcPr>
                  <w:tcW w:w="3586" w:type="dxa"/>
                  <w:tcBorders>
                    <w:tl2br w:val="nil"/>
                    <w:tr2bl w:val="nil"/>
                  </w:tcBorders>
                  <w:vAlign w:val="center"/>
                </w:tcPr>
                <w:p w14:paraId="34CBF4C7">
                  <w:pPr>
                    <w:spacing w:line="240" w:lineRule="auto"/>
                    <w:ind w:firstLine="0" w:firstLineChars="0"/>
                    <w:jc w:val="center"/>
                    <w:rPr>
                      <w:sz w:val="21"/>
                      <w:szCs w:val="21"/>
                      <w:highlight w:val="none"/>
                    </w:rPr>
                  </w:pPr>
                  <w:r>
                    <w:rPr>
                      <w:color w:val="000000"/>
                      <w:kern w:val="0"/>
                      <w:sz w:val="21"/>
                      <w:szCs w:val="21"/>
                      <w:highlight w:val="none"/>
                    </w:rPr>
                    <w:t>外售废旧物资收购站</w:t>
                  </w:r>
                </w:p>
              </w:tc>
              <w:tc>
                <w:tcPr>
                  <w:tcW w:w="547" w:type="dxa"/>
                  <w:tcBorders>
                    <w:tl2br w:val="nil"/>
                    <w:tr2bl w:val="nil"/>
                  </w:tcBorders>
                  <w:vAlign w:val="center"/>
                </w:tcPr>
                <w:p w14:paraId="460193F2">
                  <w:pPr>
                    <w:spacing w:line="240" w:lineRule="auto"/>
                    <w:ind w:firstLine="0" w:firstLineChars="0"/>
                    <w:jc w:val="center"/>
                    <w:rPr>
                      <w:sz w:val="21"/>
                      <w:szCs w:val="21"/>
                      <w:highlight w:val="none"/>
                    </w:rPr>
                  </w:pPr>
                  <w:r>
                    <w:rPr>
                      <w:rFonts w:hint="eastAsia"/>
                      <w:sz w:val="21"/>
                      <w:szCs w:val="21"/>
                      <w:highlight w:val="none"/>
                    </w:rPr>
                    <w:t>间断</w:t>
                  </w:r>
                </w:p>
              </w:tc>
            </w:tr>
            <w:tr w14:paraId="027A7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5370D095">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AAFE664">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7DD07ECC">
                  <w:pPr>
                    <w:widowControl/>
                    <w:spacing w:line="240" w:lineRule="auto"/>
                    <w:ind w:firstLine="0" w:firstLineChars="0"/>
                    <w:jc w:val="center"/>
                    <w:rPr>
                      <w:sz w:val="21"/>
                      <w:szCs w:val="21"/>
                    </w:rPr>
                  </w:pPr>
                  <w:r>
                    <w:rPr>
                      <w:rFonts w:hint="eastAsia"/>
                      <w:color w:val="000000"/>
                      <w:kern w:val="0"/>
                      <w:sz w:val="21"/>
                      <w:szCs w:val="21"/>
                    </w:rPr>
                    <w:t>脉冲布袋除尘器（抛丸）</w:t>
                  </w:r>
                </w:p>
              </w:tc>
              <w:tc>
                <w:tcPr>
                  <w:tcW w:w="1650" w:type="dxa"/>
                  <w:tcBorders>
                    <w:tl2br w:val="nil"/>
                    <w:tr2bl w:val="nil"/>
                  </w:tcBorders>
                  <w:tcMar>
                    <w:left w:w="28" w:type="dxa"/>
                    <w:right w:w="28" w:type="dxa"/>
                  </w:tcMar>
                  <w:vAlign w:val="center"/>
                </w:tcPr>
                <w:p w14:paraId="5D41D0E2">
                  <w:pPr>
                    <w:widowControl/>
                    <w:spacing w:line="240" w:lineRule="auto"/>
                    <w:ind w:firstLine="0" w:firstLineChars="0"/>
                    <w:jc w:val="center"/>
                    <w:rPr>
                      <w:color w:val="000000"/>
                      <w:kern w:val="0"/>
                      <w:sz w:val="21"/>
                      <w:szCs w:val="21"/>
                    </w:rPr>
                  </w:pPr>
                  <w:r>
                    <w:rPr>
                      <w:color w:val="000000"/>
                      <w:kern w:val="0"/>
                      <w:sz w:val="21"/>
                      <w:szCs w:val="21"/>
                    </w:rPr>
                    <w:t>除尘灰</w:t>
                  </w:r>
                </w:p>
              </w:tc>
              <w:tc>
                <w:tcPr>
                  <w:tcW w:w="3586" w:type="dxa"/>
                  <w:tcBorders>
                    <w:tl2br w:val="nil"/>
                    <w:tr2bl w:val="nil"/>
                  </w:tcBorders>
                  <w:vAlign w:val="center"/>
                </w:tcPr>
                <w:p w14:paraId="6A6CED94">
                  <w:pPr>
                    <w:spacing w:line="240" w:lineRule="auto"/>
                    <w:ind w:firstLine="0" w:firstLineChars="0"/>
                    <w:jc w:val="center"/>
                    <w:rPr>
                      <w:sz w:val="21"/>
                      <w:szCs w:val="21"/>
                    </w:rPr>
                  </w:pPr>
                  <w:r>
                    <w:rPr>
                      <w:sz w:val="21"/>
                      <w:szCs w:val="21"/>
                    </w:rPr>
                    <w:t>外售钢铁企业作为生产原料</w:t>
                  </w:r>
                </w:p>
              </w:tc>
              <w:tc>
                <w:tcPr>
                  <w:tcW w:w="547" w:type="dxa"/>
                  <w:tcBorders>
                    <w:tl2br w:val="nil"/>
                    <w:tr2bl w:val="nil"/>
                  </w:tcBorders>
                  <w:vAlign w:val="center"/>
                </w:tcPr>
                <w:p w14:paraId="35667F67">
                  <w:pPr>
                    <w:spacing w:line="240" w:lineRule="auto"/>
                    <w:ind w:firstLine="0" w:firstLineChars="0"/>
                    <w:jc w:val="center"/>
                    <w:rPr>
                      <w:sz w:val="21"/>
                      <w:szCs w:val="21"/>
                    </w:rPr>
                  </w:pPr>
                  <w:r>
                    <w:rPr>
                      <w:rFonts w:hint="eastAsia"/>
                      <w:sz w:val="21"/>
                      <w:szCs w:val="21"/>
                    </w:rPr>
                    <w:t>间断</w:t>
                  </w:r>
                </w:p>
              </w:tc>
            </w:tr>
            <w:tr w14:paraId="7F84A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36733CFC">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093D0850">
                  <w:pPr>
                    <w:spacing w:line="240" w:lineRule="auto"/>
                    <w:ind w:firstLine="0" w:firstLineChars="0"/>
                    <w:jc w:val="center"/>
                    <w:rPr>
                      <w:sz w:val="21"/>
                      <w:szCs w:val="21"/>
                      <w:highlight w:val="none"/>
                    </w:rPr>
                  </w:pPr>
                </w:p>
              </w:tc>
              <w:tc>
                <w:tcPr>
                  <w:tcW w:w="1377" w:type="dxa"/>
                  <w:gridSpan w:val="2"/>
                  <w:vMerge w:val="continue"/>
                  <w:tcBorders>
                    <w:tl2br w:val="nil"/>
                    <w:tr2bl w:val="nil"/>
                  </w:tcBorders>
                  <w:tcMar>
                    <w:left w:w="28" w:type="dxa"/>
                    <w:right w:w="28" w:type="dxa"/>
                  </w:tcMar>
                  <w:vAlign w:val="center"/>
                </w:tcPr>
                <w:p w14:paraId="723BB08E">
                  <w:pPr>
                    <w:widowControl/>
                    <w:spacing w:line="240" w:lineRule="auto"/>
                    <w:ind w:firstLine="0" w:firstLineChars="0"/>
                    <w:jc w:val="center"/>
                    <w:rPr>
                      <w:sz w:val="21"/>
                      <w:szCs w:val="21"/>
                      <w:highlight w:val="none"/>
                    </w:rPr>
                  </w:pPr>
                </w:p>
              </w:tc>
              <w:tc>
                <w:tcPr>
                  <w:tcW w:w="1650" w:type="dxa"/>
                  <w:tcBorders>
                    <w:tl2br w:val="nil"/>
                    <w:tr2bl w:val="nil"/>
                  </w:tcBorders>
                  <w:tcMar>
                    <w:left w:w="28" w:type="dxa"/>
                    <w:right w:w="28" w:type="dxa"/>
                  </w:tcMar>
                  <w:vAlign w:val="center"/>
                </w:tcPr>
                <w:p w14:paraId="61EAB955">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废布袋</w:t>
                  </w:r>
                </w:p>
              </w:tc>
              <w:tc>
                <w:tcPr>
                  <w:tcW w:w="3586" w:type="dxa"/>
                  <w:tcBorders>
                    <w:tl2br w:val="nil"/>
                    <w:tr2bl w:val="nil"/>
                  </w:tcBorders>
                  <w:vAlign w:val="center"/>
                </w:tcPr>
                <w:p w14:paraId="122B102A">
                  <w:pPr>
                    <w:spacing w:line="240" w:lineRule="auto"/>
                    <w:ind w:firstLine="0" w:firstLineChars="0"/>
                    <w:jc w:val="center"/>
                    <w:rPr>
                      <w:sz w:val="21"/>
                      <w:szCs w:val="21"/>
                      <w:highlight w:val="none"/>
                    </w:rPr>
                  </w:pPr>
                  <w:r>
                    <w:rPr>
                      <w:rFonts w:hint="eastAsia"/>
                      <w:color w:val="000000"/>
                      <w:kern w:val="0"/>
                      <w:sz w:val="21"/>
                      <w:szCs w:val="21"/>
                      <w:highlight w:val="none"/>
                    </w:rPr>
                    <w:t>两年更换一次，</w:t>
                  </w:r>
                  <w:r>
                    <w:rPr>
                      <w:color w:val="000000"/>
                      <w:kern w:val="0"/>
                      <w:sz w:val="21"/>
                      <w:szCs w:val="21"/>
                      <w:highlight w:val="none"/>
                    </w:rPr>
                    <w:t>外售废旧物资收购站</w:t>
                  </w:r>
                </w:p>
              </w:tc>
              <w:tc>
                <w:tcPr>
                  <w:tcW w:w="547" w:type="dxa"/>
                  <w:tcBorders>
                    <w:tl2br w:val="nil"/>
                    <w:tr2bl w:val="nil"/>
                  </w:tcBorders>
                  <w:vAlign w:val="center"/>
                </w:tcPr>
                <w:p w14:paraId="22E5281D">
                  <w:pPr>
                    <w:spacing w:line="240" w:lineRule="auto"/>
                    <w:ind w:firstLine="0" w:firstLineChars="0"/>
                    <w:jc w:val="center"/>
                    <w:rPr>
                      <w:sz w:val="21"/>
                      <w:szCs w:val="21"/>
                      <w:highlight w:val="none"/>
                    </w:rPr>
                  </w:pPr>
                  <w:r>
                    <w:rPr>
                      <w:sz w:val="21"/>
                      <w:szCs w:val="21"/>
                      <w:highlight w:val="none"/>
                    </w:rPr>
                    <w:t>间断</w:t>
                  </w:r>
                </w:p>
              </w:tc>
            </w:tr>
            <w:tr w14:paraId="03CB1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7D0EF684">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68F1792F">
                  <w:pPr>
                    <w:spacing w:line="240" w:lineRule="auto"/>
                    <w:ind w:firstLine="0" w:firstLineChars="0"/>
                    <w:jc w:val="center"/>
                    <w:rPr>
                      <w:sz w:val="21"/>
                      <w:szCs w:val="21"/>
                      <w:highlight w:val="none"/>
                    </w:rPr>
                  </w:pPr>
                </w:p>
              </w:tc>
              <w:tc>
                <w:tcPr>
                  <w:tcW w:w="1377" w:type="dxa"/>
                  <w:gridSpan w:val="2"/>
                  <w:tcBorders>
                    <w:tl2br w:val="nil"/>
                    <w:tr2bl w:val="nil"/>
                  </w:tcBorders>
                  <w:tcMar>
                    <w:left w:w="28" w:type="dxa"/>
                    <w:right w:w="28" w:type="dxa"/>
                  </w:tcMar>
                  <w:vAlign w:val="center"/>
                </w:tcPr>
                <w:p w14:paraId="607F3E64">
                  <w:pPr>
                    <w:widowControl/>
                    <w:spacing w:line="240" w:lineRule="auto"/>
                    <w:ind w:firstLine="0" w:firstLineChars="0"/>
                    <w:jc w:val="center"/>
                    <w:rPr>
                      <w:sz w:val="21"/>
                      <w:szCs w:val="21"/>
                      <w:highlight w:val="none"/>
                    </w:rPr>
                  </w:pPr>
                  <w:r>
                    <w:rPr>
                      <w:rFonts w:hint="eastAsia"/>
                      <w:sz w:val="21"/>
                      <w:szCs w:val="21"/>
                      <w:highlight w:val="none"/>
                    </w:rPr>
                    <w:t>软化水装置</w:t>
                  </w:r>
                </w:p>
              </w:tc>
              <w:tc>
                <w:tcPr>
                  <w:tcW w:w="1650" w:type="dxa"/>
                  <w:tcBorders>
                    <w:tl2br w:val="nil"/>
                    <w:tr2bl w:val="nil"/>
                  </w:tcBorders>
                  <w:tcMar>
                    <w:left w:w="28" w:type="dxa"/>
                    <w:right w:w="28" w:type="dxa"/>
                  </w:tcMar>
                  <w:vAlign w:val="center"/>
                </w:tcPr>
                <w:p w14:paraId="1354FEFC">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废树脂</w:t>
                  </w:r>
                </w:p>
              </w:tc>
              <w:tc>
                <w:tcPr>
                  <w:tcW w:w="3586" w:type="dxa"/>
                  <w:tcBorders>
                    <w:tl2br w:val="nil"/>
                    <w:tr2bl w:val="nil"/>
                  </w:tcBorders>
                  <w:vAlign w:val="center"/>
                </w:tcPr>
                <w:p w14:paraId="194FB914">
                  <w:pPr>
                    <w:spacing w:line="240" w:lineRule="auto"/>
                    <w:ind w:firstLine="0" w:firstLineChars="0"/>
                    <w:jc w:val="center"/>
                    <w:rPr>
                      <w:color w:val="000000"/>
                      <w:kern w:val="0"/>
                      <w:sz w:val="21"/>
                      <w:szCs w:val="21"/>
                      <w:highlight w:val="none"/>
                    </w:rPr>
                  </w:pPr>
                  <w:r>
                    <w:rPr>
                      <w:rFonts w:hint="eastAsia"/>
                      <w:sz w:val="21"/>
                      <w:szCs w:val="21"/>
                      <w:highlight w:val="none"/>
                    </w:rPr>
                    <w:t>一般固废，外售回收单位</w:t>
                  </w:r>
                </w:p>
              </w:tc>
              <w:tc>
                <w:tcPr>
                  <w:tcW w:w="547" w:type="dxa"/>
                  <w:tcBorders>
                    <w:tl2br w:val="nil"/>
                    <w:tr2bl w:val="nil"/>
                  </w:tcBorders>
                  <w:vAlign w:val="center"/>
                </w:tcPr>
                <w:p w14:paraId="452F2388">
                  <w:pPr>
                    <w:spacing w:line="240" w:lineRule="auto"/>
                    <w:ind w:firstLine="0" w:firstLineChars="0"/>
                    <w:jc w:val="center"/>
                    <w:rPr>
                      <w:sz w:val="21"/>
                      <w:szCs w:val="21"/>
                      <w:highlight w:val="none"/>
                    </w:rPr>
                  </w:pPr>
                </w:p>
              </w:tc>
            </w:tr>
            <w:tr w14:paraId="539C0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5E8D7710">
                  <w:pPr>
                    <w:spacing w:line="240" w:lineRule="auto"/>
                    <w:ind w:firstLine="0" w:firstLineChars="0"/>
                    <w:jc w:val="center"/>
                    <w:rPr>
                      <w:sz w:val="21"/>
                      <w:szCs w:val="21"/>
                    </w:rPr>
                  </w:pPr>
                </w:p>
              </w:tc>
              <w:tc>
                <w:tcPr>
                  <w:tcW w:w="612" w:type="dxa"/>
                  <w:vMerge w:val="restart"/>
                  <w:tcBorders>
                    <w:tl2br w:val="nil"/>
                    <w:tr2bl w:val="nil"/>
                  </w:tcBorders>
                  <w:tcMar>
                    <w:left w:w="28" w:type="dxa"/>
                    <w:right w:w="28" w:type="dxa"/>
                  </w:tcMar>
                  <w:vAlign w:val="center"/>
                </w:tcPr>
                <w:p w14:paraId="28306B55">
                  <w:pPr>
                    <w:spacing w:line="240" w:lineRule="auto"/>
                    <w:ind w:firstLine="0" w:firstLineChars="0"/>
                    <w:jc w:val="center"/>
                    <w:rPr>
                      <w:sz w:val="21"/>
                      <w:szCs w:val="21"/>
                    </w:rPr>
                  </w:pPr>
                  <w:r>
                    <w:rPr>
                      <w:sz w:val="21"/>
                      <w:szCs w:val="21"/>
                    </w:rPr>
                    <w:t>危险废物</w:t>
                  </w:r>
                </w:p>
              </w:tc>
              <w:tc>
                <w:tcPr>
                  <w:tcW w:w="1377" w:type="dxa"/>
                  <w:gridSpan w:val="2"/>
                  <w:vMerge w:val="restart"/>
                  <w:tcBorders>
                    <w:tl2br w:val="nil"/>
                    <w:tr2bl w:val="nil"/>
                  </w:tcBorders>
                  <w:tcMar>
                    <w:left w:w="28" w:type="dxa"/>
                    <w:right w:w="28" w:type="dxa"/>
                  </w:tcMar>
                  <w:vAlign w:val="center"/>
                </w:tcPr>
                <w:p w14:paraId="765CEC37">
                  <w:pPr>
                    <w:spacing w:line="240" w:lineRule="auto"/>
                    <w:ind w:firstLine="0" w:firstLineChars="0"/>
                    <w:jc w:val="center"/>
                    <w:rPr>
                      <w:sz w:val="21"/>
                      <w:szCs w:val="21"/>
                    </w:rPr>
                  </w:pPr>
                  <w:r>
                    <w:rPr>
                      <w:rFonts w:hint="eastAsia"/>
                      <w:sz w:val="21"/>
                      <w:szCs w:val="21"/>
                    </w:rPr>
                    <w:t>热前加工</w:t>
                  </w:r>
                </w:p>
              </w:tc>
              <w:tc>
                <w:tcPr>
                  <w:tcW w:w="1650" w:type="dxa"/>
                  <w:tcBorders>
                    <w:tl2br w:val="nil"/>
                    <w:tr2bl w:val="nil"/>
                  </w:tcBorders>
                  <w:tcMar>
                    <w:left w:w="28" w:type="dxa"/>
                    <w:right w:w="28" w:type="dxa"/>
                  </w:tcMar>
                  <w:vAlign w:val="center"/>
                </w:tcPr>
                <w:p w14:paraId="7554E896">
                  <w:pPr>
                    <w:widowControl/>
                    <w:spacing w:line="240" w:lineRule="auto"/>
                    <w:ind w:firstLine="0" w:firstLineChars="0"/>
                    <w:jc w:val="center"/>
                    <w:rPr>
                      <w:color w:val="000000"/>
                      <w:kern w:val="0"/>
                      <w:sz w:val="21"/>
                      <w:szCs w:val="21"/>
                    </w:rPr>
                  </w:pPr>
                  <w:r>
                    <w:rPr>
                      <w:rFonts w:hint="eastAsia"/>
                      <w:color w:val="000000"/>
                      <w:kern w:val="0"/>
                      <w:sz w:val="21"/>
                      <w:szCs w:val="21"/>
                    </w:rPr>
                    <w:t>废切削液</w:t>
                  </w:r>
                </w:p>
              </w:tc>
              <w:tc>
                <w:tcPr>
                  <w:tcW w:w="3586" w:type="dxa"/>
                  <w:vMerge w:val="restart"/>
                  <w:tcBorders>
                    <w:tl2br w:val="nil"/>
                    <w:tr2bl w:val="nil"/>
                  </w:tcBorders>
                  <w:vAlign w:val="center"/>
                </w:tcPr>
                <w:p w14:paraId="5982C41C">
                  <w:pPr>
                    <w:spacing w:line="240" w:lineRule="auto"/>
                    <w:ind w:firstLine="0" w:firstLineChars="0"/>
                    <w:jc w:val="center"/>
                    <w:rPr>
                      <w:color w:val="000000"/>
                      <w:kern w:val="0"/>
                      <w:sz w:val="21"/>
                      <w:szCs w:val="21"/>
                    </w:rPr>
                  </w:pPr>
                  <w:r>
                    <w:rPr>
                      <w:color w:val="000000"/>
                      <w:kern w:val="0"/>
                      <w:sz w:val="21"/>
                      <w:szCs w:val="21"/>
                    </w:rPr>
                    <w:t>暂存于危废暂存间，定期送有资质的危险废物处置单位处置</w:t>
                  </w:r>
                </w:p>
              </w:tc>
              <w:tc>
                <w:tcPr>
                  <w:tcW w:w="547" w:type="dxa"/>
                  <w:tcBorders>
                    <w:tl2br w:val="nil"/>
                    <w:tr2bl w:val="nil"/>
                  </w:tcBorders>
                  <w:vAlign w:val="center"/>
                </w:tcPr>
                <w:p w14:paraId="030CFC7D">
                  <w:pPr>
                    <w:spacing w:line="240" w:lineRule="auto"/>
                    <w:ind w:firstLine="0" w:firstLineChars="0"/>
                    <w:jc w:val="center"/>
                    <w:rPr>
                      <w:sz w:val="21"/>
                      <w:szCs w:val="21"/>
                    </w:rPr>
                  </w:pPr>
                  <w:r>
                    <w:rPr>
                      <w:rFonts w:hint="eastAsia"/>
                      <w:sz w:val="21"/>
                      <w:szCs w:val="21"/>
                    </w:rPr>
                    <w:t>间断</w:t>
                  </w:r>
                </w:p>
              </w:tc>
            </w:tr>
            <w:tr w14:paraId="3FB0A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01A93EBA">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52FE275">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0B36FCAF">
                  <w:pPr>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51304618">
                  <w:pPr>
                    <w:widowControl/>
                    <w:spacing w:line="240" w:lineRule="auto"/>
                    <w:ind w:firstLine="0" w:firstLineChars="0"/>
                    <w:jc w:val="center"/>
                    <w:rPr>
                      <w:color w:val="000000"/>
                      <w:kern w:val="0"/>
                      <w:sz w:val="21"/>
                      <w:szCs w:val="21"/>
                    </w:rPr>
                  </w:pPr>
                  <w:r>
                    <w:rPr>
                      <w:rFonts w:hint="eastAsia"/>
                      <w:color w:val="000000"/>
                      <w:kern w:val="0"/>
                      <w:sz w:val="21"/>
                      <w:szCs w:val="21"/>
                    </w:rPr>
                    <w:t>废液压油</w:t>
                  </w:r>
                </w:p>
              </w:tc>
              <w:tc>
                <w:tcPr>
                  <w:tcW w:w="3586" w:type="dxa"/>
                  <w:vMerge w:val="continue"/>
                  <w:tcBorders>
                    <w:tl2br w:val="nil"/>
                    <w:tr2bl w:val="nil"/>
                  </w:tcBorders>
                  <w:vAlign w:val="center"/>
                </w:tcPr>
                <w:p w14:paraId="7BFC468A">
                  <w:pPr>
                    <w:spacing w:line="240" w:lineRule="auto"/>
                    <w:ind w:firstLine="0" w:firstLineChars="0"/>
                    <w:jc w:val="center"/>
                    <w:rPr>
                      <w:color w:val="000000"/>
                      <w:kern w:val="0"/>
                      <w:sz w:val="21"/>
                      <w:szCs w:val="21"/>
                    </w:rPr>
                  </w:pPr>
                </w:p>
              </w:tc>
              <w:tc>
                <w:tcPr>
                  <w:tcW w:w="547" w:type="dxa"/>
                  <w:tcBorders>
                    <w:tl2br w:val="nil"/>
                    <w:tr2bl w:val="nil"/>
                  </w:tcBorders>
                  <w:vAlign w:val="center"/>
                </w:tcPr>
                <w:p w14:paraId="27F0FF5C">
                  <w:pPr>
                    <w:spacing w:line="240" w:lineRule="auto"/>
                    <w:ind w:firstLine="0" w:firstLineChars="0"/>
                    <w:jc w:val="center"/>
                    <w:rPr>
                      <w:sz w:val="21"/>
                      <w:szCs w:val="21"/>
                    </w:rPr>
                  </w:pPr>
                  <w:r>
                    <w:rPr>
                      <w:sz w:val="21"/>
                      <w:szCs w:val="21"/>
                    </w:rPr>
                    <w:t>间断</w:t>
                  </w:r>
                </w:p>
              </w:tc>
            </w:tr>
            <w:tr w14:paraId="2B197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12667BD4">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13BC44C8">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33F9F16F">
                  <w:pPr>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04D3B676">
                  <w:pPr>
                    <w:widowControl/>
                    <w:spacing w:line="240" w:lineRule="auto"/>
                    <w:ind w:firstLine="0" w:firstLineChars="0"/>
                    <w:jc w:val="center"/>
                    <w:rPr>
                      <w:color w:val="000000"/>
                      <w:kern w:val="0"/>
                      <w:sz w:val="21"/>
                      <w:szCs w:val="21"/>
                    </w:rPr>
                  </w:pPr>
                  <w:r>
                    <w:rPr>
                      <w:rFonts w:hint="eastAsia"/>
                      <w:color w:val="000000"/>
                      <w:kern w:val="0"/>
                      <w:sz w:val="21"/>
                      <w:szCs w:val="21"/>
                    </w:rPr>
                    <w:t>含油铁屑</w:t>
                  </w:r>
                </w:p>
              </w:tc>
              <w:tc>
                <w:tcPr>
                  <w:tcW w:w="3586" w:type="dxa"/>
                  <w:tcBorders>
                    <w:tl2br w:val="nil"/>
                    <w:tr2bl w:val="nil"/>
                  </w:tcBorders>
                  <w:vAlign w:val="center"/>
                </w:tcPr>
                <w:p w14:paraId="22D1BA99">
                  <w:pPr>
                    <w:spacing w:line="240" w:lineRule="auto"/>
                    <w:ind w:firstLine="0" w:firstLineChars="0"/>
                    <w:jc w:val="center"/>
                    <w:rPr>
                      <w:color w:val="000000"/>
                      <w:kern w:val="0"/>
                      <w:sz w:val="21"/>
                      <w:szCs w:val="21"/>
                    </w:rPr>
                  </w:pPr>
                  <w:r>
                    <w:rPr>
                      <w:kern w:val="0"/>
                      <w:sz w:val="21"/>
                      <w:szCs w:val="21"/>
                    </w:rPr>
                    <w:t>经甩干机甩干达到静置无滴漏后打包压块暂存于危废暂存间，定期外售钢铁企业作为冶炼原料，甩干过程产生的废液与废油</w:t>
                  </w:r>
                  <w:r>
                    <w:rPr>
                      <w:color w:val="000000"/>
                      <w:kern w:val="0"/>
                      <w:sz w:val="21"/>
                      <w:szCs w:val="21"/>
                    </w:rPr>
                    <w:t>暂存于危废暂存间，定期送有资质的危险废物处置单位处置</w:t>
                  </w:r>
                </w:p>
              </w:tc>
              <w:tc>
                <w:tcPr>
                  <w:tcW w:w="547" w:type="dxa"/>
                  <w:tcBorders>
                    <w:tl2br w:val="nil"/>
                    <w:tr2bl w:val="nil"/>
                  </w:tcBorders>
                  <w:vAlign w:val="center"/>
                </w:tcPr>
                <w:p w14:paraId="59BFFAA4">
                  <w:pPr>
                    <w:spacing w:line="240" w:lineRule="auto"/>
                    <w:ind w:firstLine="0" w:firstLineChars="0"/>
                    <w:jc w:val="center"/>
                    <w:rPr>
                      <w:sz w:val="21"/>
                      <w:szCs w:val="21"/>
                    </w:rPr>
                  </w:pPr>
                  <w:r>
                    <w:rPr>
                      <w:sz w:val="21"/>
                      <w:szCs w:val="21"/>
                    </w:rPr>
                    <w:t>间断</w:t>
                  </w:r>
                </w:p>
              </w:tc>
            </w:tr>
            <w:tr w14:paraId="359F6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100406B5">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0B34D31">
                  <w:pPr>
                    <w:spacing w:line="240" w:lineRule="auto"/>
                    <w:ind w:firstLine="0" w:firstLineChars="0"/>
                    <w:jc w:val="center"/>
                    <w:rPr>
                      <w:sz w:val="21"/>
                      <w:szCs w:val="21"/>
                      <w:highlight w:val="none"/>
                    </w:rPr>
                  </w:pPr>
                </w:p>
              </w:tc>
              <w:tc>
                <w:tcPr>
                  <w:tcW w:w="1377" w:type="dxa"/>
                  <w:gridSpan w:val="2"/>
                  <w:vMerge w:val="continue"/>
                  <w:tcBorders>
                    <w:tl2br w:val="nil"/>
                    <w:tr2bl w:val="nil"/>
                  </w:tcBorders>
                  <w:tcMar>
                    <w:left w:w="28" w:type="dxa"/>
                    <w:right w:w="28" w:type="dxa"/>
                  </w:tcMar>
                  <w:vAlign w:val="center"/>
                </w:tcPr>
                <w:p w14:paraId="0BB90FF3">
                  <w:pPr>
                    <w:spacing w:line="240" w:lineRule="auto"/>
                    <w:ind w:firstLine="0" w:firstLineChars="0"/>
                    <w:jc w:val="center"/>
                    <w:rPr>
                      <w:sz w:val="21"/>
                      <w:szCs w:val="21"/>
                      <w:highlight w:val="none"/>
                    </w:rPr>
                  </w:pPr>
                </w:p>
              </w:tc>
              <w:tc>
                <w:tcPr>
                  <w:tcW w:w="1650" w:type="dxa"/>
                  <w:tcBorders>
                    <w:tl2br w:val="nil"/>
                    <w:tr2bl w:val="nil"/>
                  </w:tcBorders>
                  <w:tcMar>
                    <w:left w:w="28" w:type="dxa"/>
                    <w:right w:w="28" w:type="dxa"/>
                  </w:tcMar>
                  <w:vAlign w:val="center"/>
                </w:tcPr>
                <w:p w14:paraId="706B74C5">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废油桶</w:t>
                  </w:r>
                </w:p>
              </w:tc>
              <w:tc>
                <w:tcPr>
                  <w:tcW w:w="3586" w:type="dxa"/>
                  <w:tcBorders>
                    <w:tl2br w:val="nil"/>
                    <w:tr2bl w:val="nil"/>
                  </w:tcBorders>
                  <w:vAlign w:val="center"/>
                </w:tcPr>
                <w:p w14:paraId="00944249">
                  <w:pPr>
                    <w:spacing w:line="240" w:lineRule="auto"/>
                    <w:ind w:firstLine="0" w:firstLineChars="0"/>
                    <w:jc w:val="center"/>
                    <w:rPr>
                      <w:kern w:val="0"/>
                      <w:sz w:val="21"/>
                      <w:szCs w:val="21"/>
                      <w:highlight w:val="none"/>
                    </w:rPr>
                  </w:pPr>
                  <w:r>
                    <w:rPr>
                      <w:rFonts w:hint="eastAsia"/>
                      <w:sz w:val="21"/>
                      <w:highlight w:val="none"/>
                    </w:rPr>
                    <w:t>封口处于打开状态、静置无滴漏且经打包压块后用于金属冶炼</w:t>
                  </w:r>
                </w:p>
              </w:tc>
              <w:tc>
                <w:tcPr>
                  <w:tcW w:w="547" w:type="dxa"/>
                  <w:tcBorders>
                    <w:tl2br w:val="nil"/>
                    <w:tr2bl w:val="nil"/>
                  </w:tcBorders>
                  <w:vAlign w:val="center"/>
                </w:tcPr>
                <w:p w14:paraId="0EBFA7D9">
                  <w:pPr>
                    <w:spacing w:line="240" w:lineRule="auto"/>
                    <w:ind w:firstLine="0" w:firstLineChars="0"/>
                    <w:jc w:val="center"/>
                    <w:rPr>
                      <w:sz w:val="21"/>
                      <w:szCs w:val="21"/>
                      <w:highlight w:val="none"/>
                    </w:rPr>
                  </w:pPr>
                  <w:r>
                    <w:rPr>
                      <w:sz w:val="21"/>
                      <w:szCs w:val="21"/>
                      <w:highlight w:val="none"/>
                    </w:rPr>
                    <w:t>间断</w:t>
                  </w:r>
                </w:p>
              </w:tc>
            </w:tr>
            <w:tr w14:paraId="6FDC2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7CE3658A">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9B3246E">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3B056D29">
                  <w:pPr>
                    <w:widowControl/>
                    <w:spacing w:line="240" w:lineRule="auto"/>
                    <w:ind w:firstLine="0" w:firstLineChars="0"/>
                    <w:jc w:val="center"/>
                    <w:rPr>
                      <w:color w:val="000000"/>
                      <w:kern w:val="0"/>
                      <w:sz w:val="21"/>
                      <w:szCs w:val="21"/>
                    </w:rPr>
                  </w:pPr>
                  <w:r>
                    <w:rPr>
                      <w:rFonts w:hint="eastAsia"/>
                      <w:color w:val="000000"/>
                      <w:kern w:val="0"/>
                      <w:sz w:val="21"/>
                      <w:szCs w:val="21"/>
                    </w:rPr>
                    <w:t>热处理</w:t>
                  </w:r>
                </w:p>
              </w:tc>
              <w:tc>
                <w:tcPr>
                  <w:tcW w:w="1650" w:type="dxa"/>
                  <w:tcBorders>
                    <w:tl2br w:val="nil"/>
                    <w:tr2bl w:val="nil"/>
                  </w:tcBorders>
                  <w:tcMar>
                    <w:left w:w="28" w:type="dxa"/>
                    <w:right w:w="28" w:type="dxa"/>
                  </w:tcMar>
                  <w:vAlign w:val="center"/>
                </w:tcPr>
                <w:p w14:paraId="0B999365">
                  <w:pPr>
                    <w:widowControl/>
                    <w:spacing w:line="240" w:lineRule="auto"/>
                    <w:ind w:firstLine="0" w:firstLineChars="0"/>
                    <w:jc w:val="center"/>
                    <w:rPr>
                      <w:sz w:val="21"/>
                      <w:szCs w:val="21"/>
                    </w:rPr>
                  </w:pPr>
                  <w:r>
                    <w:rPr>
                      <w:rFonts w:hint="eastAsia"/>
                      <w:sz w:val="21"/>
                      <w:szCs w:val="21"/>
                    </w:rPr>
                    <w:t>油污</w:t>
                  </w:r>
                </w:p>
              </w:tc>
              <w:tc>
                <w:tcPr>
                  <w:tcW w:w="3586" w:type="dxa"/>
                  <w:vMerge w:val="restart"/>
                  <w:tcBorders>
                    <w:tl2br w:val="nil"/>
                    <w:tr2bl w:val="nil"/>
                  </w:tcBorders>
                  <w:vAlign w:val="center"/>
                </w:tcPr>
                <w:p w14:paraId="5DF10509">
                  <w:pPr>
                    <w:widowControl/>
                    <w:spacing w:line="240" w:lineRule="auto"/>
                    <w:ind w:firstLine="0" w:firstLineChars="0"/>
                    <w:jc w:val="center"/>
                    <w:rPr>
                      <w:kern w:val="0"/>
                      <w:sz w:val="21"/>
                      <w:szCs w:val="21"/>
                    </w:rPr>
                  </w:pPr>
                  <w:r>
                    <w:rPr>
                      <w:color w:val="000000"/>
                      <w:kern w:val="0"/>
                      <w:sz w:val="21"/>
                      <w:szCs w:val="21"/>
                    </w:rPr>
                    <w:t>暂存于危废暂存间，定期送有资质的危险废物处置单位处置</w:t>
                  </w:r>
                </w:p>
              </w:tc>
              <w:tc>
                <w:tcPr>
                  <w:tcW w:w="547" w:type="dxa"/>
                  <w:tcBorders>
                    <w:tl2br w:val="nil"/>
                    <w:tr2bl w:val="nil"/>
                  </w:tcBorders>
                  <w:vAlign w:val="center"/>
                </w:tcPr>
                <w:p w14:paraId="5F198633">
                  <w:pPr>
                    <w:spacing w:line="240" w:lineRule="auto"/>
                    <w:ind w:firstLine="0" w:firstLineChars="0"/>
                    <w:jc w:val="center"/>
                    <w:rPr>
                      <w:sz w:val="21"/>
                      <w:szCs w:val="21"/>
                    </w:rPr>
                  </w:pPr>
                  <w:r>
                    <w:rPr>
                      <w:rFonts w:hint="eastAsia"/>
                      <w:sz w:val="21"/>
                      <w:szCs w:val="21"/>
                    </w:rPr>
                    <w:t>间断</w:t>
                  </w:r>
                </w:p>
              </w:tc>
            </w:tr>
            <w:tr w14:paraId="0699D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010D1588">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7AF08479">
                  <w:pPr>
                    <w:spacing w:line="240" w:lineRule="auto"/>
                    <w:ind w:firstLine="0" w:firstLineChars="0"/>
                    <w:jc w:val="center"/>
                    <w:rPr>
                      <w:sz w:val="21"/>
                      <w:szCs w:val="21"/>
                      <w:highlight w:val="none"/>
                    </w:rPr>
                  </w:pPr>
                </w:p>
              </w:tc>
              <w:tc>
                <w:tcPr>
                  <w:tcW w:w="1377" w:type="dxa"/>
                  <w:gridSpan w:val="2"/>
                  <w:vMerge w:val="continue"/>
                  <w:tcBorders>
                    <w:tl2br w:val="nil"/>
                    <w:tr2bl w:val="nil"/>
                  </w:tcBorders>
                  <w:tcMar>
                    <w:left w:w="28" w:type="dxa"/>
                    <w:right w:w="28" w:type="dxa"/>
                  </w:tcMar>
                  <w:vAlign w:val="center"/>
                </w:tcPr>
                <w:p w14:paraId="437E78BB">
                  <w:pPr>
                    <w:widowControl/>
                    <w:spacing w:line="240" w:lineRule="auto"/>
                    <w:ind w:firstLine="0" w:firstLineChars="0"/>
                    <w:jc w:val="center"/>
                    <w:rPr>
                      <w:color w:val="000000"/>
                      <w:kern w:val="0"/>
                      <w:sz w:val="21"/>
                      <w:szCs w:val="21"/>
                      <w:highlight w:val="none"/>
                    </w:rPr>
                  </w:pPr>
                </w:p>
              </w:tc>
              <w:tc>
                <w:tcPr>
                  <w:tcW w:w="1650" w:type="dxa"/>
                  <w:tcBorders>
                    <w:tl2br w:val="nil"/>
                    <w:tr2bl w:val="nil"/>
                  </w:tcBorders>
                  <w:tcMar>
                    <w:left w:w="28" w:type="dxa"/>
                    <w:right w:w="28" w:type="dxa"/>
                  </w:tcMar>
                  <w:vAlign w:val="center"/>
                </w:tcPr>
                <w:p w14:paraId="148BF873">
                  <w:pPr>
                    <w:widowControl/>
                    <w:spacing w:line="240" w:lineRule="auto"/>
                    <w:ind w:firstLine="0" w:firstLineChars="0"/>
                    <w:jc w:val="center"/>
                    <w:rPr>
                      <w:rFonts w:hint="eastAsia" w:eastAsia="宋体"/>
                      <w:sz w:val="21"/>
                      <w:szCs w:val="21"/>
                      <w:highlight w:val="none"/>
                      <w:lang w:eastAsia="zh-CN"/>
                    </w:rPr>
                  </w:pPr>
                  <w:r>
                    <w:rPr>
                      <w:rFonts w:hint="eastAsia"/>
                      <w:sz w:val="21"/>
                      <w:szCs w:val="21"/>
                      <w:highlight w:val="none"/>
                    </w:rPr>
                    <w:t>废</w:t>
                  </w:r>
                  <w:r>
                    <w:rPr>
                      <w:rFonts w:hint="eastAsia"/>
                      <w:sz w:val="21"/>
                      <w:szCs w:val="21"/>
                      <w:highlight w:val="none"/>
                      <w:lang w:eastAsia="zh-CN"/>
                    </w:rPr>
                    <w:t>淬火油</w:t>
                  </w:r>
                </w:p>
              </w:tc>
              <w:tc>
                <w:tcPr>
                  <w:tcW w:w="3586" w:type="dxa"/>
                  <w:vMerge w:val="continue"/>
                  <w:tcBorders>
                    <w:tl2br w:val="nil"/>
                    <w:tr2bl w:val="nil"/>
                  </w:tcBorders>
                  <w:vAlign w:val="center"/>
                </w:tcPr>
                <w:p w14:paraId="493C6DF3">
                  <w:pPr>
                    <w:widowControl/>
                    <w:spacing w:line="240" w:lineRule="auto"/>
                    <w:ind w:firstLine="0" w:firstLineChars="0"/>
                    <w:jc w:val="center"/>
                    <w:rPr>
                      <w:color w:val="000000"/>
                      <w:kern w:val="0"/>
                      <w:sz w:val="21"/>
                      <w:szCs w:val="21"/>
                      <w:highlight w:val="none"/>
                    </w:rPr>
                  </w:pPr>
                </w:p>
              </w:tc>
              <w:tc>
                <w:tcPr>
                  <w:tcW w:w="547" w:type="dxa"/>
                  <w:tcBorders>
                    <w:tl2br w:val="nil"/>
                    <w:tr2bl w:val="nil"/>
                  </w:tcBorders>
                  <w:vAlign w:val="center"/>
                </w:tcPr>
                <w:p w14:paraId="0BE0F7A4">
                  <w:pPr>
                    <w:spacing w:line="240" w:lineRule="auto"/>
                    <w:ind w:firstLine="0" w:firstLineChars="0"/>
                    <w:jc w:val="center"/>
                    <w:rPr>
                      <w:sz w:val="21"/>
                      <w:szCs w:val="21"/>
                      <w:highlight w:val="none"/>
                    </w:rPr>
                  </w:pPr>
                  <w:r>
                    <w:rPr>
                      <w:rFonts w:hint="eastAsia"/>
                      <w:sz w:val="21"/>
                      <w:szCs w:val="21"/>
                      <w:highlight w:val="none"/>
                    </w:rPr>
                    <w:t>间断</w:t>
                  </w:r>
                </w:p>
              </w:tc>
            </w:tr>
            <w:tr w14:paraId="2207D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6BE9E4CF">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7E3A09D5">
                  <w:pPr>
                    <w:spacing w:line="240" w:lineRule="auto"/>
                    <w:ind w:firstLine="0" w:firstLineChars="0"/>
                    <w:jc w:val="center"/>
                    <w:rPr>
                      <w:sz w:val="21"/>
                      <w:szCs w:val="21"/>
                      <w:highlight w:val="none"/>
                    </w:rPr>
                  </w:pPr>
                </w:p>
              </w:tc>
              <w:tc>
                <w:tcPr>
                  <w:tcW w:w="1377" w:type="dxa"/>
                  <w:gridSpan w:val="2"/>
                  <w:vMerge w:val="continue"/>
                  <w:tcBorders>
                    <w:tl2br w:val="nil"/>
                    <w:tr2bl w:val="nil"/>
                  </w:tcBorders>
                  <w:tcMar>
                    <w:left w:w="28" w:type="dxa"/>
                    <w:right w:w="28" w:type="dxa"/>
                  </w:tcMar>
                  <w:vAlign w:val="center"/>
                </w:tcPr>
                <w:p w14:paraId="310832E1">
                  <w:pPr>
                    <w:widowControl/>
                    <w:spacing w:line="240" w:lineRule="auto"/>
                    <w:ind w:firstLine="0" w:firstLineChars="0"/>
                    <w:jc w:val="center"/>
                    <w:rPr>
                      <w:color w:val="000000"/>
                      <w:kern w:val="0"/>
                      <w:sz w:val="21"/>
                      <w:szCs w:val="21"/>
                      <w:highlight w:val="none"/>
                    </w:rPr>
                  </w:pPr>
                </w:p>
              </w:tc>
              <w:tc>
                <w:tcPr>
                  <w:tcW w:w="1650" w:type="dxa"/>
                  <w:tcBorders>
                    <w:tl2br w:val="nil"/>
                    <w:tr2bl w:val="nil"/>
                  </w:tcBorders>
                  <w:tcMar>
                    <w:left w:w="28" w:type="dxa"/>
                    <w:right w:w="28" w:type="dxa"/>
                  </w:tcMar>
                  <w:vAlign w:val="center"/>
                </w:tcPr>
                <w:p w14:paraId="623CBF94">
                  <w:pPr>
                    <w:widowControl/>
                    <w:spacing w:line="240" w:lineRule="auto"/>
                    <w:ind w:firstLine="0" w:firstLineChars="0"/>
                    <w:jc w:val="center"/>
                    <w:rPr>
                      <w:sz w:val="21"/>
                      <w:szCs w:val="21"/>
                      <w:highlight w:val="none"/>
                    </w:rPr>
                  </w:pPr>
                  <w:r>
                    <w:rPr>
                      <w:rFonts w:hint="eastAsia"/>
                      <w:sz w:val="21"/>
                      <w:szCs w:val="21"/>
                      <w:highlight w:val="none"/>
                    </w:rPr>
                    <w:t>含油金属沉淀物</w:t>
                  </w:r>
                </w:p>
              </w:tc>
              <w:tc>
                <w:tcPr>
                  <w:tcW w:w="3586" w:type="dxa"/>
                  <w:tcBorders>
                    <w:tl2br w:val="nil"/>
                    <w:tr2bl w:val="nil"/>
                  </w:tcBorders>
                  <w:vAlign w:val="center"/>
                </w:tcPr>
                <w:p w14:paraId="03475A83">
                  <w:pPr>
                    <w:widowControl/>
                    <w:spacing w:line="240" w:lineRule="auto"/>
                    <w:ind w:firstLine="0" w:firstLineChars="0"/>
                    <w:jc w:val="center"/>
                    <w:rPr>
                      <w:color w:val="000000"/>
                      <w:kern w:val="0"/>
                      <w:sz w:val="21"/>
                      <w:szCs w:val="21"/>
                      <w:highlight w:val="none"/>
                    </w:rPr>
                  </w:pPr>
                  <w:r>
                    <w:rPr>
                      <w:kern w:val="0"/>
                      <w:sz w:val="21"/>
                      <w:szCs w:val="21"/>
                      <w:highlight w:val="none"/>
                    </w:rPr>
                    <w:t>经甩干机甩干达到静置无滴漏后打包暂存于危废暂存间，定期外售钢铁企业作为冶炼原料，甩干过程产生的废液与废油</w:t>
                  </w:r>
                  <w:r>
                    <w:rPr>
                      <w:color w:val="000000"/>
                      <w:kern w:val="0"/>
                      <w:sz w:val="21"/>
                      <w:szCs w:val="21"/>
                      <w:highlight w:val="none"/>
                    </w:rPr>
                    <w:t>暂存于危废暂存间，定期送有资质的危险废物处置单位处置</w:t>
                  </w:r>
                </w:p>
              </w:tc>
              <w:tc>
                <w:tcPr>
                  <w:tcW w:w="547" w:type="dxa"/>
                  <w:tcBorders>
                    <w:tl2br w:val="nil"/>
                    <w:tr2bl w:val="nil"/>
                  </w:tcBorders>
                  <w:vAlign w:val="center"/>
                </w:tcPr>
                <w:p w14:paraId="20F25A68">
                  <w:pPr>
                    <w:spacing w:line="240" w:lineRule="auto"/>
                    <w:ind w:firstLine="0" w:firstLineChars="0"/>
                    <w:jc w:val="center"/>
                    <w:rPr>
                      <w:sz w:val="21"/>
                      <w:szCs w:val="21"/>
                      <w:highlight w:val="none"/>
                    </w:rPr>
                  </w:pPr>
                </w:p>
              </w:tc>
            </w:tr>
            <w:tr w14:paraId="52AFF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64B51E92">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6A5B3D4E">
                  <w:pPr>
                    <w:spacing w:line="240" w:lineRule="auto"/>
                    <w:ind w:firstLine="0" w:firstLineChars="0"/>
                    <w:jc w:val="center"/>
                    <w:rPr>
                      <w:sz w:val="21"/>
                      <w:szCs w:val="21"/>
                      <w:highlight w:val="none"/>
                    </w:rPr>
                  </w:pPr>
                </w:p>
              </w:tc>
              <w:tc>
                <w:tcPr>
                  <w:tcW w:w="1377" w:type="dxa"/>
                  <w:gridSpan w:val="2"/>
                  <w:vMerge w:val="continue"/>
                  <w:tcBorders>
                    <w:tl2br w:val="nil"/>
                    <w:tr2bl w:val="nil"/>
                  </w:tcBorders>
                  <w:tcMar>
                    <w:left w:w="28" w:type="dxa"/>
                    <w:right w:w="28" w:type="dxa"/>
                  </w:tcMar>
                  <w:vAlign w:val="center"/>
                </w:tcPr>
                <w:p w14:paraId="66563FF8">
                  <w:pPr>
                    <w:widowControl/>
                    <w:spacing w:line="240" w:lineRule="auto"/>
                    <w:ind w:firstLine="0" w:firstLineChars="0"/>
                    <w:jc w:val="center"/>
                    <w:rPr>
                      <w:color w:val="000000"/>
                      <w:kern w:val="0"/>
                      <w:sz w:val="21"/>
                      <w:szCs w:val="21"/>
                      <w:highlight w:val="none"/>
                    </w:rPr>
                  </w:pPr>
                </w:p>
              </w:tc>
              <w:tc>
                <w:tcPr>
                  <w:tcW w:w="1650" w:type="dxa"/>
                  <w:tcBorders>
                    <w:tl2br w:val="nil"/>
                    <w:tr2bl w:val="nil"/>
                  </w:tcBorders>
                  <w:tcMar>
                    <w:left w:w="28" w:type="dxa"/>
                    <w:right w:w="28" w:type="dxa"/>
                  </w:tcMar>
                  <w:vAlign w:val="center"/>
                </w:tcPr>
                <w:p w14:paraId="3FCAB311">
                  <w:pPr>
                    <w:widowControl/>
                    <w:spacing w:line="240" w:lineRule="auto"/>
                    <w:ind w:firstLine="0" w:firstLineChars="0"/>
                    <w:jc w:val="center"/>
                    <w:rPr>
                      <w:sz w:val="21"/>
                      <w:szCs w:val="21"/>
                      <w:highlight w:val="none"/>
                    </w:rPr>
                  </w:pPr>
                  <w:r>
                    <w:rPr>
                      <w:rFonts w:hint="eastAsia"/>
                      <w:sz w:val="21"/>
                      <w:szCs w:val="21"/>
                      <w:highlight w:val="none"/>
                    </w:rPr>
                    <w:t>废油桶</w:t>
                  </w:r>
                </w:p>
              </w:tc>
              <w:tc>
                <w:tcPr>
                  <w:tcW w:w="3586" w:type="dxa"/>
                  <w:vMerge w:val="restart"/>
                  <w:tcBorders>
                    <w:tl2br w:val="nil"/>
                    <w:tr2bl w:val="nil"/>
                  </w:tcBorders>
                  <w:vAlign w:val="center"/>
                </w:tcPr>
                <w:p w14:paraId="28793EFE">
                  <w:pPr>
                    <w:spacing w:line="240" w:lineRule="auto"/>
                    <w:ind w:firstLine="0" w:firstLineChars="0"/>
                    <w:jc w:val="center"/>
                    <w:rPr>
                      <w:color w:val="000000"/>
                      <w:kern w:val="0"/>
                      <w:sz w:val="21"/>
                      <w:szCs w:val="21"/>
                      <w:highlight w:val="none"/>
                    </w:rPr>
                  </w:pPr>
                  <w:r>
                    <w:rPr>
                      <w:rFonts w:hint="eastAsia"/>
                      <w:sz w:val="21"/>
                      <w:highlight w:val="none"/>
                    </w:rPr>
                    <w:t>封口处于打开状态、静置无滴漏且经打包压块后用于金属冶炼</w:t>
                  </w:r>
                </w:p>
              </w:tc>
              <w:tc>
                <w:tcPr>
                  <w:tcW w:w="547" w:type="dxa"/>
                  <w:tcBorders>
                    <w:tl2br w:val="nil"/>
                    <w:tr2bl w:val="nil"/>
                  </w:tcBorders>
                  <w:vAlign w:val="center"/>
                </w:tcPr>
                <w:p w14:paraId="598D9749">
                  <w:pPr>
                    <w:spacing w:line="240" w:lineRule="auto"/>
                    <w:ind w:firstLine="0" w:firstLineChars="0"/>
                    <w:jc w:val="center"/>
                    <w:rPr>
                      <w:sz w:val="21"/>
                      <w:szCs w:val="21"/>
                      <w:highlight w:val="none"/>
                    </w:rPr>
                  </w:pPr>
                  <w:r>
                    <w:rPr>
                      <w:rFonts w:hint="eastAsia"/>
                      <w:sz w:val="21"/>
                      <w:szCs w:val="21"/>
                      <w:highlight w:val="none"/>
                    </w:rPr>
                    <w:t>间断</w:t>
                  </w:r>
                </w:p>
              </w:tc>
            </w:tr>
            <w:tr w14:paraId="1ACAA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57107B1">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2717984F">
                  <w:pPr>
                    <w:spacing w:line="240" w:lineRule="auto"/>
                    <w:ind w:firstLine="0" w:firstLineChars="0"/>
                    <w:jc w:val="center"/>
                    <w:rPr>
                      <w:sz w:val="21"/>
                      <w:szCs w:val="21"/>
                      <w:highlight w:val="none"/>
                    </w:rPr>
                  </w:pPr>
                </w:p>
              </w:tc>
              <w:tc>
                <w:tcPr>
                  <w:tcW w:w="1377" w:type="dxa"/>
                  <w:gridSpan w:val="2"/>
                  <w:vMerge w:val="restart"/>
                  <w:tcBorders>
                    <w:tl2br w:val="nil"/>
                    <w:tr2bl w:val="nil"/>
                  </w:tcBorders>
                  <w:tcMar>
                    <w:left w:w="28" w:type="dxa"/>
                    <w:right w:w="28" w:type="dxa"/>
                  </w:tcMar>
                  <w:vAlign w:val="center"/>
                </w:tcPr>
                <w:p w14:paraId="4244D2FA">
                  <w:pPr>
                    <w:widowControl/>
                    <w:spacing w:line="240" w:lineRule="auto"/>
                    <w:ind w:firstLine="0" w:firstLineChars="0"/>
                    <w:jc w:val="center"/>
                    <w:rPr>
                      <w:color w:val="000000"/>
                      <w:kern w:val="0"/>
                      <w:sz w:val="21"/>
                      <w:szCs w:val="21"/>
                      <w:highlight w:val="none"/>
                    </w:rPr>
                  </w:pPr>
                  <w:r>
                    <w:rPr>
                      <w:rFonts w:hint="eastAsia"/>
                      <w:sz w:val="21"/>
                      <w:szCs w:val="21"/>
                      <w:highlight w:val="none"/>
                    </w:rPr>
                    <w:t>热后车磨</w:t>
                  </w:r>
                </w:p>
              </w:tc>
              <w:tc>
                <w:tcPr>
                  <w:tcW w:w="1650" w:type="dxa"/>
                  <w:tcBorders>
                    <w:tl2br w:val="nil"/>
                    <w:tr2bl w:val="nil"/>
                  </w:tcBorders>
                  <w:tcMar>
                    <w:left w:w="28" w:type="dxa"/>
                    <w:right w:w="28" w:type="dxa"/>
                  </w:tcMar>
                  <w:vAlign w:val="center"/>
                </w:tcPr>
                <w:p w14:paraId="0DF3BE34">
                  <w:pPr>
                    <w:widowControl/>
                    <w:spacing w:line="240" w:lineRule="auto"/>
                    <w:ind w:firstLine="0" w:firstLineChars="0"/>
                    <w:jc w:val="center"/>
                    <w:rPr>
                      <w:sz w:val="21"/>
                      <w:szCs w:val="21"/>
                      <w:highlight w:val="none"/>
                    </w:rPr>
                  </w:pPr>
                  <w:r>
                    <w:rPr>
                      <w:rFonts w:hint="eastAsia"/>
                      <w:color w:val="000000"/>
                      <w:kern w:val="0"/>
                      <w:sz w:val="21"/>
                      <w:szCs w:val="21"/>
                      <w:highlight w:val="none"/>
                    </w:rPr>
                    <w:t>废油桶</w:t>
                  </w:r>
                </w:p>
              </w:tc>
              <w:tc>
                <w:tcPr>
                  <w:tcW w:w="3586" w:type="dxa"/>
                  <w:vMerge w:val="continue"/>
                  <w:tcBorders>
                    <w:tl2br w:val="nil"/>
                    <w:tr2bl w:val="nil"/>
                  </w:tcBorders>
                  <w:vAlign w:val="center"/>
                </w:tcPr>
                <w:p w14:paraId="164A2F6E">
                  <w:pPr>
                    <w:spacing w:line="240" w:lineRule="auto"/>
                    <w:ind w:firstLine="0" w:firstLineChars="0"/>
                    <w:jc w:val="center"/>
                    <w:rPr>
                      <w:color w:val="000000"/>
                      <w:kern w:val="0"/>
                      <w:sz w:val="21"/>
                      <w:szCs w:val="21"/>
                      <w:highlight w:val="none"/>
                    </w:rPr>
                  </w:pPr>
                </w:p>
              </w:tc>
              <w:tc>
                <w:tcPr>
                  <w:tcW w:w="547" w:type="dxa"/>
                  <w:tcBorders>
                    <w:tl2br w:val="nil"/>
                    <w:tr2bl w:val="nil"/>
                  </w:tcBorders>
                  <w:vAlign w:val="center"/>
                </w:tcPr>
                <w:p w14:paraId="460ABFA3">
                  <w:pPr>
                    <w:spacing w:line="240" w:lineRule="auto"/>
                    <w:ind w:firstLine="0" w:firstLineChars="0"/>
                    <w:jc w:val="center"/>
                    <w:rPr>
                      <w:sz w:val="21"/>
                      <w:szCs w:val="21"/>
                      <w:highlight w:val="none"/>
                    </w:rPr>
                  </w:pPr>
                  <w:r>
                    <w:rPr>
                      <w:sz w:val="21"/>
                      <w:szCs w:val="21"/>
                      <w:highlight w:val="none"/>
                    </w:rPr>
                    <w:t>间断</w:t>
                  </w:r>
                </w:p>
              </w:tc>
            </w:tr>
            <w:tr w14:paraId="3072D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3F1B7306">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732ADD9">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2C348303">
                  <w:pPr>
                    <w:widowControl/>
                    <w:spacing w:line="240" w:lineRule="auto"/>
                    <w:ind w:firstLine="0" w:firstLineChars="0"/>
                    <w:jc w:val="center"/>
                    <w:rPr>
                      <w:sz w:val="21"/>
                      <w:szCs w:val="21"/>
                    </w:rPr>
                  </w:pPr>
                </w:p>
              </w:tc>
              <w:tc>
                <w:tcPr>
                  <w:tcW w:w="1650" w:type="dxa"/>
                  <w:tcBorders>
                    <w:tl2br w:val="nil"/>
                    <w:tr2bl w:val="nil"/>
                  </w:tcBorders>
                  <w:tcMar>
                    <w:left w:w="28" w:type="dxa"/>
                    <w:right w:w="28" w:type="dxa"/>
                  </w:tcMar>
                  <w:vAlign w:val="center"/>
                </w:tcPr>
                <w:p w14:paraId="2FE30BAA">
                  <w:pPr>
                    <w:widowControl/>
                    <w:spacing w:line="240" w:lineRule="auto"/>
                    <w:ind w:firstLine="0" w:firstLineChars="0"/>
                    <w:jc w:val="center"/>
                    <w:rPr>
                      <w:color w:val="000000"/>
                      <w:kern w:val="0"/>
                      <w:sz w:val="21"/>
                      <w:szCs w:val="21"/>
                    </w:rPr>
                  </w:pPr>
                  <w:r>
                    <w:rPr>
                      <w:rFonts w:hint="eastAsia"/>
                      <w:color w:val="000000"/>
                      <w:kern w:val="0"/>
                      <w:sz w:val="21"/>
                      <w:szCs w:val="21"/>
                    </w:rPr>
                    <w:t>含油铁屑</w:t>
                  </w:r>
                </w:p>
              </w:tc>
              <w:tc>
                <w:tcPr>
                  <w:tcW w:w="3586" w:type="dxa"/>
                  <w:tcBorders>
                    <w:tl2br w:val="nil"/>
                    <w:tr2bl w:val="nil"/>
                  </w:tcBorders>
                  <w:vAlign w:val="center"/>
                </w:tcPr>
                <w:p w14:paraId="49327F6A">
                  <w:pPr>
                    <w:spacing w:line="240" w:lineRule="auto"/>
                    <w:ind w:firstLine="0" w:firstLineChars="0"/>
                    <w:jc w:val="center"/>
                    <w:rPr>
                      <w:color w:val="000000"/>
                      <w:kern w:val="0"/>
                      <w:sz w:val="21"/>
                      <w:szCs w:val="21"/>
                    </w:rPr>
                  </w:pPr>
                  <w:r>
                    <w:rPr>
                      <w:kern w:val="0"/>
                      <w:sz w:val="21"/>
                      <w:szCs w:val="21"/>
                    </w:rPr>
                    <w:t>经甩干机甩干达到静置无滴漏后打包压块暂存于危废暂存间，定期外售钢铁企业作为冶炼原料，甩干过程产生的废液与废油</w:t>
                  </w:r>
                  <w:r>
                    <w:rPr>
                      <w:color w:val="000000"/>
                      <w:kern w:val="0"/>
                      <w:sz w:val="21"/>
                      <w:szCs w:val="21"/>
                    </w:rPr>
                    <w:t>暂存于危废暂存间，定期送有资质的危险废物处置单位处置</w:t>
                  </w:r>
                </w:p>
              </w:tc>
              <w:tc>
                <w:tcPr>
                  <w:tcW w:w="547" w:type="dxa"/>
                  <w:tcBorders>
                    <w:tl2br w:val="nil"/>
                    <w:tr2bl w:val="nil"/>
                  </w:tcBorders>
                  <w:vAlign w:val="center"/>
                </w:tcPr>
                <w:p w14:paraId="08CBB683">
                  <w:pPr>
                    <w:spacing w:line="240" w:lineRule="auto"/>
                    <w:ind w:firstLine="0" w:firstLineChars="0"/>
                    <w:jc w:val="center"/>
                    <w:rPr>
                      <w:sz w:val="21"/>
                      <w:szCs w:val="21"/>
                    </w:rPr>
                  </w:pPr>
                  <w:r>
                    <w:rPr>
                      <w:rFonts w:hint="eastAsia"/>
                      <w:sz w:val="21"/>
                      <w:szCs w:val="21"/>
                    </w:rPr>
                    <w:t>间断</w:t>
                  </w:r>
                </w:p>
              </w:tc>
            </w:tr>
            <w:tr w14:paraId="0A68B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0A920A23">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4D183BA8">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3DDDF42D">
                  <w:pPr>
                    <w:widowControl/>
                    <w:spacing w:line="240" w:lineRule="auto"/>
                    <w:ind w:firstLine="0" w:firstLineChars="0"/>
                    <w:jc w:val="center"/>
                    <w:rPr>
                      <w:color w:val="000000"/>
                      <w:kern w:val="0"/>
                      <w:sz w:val="21"/>
                      <w:szCs w:val="21"/>
                    </w:rPr>
                  </w:pPr>
                </w:p>
              </w:tc>
              <w:tc>
                <w:tcPr>
                  <w:tcW w:w="1650" w:type="dxa"/>
                  <w:tcBorders>
                    <w:tl2br w:val="nil"/>
                    <w:tr2bl w:val="nil"/>
                  </w:tcBorders>
                  <w:tcMar>
                    <w:left w:w="28" w:type="dxa"/>
                    <w:right w:w="28" w:type="dxa"/>
                  </w:tcMar>
                  <w:vAlign w:val="center"/>
                </w:tcPr>
                <w:p w14:paraId="54A11E0C">
                  <w:pPr>
                    <w:widowControl/>
                    <w:spacing w:line="240" w:lineRule="auto"/>
                    <w:ind w:firstLine="0" w:firstLineChars="0"/>
                    <w:jc w:val="center"/>
                    <w:rPr>
                      <w:sz w:val="21"/>
                      <w:szCs w:val="21"/>
                    </w:rPr>
                  </w:pPr>
                  <w:r>
                    <w:rPr>
                      <w:rFonts w:hint="eastAsia"/>
                      <w:color w:val="000000"/>
                      <w:kern w:val="0"/>
                      <w:sz w:val="21"/>
                      <w:szCs w:val="21"/>
                    </w:rPr>
                    <w:t>废切削液</w:t>
                  </w:r>
                </w:p>
              </w:tc>
              <w:tc>
                <w:tcPr>
                  <w:tcW w:w="3586" w:type="dxa"/>
                  <w:vMerge w:val="restart"/>
                  <w:tcBorders>
                    <w:tl2br w:val="nil"/>
                    <w:tr2bl w:val="nil"/>
                  </w:tcBorders>
                  <w:vAlign w:val="center"/>
                </w:tcPr>
                <w:p w14:paraId="41B9738C">
                  <w:pPr>
                    <w:widowControl/>
                    <w:spacing w:line="240" w:lineRule="auto"/>
                    <w:ind w:firstLine="0" w:firstLineChars="0"/>
                    <w:jc w:val="center"/>
                    <w:rPr>
                      <w:sz w:val="21"/>
                      <w:szCs w:val="21"/>
                    </w:rPr>
                  </w:pPr>
                  <w:r>
                    <w:rPr>
                      <w:color w:val="000000"/>
                      <w:kern w:val="0"/>
                      <w:sz w:val="21"/>
                      <w:szCs w:val="21"/>
                    </w:rPr>
                    <w:t>暂存于危废暂存间，定期送有资质的危险废物处置单位处置</w:t>
                  </w:r>
                </w:p>
              </w:tc>
              <w:tc>
                <w:tcPr>
                  <w:tcW w:w="547" w:type="dxa"/>
                  <w:tcBorders>
                    <w:tl2br w:val="nil"/>
                    <w:tr2bl w:val="nil"/>
                  </w:tcBorders>
                  <w:vAlign w:val="center"/>
                </w:tcPr>
                <w:p w14:paraId="3291E332">
                  <w:pPr>
                    <w:spacing w:line="240" w:lineRule="auto"/>
                    <w:ind w:firstLine="0" w:firstLineChars="0"/>
                    <w:jc w:val="center"/>
                    <w:rPr>
                      <w:sz w:val="21"/>
                      <w:szCs w:val="21"/>
                    </w:rPr>
                  </w:pPr>
                  <w:r>
                    <w:rPr>
                      <w:sz w:val="21"/>
                      <w:szCs w:val="21"/>
                    </w:rPr>
                    <w:t>间断</w:t>
                  </w:r>
                </w:p>
              </w:tc>
            </w:tr>
            <w:tr w14:paraId="61181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58F0484C">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28E275B8">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3F7F3188">
                  <w:pPr>
                    <w:widowControl/>
                    <w:spacing w:line="240" w:lineRule="auto"/>
                    <w:ind w:firstLine="0" w:firstLineChars="0"/>
                    <w:jc w:val="center"/>
                    <w:rPr>
                      <w:sz w:val="21"/>
                      <w:szCs w:val="21"/>
                    </w:rPr>
                  </w:pPr>
                  <w:r>
                    <w:rPr>
                      <w:color w:val="000000"/>
                      <w:kern w:val="0"/>
                      <w:sz w:val="21"/>
                      <w:szCs w:val="21"/>
                    </w:rPr>
                    <w:t>设备运行与维护</w:t>
                  </w:r>
                </w:p>
              </w:tc>
              <w:tc>
                <w:tcPr>
                  <w:tcW w:w="1650" w:type="dxa"/>
                  <w:tcBorders>
                    <w:tl2br w:val="nil"/>
                    <w:tr2bl w:val="nil"/>
                  </w:tcBorders>
                  <w:tcMar>
                    <w:left w:w="28" w:type="dxa"/>
                    <w:right w:w="28" w:type="dxa"/>
                  </w:tcMar>
                  <w:vAlign w:val="center"/>
                </w:tcPr>
                <w:p w14:paraId="23A9D2CB">
                  <w:pPr>
                    <w:widowControl/>
                    <w:spacing w:line="240" w:lineRule="auto"/>
                    <w:ind w:firstLine="0" w:firstLineChars="0"/>
                    <w:jc w:val="center"/>
                    <w:rPr>
                      <w:sz w:val="21"/>
                      <w:szCs w:val="21"/>
                    </w:rPr>
                  </w:pPr>
                  <w:r>
                    <w:rPr>
                      <w:sz w:val="21"/>
                      <w:szCs w:val="21"/>
                    </w:rPr>
                    <w:t>废润滑油</w:t>
                  </w:r>
                </w:p>
              </w:tc>
              <w:tc>
                <w:tcPr>
                  <w:tcW w:w="3586" w:type="dxa"/>
                  <w:vMerge w:val="continue"/>
                  <w:tcBorders>
                    <w:tl2br w:val="nil"/>
                    <w:tr2bl w:val="nil"/>
                  </w:tcBorders>
                  <w:vAlign w:val="center"/>
                </w:tcPr>
                <w:p w14:paraId="34E41954">
                  <w:pPr>
                    <w:widowControl/>
                    <w:spacing w:line="240" w:lineRule="auto"/>
                    <w:ind w:firstLine="0" w:firstLineChars="0"/>
                    <w:jc w:val="center"/>
                    <w:rPr>
                      <w:sz w:val="21"/>
                      <w:szCs w:val="21"/>
                    </w:rPr>
                  </w:pPr>
                </w:p>
              </w:tc>
              <w:tc>
                <w:tcPr>
                  <w:tcW w:w="547" w:type="dxa"/>
                  <w:tcBorders>
                    <w:tl2br w:val="nil"/>
                    <w:tr2bl w:val="nil"/>
                  </w:tcBorders>
                  <w:vAlign w:val="center"/>
                </w:tcPr>
                <w:p w14:paraId="18CBE9AE">
                  <w:pPr>
                    <w:spacing w:line="240" w:lineRule="auto"/>
                    <w:ind w:firstLine="0" w:firstLineChars="0"/>
                    <w:jc w:val="center"/>
                    <w:rPr>
                      <w:sz w:val="21"/>
                      <w:szCs w:val="21"/>
                    </w:rPr>
                  </w:pPr>
                  <w:r>
                    <w:rPr>
                      <w:sz w:val="21"/>
                      <w:szCs w:val="21"/>
                    </w:rPr>
                    <w:t>间断</w:t>
                  </w:r>
                </w:p>
              </w:tc>
            </w:tr>
            <w:tr w14:paraId="318EE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8CAAE90">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24452F89">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53E4559C">
                  <w:pPr>
                    <w:widowControl/>
                    <w:spacing w:line="240" w:lineRule="auto"/>
                    <w:ind w:firstLine="0" w:firstLineChars="0"/>
                    <w:jc w:val="center"/>
                    <w:rPr>
                      <w:color w:val="000000"/>
                      <w:kern w:val="0"/>
                      <w:sz w:val="21"/>
                      <w:szCs w:val="21"/>
                      <w:highlight w:val="none"/>
                    </w:rPr>
                  </w:pPr>
                </w:p>
              </w:tc>
              <w:tc>
                <w:tcPr>
                  <w:tcW w:w="1650" w:type="dxa"/>
                  <w:tcBorders>
                    <w:tl2br w:val="nil"/>
                    <w:tr2bl w:val="nil"/>
                  </w:tcBorders>
                  <w:tcMar>
                    <w:left w:w="28" w:type="dxa"/>
                    <w:right w:w="28" w:type="dxa"/>
                  </w:tcMar>
                  <w:vAlign w:val="center"/>
                </w:tcPr>
                <w:p w14:paraId="3ECC470C">
                  <w:pPr>
                    <w:widowControl/>
                    <w:spacing w:line="240" w:lineRule="auto"/>
                    <w:ind w:firstLine="0" w:firstLineChars="0"/>
                    <w:jc w:val="center"/>
                    <w:rPr>
                      <w:sz w:val="21"/>
                      <w:szCs w:val="21"/>
                      <w:highlight w:val="none"/>
                    </w:rPr>
                  </w:pPr>
                  <w:r>
                    <w:rPr>
                      <w:rFonts w:hint="eastAsia"/>
                      <w:sz w:val="21"/>
                      <w:szCs w:val="21"/>
                      <w:highlight w:val="none"/>
                    </w:rPr>
                    <w:t>废油桶</w:t>
                  </w:r>
                </w:p>
              </w:tc>
              <w:tc>
                <w:tcPr>
                  <w:tcW w:w="3586" w:type="dxa"/>
                  <w:tcBorders>
                    <w:tl2br w:val="nil"/>
                    <w:tr2bl w:val="nil"/>
                  </w:tcBorders>
                  <w:vAlign w:val="center"/>
                </w:tcPr>
                <w:p w14:paraId="3DB7472F">
                  <w:pPr>
                    <w:widowControl/>
                    <w:spacing w:line="240" w:lineRule="auto"/>
                    <w:ind w:firstLine="0" w:firstLineChars="0"/>
                    <w:jc w:val="center"/>
                    <w:rPr>
                      <w:sz w:val="21"/>
                      <w:szCs w:val="21"/>
                      <w:highlight w:val="none"/>
                    </w:rPr>
                  </w:pPr>
                  <w:r>
                    <w:rPr>
                      <w:rFonts w:hint="eastAsia"/>
                      <w:sz w:val="21"/>
                      <w:highlight w:val="none"/>
                    </w:rPr>
                    <w:t>封口处于打开状态、静置无滴漏且经打包压块后用于金属冶炼</w:t>
                  </w:r>
                </w:p>
              </w:tc>
              <w:tc>
                <w:tcPr>
                  <w:tcW w:w="547" w:type="dxa"/>
                  <w:tcBorders>
                    <w:tl2br w:val="nil"/>
                    <w:tr2bl w:val="nil"/>
                  </w:tcBorders>
                  <w:vAlign w:val="center"/>
                </w:tcPr>
                <w:p w14:paraId="11430E1D">
                  <w:pPr>
                    <w:spacing w:line="240" w:lineRule="auto"/>
                    <w:ind w:firstLine="0" w:firstLineChars="0"/>
                    <w:jc w:val="center"/>
                    <w:rPr>
                      <w:sz w:val="21"/>
                      <w:szCs w:val="21"/>
                    </w:rPr>
                  </w:pPr>
                  <w:r>
                    <w:rPr>
                      <w:sz w:val="21"/>
                      <w:szCs w:val="21"/>
                    </w:rPr>
                    <w:t>间断</w:t>
                  </w:r>
                </w:p>
              </w:tc>
            </w:tr>
            <w:tr w14:paraId="0F95B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35EF5F74">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7C9AA6FB">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137DA0C3">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静电式油烟净化器+活性炭吸附装置</w:t>
                  </w:r>
                </w:p>
                <w:p w14:paraId="69DFB7C2">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（淬火/回火）</w:t>
                  </w:r>
                </w:p>
              </w:tc>
              <w:tc>
                <w:tcPr>
                  <w:tcW w:w="1650" w:type="dxa"/>
                  <w:tcBorders>
                    <w:tl2br w:val="nil"/>
                    <w:tr2bl w:val="nil"/>
                  </w:tcBorders>
                  <w:tcMar>
                    <w:left w:w="28" w:type="dxa"/>
                    <w:right w:w="28" w:type="dxa"/>
                  </w:tcMar>
                  <w:vAlign w:val="center"/>
                </w:tcPr>
                <w:p w14:paraId="1A307DA2">
                  <w:pPr>
                    <w:widowControl/>
                    <w:spacing w:line="240" w:lineRule="auto"/>
                    <w:ind w:firstLine="0" w:firstLineChars="0"/>
                    <w:jc w:val="center"/>
                    <w:rPr>
                      <w:sz w:val="21"/>
                      <w:szCs w:val="21"/>
                      <w:highlight w:val="none"/>
                    </w:rPr>
                  </w:pPr>
                  <w:r>
                    <w:rPr>
                      <w:rFonts w:hint="eastAsia"/>
                      <w:sz w:val="21"/>
                      <w:szCs w:val="21"/>
                      <w:highlight w:val="none"/>
                      <w:lang w:val="en-US" w:eastAsia="zh-CN"/>
                    </w:rPr>
                    <w:t>废活性炭</w:t>
                  </w:r>
                </w:p>
              </w:tc>
              <w:tc>
                <w:tcPr>
                  <w:tcW w:w="3586" w:type="dxa"/>
                  <w:vMerge w:val="restart"/>
                  <w:tcBorders>
                    <w:tl2br w:val="nil"/>
                    <w:tr2bl w:val="nil"/>
                  </w:tcBorders>
                  <w:vAlign w:val="center"/>
                </w:tcPr>
                <w:p w14:paraId="4A301AD3">
                  <w:pPr>
                    <w:widowControl/>
                    <w:spacing w:line="240" w:lineRule="auto"/>
                    <w:ind w:firstLine="0" w:firstLineChars="0"/>
                    <w:jc w:val="center"/>
                    <w:rPr>
                      <w:color w:val="000000"/>
                      <w:kern w:val="0"/>
                      <w:sz w:val="21"/>
                      <w:szCs w:val="21"/>
                      <w:highlight w:val="none"/>
                    </w:rPr>
                  </w:pPr>
                  <w:r>
                    <w:rPr>
                      <w:color w:val="000000"/>
                      <w:kern w:val="0"/>
                      <w:sz w:val="21"/>
                      <w:szCs w:val="21"/>
                      <w:highlight w:val="none"/>
                    </w:rPr>
                    <w:t>暂存于危废暂存间，定期送有资质的危险废物处置单位处置</w:t>
                  </w:r>
                </w:p>
              </w:tc>
              <w:tc>
                <w:tcPr>
                  <w:tcW w:w="547" w:type="dxa"/>
                  <w:tcBorders>
                    <w:tl2br w:val="nil"/>
                    <w:tr2bl w:val="nil"/>
                  </w:tcBorders>
                  <w:vAlign w:val="center"/>
                </w:tcPr>
                <w:p w14:paraId="5E902F89">
                  <w:pPr>
                    <w:spacing w:line="240" w:lineRule="auto"/>
                    <w:ind w:firstLine="0" w:firstLineChars="0"/>
                    <w:jc w:val="center"/>
                    <w:rPr>
                      <w:sz w:val="21"/>
                      <w:szCs w:val="21"/>
                    </w:rPr>
                  </w:pPr>
                  <w:r>
                    <w:rPr>
                      <w:sz w:val="21"/>
                      <w:szCs w:val="21"/>
                    </w:rPr>
                    <w:t>间断</w:t>
                  </w:r>
                </w:p>
              </w:tc>
            </w:tr>
            <w:tr w14:paraId="2E8F4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40DF693B">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6C207DE7">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4A8470A8">
                  <w:pPr>
                    <w:widowControl/>
                    <w:spacing w:line="240" w:lineRule="auto"/>
                    <w:ind w:firstLine="0" w:firstLineChars="0"/>
                    <w:jc w:val="center"/>
                    <w:rPr>
                      <w:color w:val="000000"/>
                      <w:kern w:val="0"/>
                      <w:sz w:val="21"/>
                      <w:szCs w:val="21"/>
                      <w:highlight w:val="none"/>
                    </w:rPr>
                  </w:pPr>
                </w:p>
              </w:tc>
              <w:tc>
                <w:tcPr>
                  <w:tcW w:w="1650" w:type="dxa"/>
                  <w:tcBorders>
                    <w:tl2br w:val="nil"/>
                    <w:tr2bl w:val="nil"/>
                  </w:tcBorders>
                  <w:tcMar>
                    <w:left w:w="28" w:type="dxa"/>
                    <w:right w:w="28" w:type="dxa"/>
                  </w:tcMar>
                  <w:vAlign w:val="center"/>
                </w:tcPr>
                <w:p w14:paraId="74004785">
                  <w:pPr>
                    <w:widowControl/>
                    <w:spacing w:line="240" w:lineRule="auto"/>
                    <w:ind w:firstLine="0" w:firstLineChars="0"/>
                    <w:jc w:val="center"/>
                    <w:rPr>
                      <w:rFonts w:hint="eastAsia" w:eastAsia="宋体"/>
                      <w:sz w:val="21"/>
                      <w:szCs w:val="21"/>
                      <w:highlight w:val="none"/>
                      <w:lang w:eastAsia="zh-CN"/>
                    </w:rPr>
                  </w:pPr>
                  <w:r>
                    <w:rPr>
                      <w:rFonts w:hint="eastAsia"/>
                      <w:sz w:val="21"/>
                      <w:szCs w:val="21"/>
                      <w:highlight w:val="none"/>
                    </w:rPr>
                    <w:t>废</w:t>
                  </w:r>
                  <w:r>
                    <w:rPr>
                      <w:rFonts w:hint="eastAsia"/>
                      <w:sz w:val="21"/>
                      <w:szCs w:val="21"/>
                      <w:highlight w:val="none"/>
                      <w:lang w:eastAsia="zh-CN"/>
                    </w:rPr>
                    <w:t>淬火油</w:t>
                  </w:r>
                </w:p>
              </w:tc>
              <w:tc>
                <w:tcPr>
                  <w:tcW w:w="3586" w:type="dxa"/>
                  <w:vMerge w:val="continue"/>
                  <w:tcBorders>
                    <w:tl2br w:val="nil"/>
                    <w:tr2bl w:val="nil"/>
                  </w:tcBorders>
                  <w:vAlign w:val="center"/>
                </w:tcPr>
                <w:p w14:paraId="2F95E20A">
                  <w:pPr>
                    <w:widowControl/>
                    <w:spacing w:line="240" w:lineRule="auto"/>
                    <w:ind w:firstLine="0" w:firstLineChars="0"/>
                    <w:jc w:val="center"/>
                    <w:rPr>
                      <w:color w:val="000000"/>
                      <w:kern w:val="0"/>
                      <w:sz w:val="21"/>
                      <w:szCs w:val="21"/>
                      <w:highlight w:val="none"/>
                    </w:rPr>
                  </w:pPr>
                </w:p>
              </w:tc>
              <w:tc>
                <w:tcPr>
                  <w:tcW w:w="547" w:type="dxa"/>
                  <w:tcBorders>
                    <w:tl2br w:val="nil"/>
                    <w:tr2bl w:val="nil"/>
                  </w:tcBorders>
                  <w:vAlign w:val="center"/>
                </w:tcPr>
                <w:p w14:paraId="526C778E">
                  <w:pPr>
                    <w:spacing w:line="240" w:lineRule="auto"/>
                    <w:ind w:firstLine="0" w:firstLineChars="0"/>
                    <w:jc w:val="center"/>
                    <w:rPr>
                      <w:sz w:val="21"/>
                      <w:szCs w:val="21"/>
                    </w:rPr>
                  </w:pPr>
                  <w:r>
                    <w:rPr>
                      <w:sz w:val="21"/>
                      <w:szCs w:val="21"/>
                    </w:rPr>
                    <w:t>间断</w:t>
                  </w:r>
                </w:p>
              </w:tc>
            </w:tr>
            <w:tr w14:paraId="25AC0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72879607">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5A1077BC">
                  <w:pPr>
                    <w:spacing w:line="240" w:lineRule="auto"/>
                    <w:ind w:firstLine="0" w:firstLineChars="0"/>
                    <w:jc w:val="center"/>
                    <w:rPr>
                      <w:sz w:val="21"/>
                      <w:szCs w:val="21"/>
                    </w:rPr>
                  </w:pPr>
                </w:p>
              </w:tc>
              <w:tc>
                <w:tcPr>
                  <w:tcW w:w="1377" w:type="dxa"/>
                  <w:gridSpan w:val="2"/>
                  <w:tcBorders>
                    <w:tl2br w:val="nil"/>
                    <w:tr2bl w:val="nil"/>
                  </w:tcBorders>
                  <w:tcMar>
                    <w:left w:w="28" w:type="dxa"/>
                    <w:right w:w="28" w:type="dxa"/>
                  </w:tcMar>
                  <w:vAlign w:val="center"/>
                </w:tcPr>
                <w:p w14:paraId="05E57F32">
                  <w:pPr>
                    <w:widowControl/>
                    <w:spacing w:line="240" w:lineRule="auto"/>
                    <w:ind w:firstLine="0" w:firstLineChars="0"/>
                    <w:jc w:val="center"/>
                    <w:rPr>
                      <w:bCs/>
                      <w:sz w:val="21"/>
                      <w:szCs w:val="21"/>
                      <w:highlight w:val="none"/>
                    </w:rPr>
                  </w:pPr>
                  <w:r>
                    <w:rPr>
                      <w:rFonts w:hint="eastAsia"/>
                      <w:bCs/>
                      <w:sz w:val="21"/>
                      <w:szCs w:val="21"/>
                      <w:highlight w:val="none"/>
                    </w:rPr>
                    <w:t>工业用油烟净化器（高速运转的数控滚齿机）</w:t>
                  </w:r>
                </w:p>
              </w:tc>
              <w:tc>
                <w:tcPr>
                  <w:tcW w:w="1650" w:type="dxa"/>
                  <w:tcBorders>
                    <w:tl2br w:val="nil"/>
                    <w:tr2bl w:val="nil"/>
                  </w:tcBorders>
                  <w:tcMar>
                    <w:left w:w="28" w:type="dxa"/>
                    <w:right w:w="28" w:type="dxa"/>
                  </w:tcMar>
                  <w:vAlign w:val="center"/>
                </w:tcPr>
                <w:p w14:paraId="3872E33E">
                  <w:pPr>
                    <w:widowControl/>
                    <w:spacing w:line="240" w:lineRule="auto"/>
                    <w:ind w:firstLine="0" w:firstLineChars="0"/>
                    <w:jc w:val="center"/>
                    <w:rPr>
                      <w:sz w:val="21"/>
                      <w:szCs w:val="21"/>
                      <w:highlight w:val="none"/>
                    </w:rPr>
                  </w:pPr>
                  <w:r>
                    <w:rPr>
                      <w:rFonts w:hint="eastAsia"/>
                      <w:sz w:val="21"/>
                      <w:szCs w:val="21"/>
                      <w:highlight w:val="none"/>
                    </w:rPr>
                    <w:t>废液压油</w:t>
                  </w:r>
                </w:p>
              </w:tc>
              <w:tc>
                <w:tcPr>
                  <w:tcW w:w="3586" w:type="dxa"/>
                  <w:tcBorders>
                    <w:tl2br w:val="nil"/>
                    <w:tr2bl w:val="nil"/>
                  </w:tcBorders>
                  <w:vAlign w:val="center"/>
                </w:tcPr>
                <w:p w14:paraId="1DA63DD9">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回用于数控滚齿机内</w:t>
                  </w:r>
                </w:p>
              </w:tc>
              <w:tc>
                <w:tcPr>
                  <w:tcW w:w="547" w:type="dxa"/>
                  <w:tcBorders>
                    <w:tl2br w:val="nil"/>
                    <w:tr2bl w:val="nil"/>
                  </w:tcBorders>
                  <w:vAlign w:val="center"/>
                </w:tcPr>
                <w:p w14:paraId="4B92F913">
                  <w:pPr>
                    <w:spacing w:line="240" w:lineRule="auto"/>
                    <w:ind w:firstLine="0" w:firstLineChars="0"/>
                    <w:jc w:val="center"/>
                    <w:rPr>
                      <w:sz w:val="21"/>
                      <w:szCs w:val="21"/>
                    </w:rPr>
                  </w:pPr>
                  <w:r>
                    <w:rPr>
                      <w:sz w:val="21"/>
                      <w:szCs w:val="21"/>
                    </w:rPr>
                    <w:t>间断</w:t>
                  </w:r>
                </w:p>
              </w:tc>
            </w:tr>
            <w:tr w14:paraId="43475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E77E73C">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51AFE4D4">
                  <w:pPr>
                    <w:spacing w:line="240" w:lineRule="auto"/>
                    <w:ind w:firstLine="0" w:firstLineChars="0"/>
                    <w:jc w:val="center"/>
                    <w:rPr>
                      <w:sz w:val="21"/>
                      <w:szCs w:val="21"/>
                    </w:rPr>
                  </w:pPr>
                </w:p>
              </w:tc>
              <w:tc>
                <w:tcPr>
                  <w:tcW w:w="1377" w:type="dxa"/>
                  <w:gridSpan w:val="2"/>
                  <w:vMerge w:val="restart"/>
                  <w:tcBorders>
                    <w:tl2br w:val="nil"/>
                    <w:tr2bl w:val="nil"/>
                  </w:tcBorders>
                  <w:tcMar>
                    <w:left w:w="28" w:type="dxa"/>
                    <w:right w:w="28" w:type="dxa"/>
                  </w:tcMar>
                  <w:vAlign w:val="center"/>
                </w:tcPr>
                <w:p w14:paraId="2B06988E">
                  <w:pPr>
                    <w:widowControl/>
                    <w:spacing w:line="240" w:lineRule="auto"/>
                    <w:ind w:firstLine="0" w:firstLineChars="0"/>
                    <w:jc w:val="center"/>
                    <w:rPr>
                      <w:bCs/>
                      <w:sz w:val="21"/>
                      <w:szCs w:val="21"/>
                      <w:highlight w:val="none"/>
                    </w:rPr>
                  </w:pPr>
                  <w:r>
                    <w:rPr>
                      <w:rFonts w:hint="eastAsia"/>
                      <w:bCs/>
                      <w:sz w:val="21"/>
                      <w:szCs w:val="21"/>
                      <w:highlight w:val="none"/>
                    </w:rPr>
                    <w:t>甩干机</w:t>
                  </w:r>
                </w:p>
              </w:tc>
              <w:tc>
                <w:tcPr>
                  <w:tcW w:w="1650" w:type="dxa"/>
                  <w:tcBorders>
                    <w:tl2br w:val="nil"/>
                    <w:tr2bl w:val="nil"/>
                  </w:tcBorders>
                  <w:tcMar>
                    <w:left w:w="28" w:type="dxa"/>
                    <w:right w:w="28" w:type="dxa"/>
                  </w:tcMar>
                  <w:vAlign w:val="center"/>
                </w:tcPr>
                <w:p w14:paraId="3E896C89">
                  <w:pPr>
                    <w:widowControl/>
                    <w:spacing w:line="240" w:lineRule="auto"/>
                    <w:ind w:firstLine="0" w:firstLineChars="0"/>
                    <w:jc w:val="center"/>
                    <w:rPr>
                      <w:sz w:val="21"/>
                      <w:szCs w:val="21"/>
                      <w:highlight w:val="none"/>
                    </w:rPr>
                  </w:pPr>
                  <w:r>
                    <w:rPr>
                      <w:rFonts w:hint="eastAsia"/>
                      <w:sz w:val="21"/>
                      <w:szCs w:val="21"/>
                      <w:highlight w:val="none"/>
                    </w:rPr>
                    <w:t>废切削油</w:t>
                  </w:r>
                </w:p>
              </w:tc>
              <w:tc>
                <w:tcPr>
                  <w:tcW w:w="3586" w:type="dxa"/>
                  <w:vMerge w:val="restart"/>
                  <w:tcBorders>
                    <w:tl2br w:val="nil"/>
                    <w:tr2bl w:val="nil"/>
                  </w:tcBorders>
                  <w:vAlign w:val="center"/>
                </w:tcPr>
                <w:p w14:paraId="65A9E585">
                  <w:pPr>
                    <w:widowControl/>
                    <w:spacing w:line="240" w:lineRule="auto"/>
                    <w:ind w:firstLine="0" w:firstLineChars="0"/>
                    <w:jc w:val="center"/>
                    <w:rPr>
                      <w:color w:val="000000"/>
                      <w:kern w:val="0"/>
                      <w:sz w:val="21"/>
                      <w:szCs w:val="21"/>
                      <w:highlight w:val="none"/>
                    </w:rPr>
                  </w:pPr>
                  <w:r>
                    <w:rPr>
                      <w:color w:val="000000"/>
                      <w:kern w:val="0"/>
                      <w:sz w:val="21"/>
                      <w:szCs w:val="21"/>
                      <w:highlight w:val="none"/>
                    </w:rPr>
                    <w:t>暂存于危废暂存间，定期送有资质的危险废物处置单位处置</w:t>
                  </w:r>
                </w:p>
              </w:tc>
              <w:tc>
                <w:tcPr>
                  <w:tcW w:w="547" w:type="dxa"/>
                  <w:tcBorders>
                    <w:tl2br w:val="nil"/>
                    <w:tr2bl w:val="nil"/>
                  </w:tcBorders>
                  <w:vAlign w:val="center"/>
                </w:tcPr>
                <w:p w14:paraId="2D7E633E">
                  <w:pPr>
                    <w:spacing w:line="240" w:lineRule="auto"/>
                    <w:ind w:firstLine="0" w:firstLineChars="0"/>
                    <w:jc w:val="center"/>
                    <w:rPr>
                      <w:sz w:val="21"/>
                      <w:szCs w:val="21"/>
                    </w:rPr>
                  </w:pPr>
                  <w:r>
                    <w:rPr>
                      <w:sz w:val="21"/>
                      <w:szCs w:val="21"/>
                    </w:rPr>
                    <w:t>间断</w:t>
                  </w:r>
                </w:p>
              </w:tc>
            </w:tr>
            <w:tr w14:paraId="119D9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004AC07A">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1EF0B78A">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2108950F">
                  <w:pPr>
                    <w:widowControl/>
                    <w:spacing w:line="240" w:lineRule="auto"/>
                    <w:ind w:firstLine="0" w:firstLineChars="0"/>
                    <w:jc w:val="center"/>
                    <w:rPr>
                      <w:bCs/>
                      <w:sz w:val="21"/>
                      <w:szCs w:val="21"/>
                      <w:highlight w:val="cyan"/>
                    </w:rPr>
                  </w:pPr>
                </w:p>
              </w:tc>
              <w:tc>
                <w:tcPr>
                  <w:tcW w:w="1650" w:type="dxa"/>
                  <w:tcBorders>
                    <w:tl2br w:val="nil"/>
                    <w:tr2bl w:val="nil"/>
                  </w:tcBorders>
                  <w:tcMar>
                    <w:left w:w="28" w:type="dxa"/>
                    <w:right w:w="28" w:type="dxa"/>
                  </w:tcMar>
                  <w:vAlign w:val="center"/>
                </w:tcPr>
                <w:p w14:paraId="640EBB70">
                  <w:pPr>
                    <w:widowControl/>
                    <w:spacing w:line="240" w:lineRule="auto"/>
                    <w:ind w:firstLine="0" w:firstLineChars="0"/>
                    <w:jc w:val="center"/>
                    <w:rPr>
                      <w:sz w:val="21"/>
                      <w:szCs w:val="21"/>
                      <w:highlight w:val="none"/>
                    </w:rPr>
                  </w:pPr>
                  <w:r>
                    <w:rPr>
                      <w:rFonts w:hint="eastAsia"/>
                      <w:sz w:val="21"/>
                      <w:szCs w:val="21"/>
                      <w:highlight w:val="none"/>
                    </w:rPr>
                    <w:t>废液压油</w:t>
                  </w:r>
                </w:p>
              </w:tc>
              <w:tc>
                <w:tcPr>
                  <w:tcW w:w="3586" w:type="dxa"/>
                  <w:vMerge w:val="continue"/>
                  <w:tcBorders>
                    <w:tl2br w:val="nil"/>
                    <w:tr2bl w:val="nil"/>
                  </w:tcBorders>
                  <w:vAlign w:val="center"/>
                </w:tcPr>
                <w:p w14:paraId="3BA21299">
                  <w:pPr>
                    <w:widowControl/>
                    <w:spacing w:line="240" w:lineRule="auto"/>
                    <w:ind w:firstLine="0" w:firstLineChars="0"/>
                    <w:jc w:val="center"/>
                    <w:rPr>
                      <w:color w:val="000000"/>
                      <w:kern w:val="0"/>
                      <w:sz w:val="21"/>
                      <w:szCs w:val="21"/>
                      <w:highlight w:val="cyan"/>
                    </w:rPr>
                  </w:pPr>
                </w:p>
              </w:tc>
              <w:tc>
                <w:tcPr>
                  <w:tcW w:w="547" w:type="dxa"/>
                  <w:tcBorders>
                    <w:tl2br w:val="nil"/>
                    <w:tr2bl w:val="nil"/>
                  </w:tcBorders>
                  <w:vAlign w:val="center"/>
                </w:tcPr>
                <w:p w14:paraId="052D9BD8">
                  <w:pPr>
                    <w:spacing w:line="240" w:lineRule="auto"/>
                    <w:ind w:firstLine="0" w:firstLineChars="0"/>
                    <w:jc w:val="center"/>
                    <w:rPr>
                      <w:sz w:val="21"/>
                      <w:szCs w:val="21"/>
                    </w:rPr>
                  </w:pPr>
                  <w:r>
                    <w:rPr>
                      <w:sz w:val="21"/>
                      <w:szCs w:val="21"/>
                    </w:rPr>
                    <w:t>间断</w:t>
                  </w:r>
                </w:p>
              </w:tc>
            </w:tr>
            <w:tr w14:paraId="7FAA1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9" w:type="dxa"/>
                  <w:vMerge w:val="continue"/>
                  <w:tcBorders>
                    <w:tl2br w:val="nil"/>
                    <w:tr2bl w:val="nil"/>
                  </w:tcBorders>
                  <w:tcMar>
                    <w:left w:w="28" w:type="dxa"/>
                    <w:right w:w="28" w:type="dxa"/>
                  </w:tcMar>
                  <w:vAlign w:val="center"/>
                </w:tcPr>
                <w:p w14:paraId="2C54D8B2">
                  <w:pPr>
                    <w:spacing w:line="240" w:lineRule="auto"/>
                    <w:ind w:firstLine="0" w:firstLineChars="0"/>
                    <w:jc w:val="center"/>
                    <w:rPr>
                      <w:sz w:val="21"/>
                      <w:szCs w:val="21"/>
                    </w:rPr>
                  </w:pPr>
                </w:p>
              </w:tc>
              <w:tc>
                <w:tcPr>
                  <w:tcW w:w="612" w:type="dxa"/>
                  <w:vMerge w:val="continue"/>
                  <w:tcBorders>
                    <w:tl2br w:val="nil"/>
                    <w:tr2bl w:val="nil"/>
                  </w:tcBorders>
                  <w:tcMar>
                    <w:left w:w="28" w:type="dxa"/>
                    <w:right w:w="28" w:type="dxa"/>
                  </w:tcMar>
                  <w:vAlign w:val="center"/>
                </w:tcPr>
                <w:p w14:paraId="56EB352C">
                  <w:pPr>
                    <w:spacing w:line="240" w:lineRule="auto"/>
                    <w:ind w:firstLine="0" w:firstLineChars="0"/>
                    <w:jc w:val="center"/>
                    <w:rPr>
                      <w:sz w:val="21"/>
                      <w:szCs w:val="21"/>
                    </w:rPr>
                  </w:pPr>
                </w:p>
              </w:tc>
              <w:tc>
                <w:tcPr>
                  <w:tcW w:w="1377" w:type="dxa"/>
                  <w:gridSpan w:val="2"/>
                  <w:vMerge w:val="continue"/>
                  <w:tcBorders>
                    <w:tl2br w:val="nil"/>
                    <w:tr2bl w:val="nil"/>
                  </w:tcBorders>
                  <w:tcMar>
                    <w:left w:w="28" w:type="dxa"/>
                    <w:right w:w="28" w:type="dxa"/>
                  </w:tcMar>
                  <w:vAlign w:val="center"/>
                </w:tcPr>
                <w:p w14:paraId="6929EEF5">
                  <w:pPr>
                    <w:widowControl/>
                    <w:spacing w:line="240" w:lineRule="auto"/>
                    <w:ind w:firstLine="0" w:firstLineChars="0"/>
                    <w:jc w:val="center"/>
                    <w:rPr>
                      <w:bCs/>
                      <w:sz w:val="21"/>
                      <w:szCs w:val="21"/>
                      <w:highlight w:val="cyan"/>
                    </w:rPr>
                  </w:pPr>
                </w:p>
              </w:tc>
              <w:tc>
                <w:tcPr>
                  <w:tcW w:w="1650" w:type="dxa"/>
                  <w:tcBorders>
                    <w:tl2br w:val="nil"/>
                    <w:tr2bl w:val="nil"/>
                  </w:tcBorders>
                  <w:tcMar>
                    <w:left w:w="28" w:type="dxa"/>
                    <w:right w:w="28" w:type="dxa"/>
                  </w:tcMar>
                  <w:vAlign w:val="center"/>
                </w:tcPr>
                <w:p w14:paraId="1655A8BC">
                  <w:pPr>
                    <w:widowControl/>
                    <w:spacing w:line="240" w:lineRule="auto"/>
                    <w:ind w:firstLine="0" w:firstLineChars="0"/>
                    <w:jc w:val="center"/>
                    <w:rPr>
                      <w:sz w:val="21"/>
                      <w:szCs w:val="21"/>
                      <w:highlight w:val="none"/>
                    </w:rPr>
                  </w:pPr>
                  <w:r>
                    <w:rPr>
                      <w:rFonts w:hint="eastAsia"/>
                      <w:sz w:val="21"/>
                      <w:szCs w:val="21"/>
                      <w:highlight w:val="none"/>
                    </w:rPr>
                    <w:t>废润滑油</w:t>
                  </w:r>
                </w:p>
              </w:tc>
              <w:tc>
                <w:tcPr>
                  <w:tcW w:w="3586" w:type="dxa"/>
                  <w:vMerge w:val="continue"/>
                  <w:tcBorders>
                    <w:tl2br w:val="nil"/>
                    <w:tr2bl w:val="nil"/>
                  </w:tcBorders>
                  <w:vAlign w:val="center"/>
                </w:tcPr>
                <w:p w14:paraId="2E4A33A5">
                  <w:pPr>
                    <w:widowControl/>
                    <w:spacing w:line="240" w:lineRule="auto"/>
                    <w:ind w:firstLine="0" w:firstLineChars="0"/>
                    <w:jc w:val="center"/>
                    <w:rPr>
                      <w:color w:val="000000"/>
                      <w:kern w:val="0"/>
                      <w:sz w:val="21"/>
                      <w:szCs w:val="21"/>
                      <w:highlight w:val="cyan"/>
                    </w:rPr>
                  </w:pPr>
                </w:p>
              </w:tc>
              <w:tc>
                <w:tcPr>
                  <w:tcW w:w="547" w:type="dxa"/>
                  <w:tcBorders>
                    <w:tl2br w:val="nil"/>
                    <w:tr2bl w:val="nil"/>
                  </w:tcBorders>
                  <w:vAlign w:val="center"/>
                </w:tcPr>
                <w:p w14:paraId="189F513F">
                  <w:pPr>
                    <w:spacing w:line="240" w:lineRule="auto"/>
                    <w:ind w:firstLine="0" w:firstLineChars="0"/>
                    <w:jc w:val="center"/>
                    <w:rPr>
                      <w:sz w:val="21"/>
                      <w:szCs w:val="21"/>
                    </w:rPr>
                  </w:pPr>
                  <w:r>
                    <w:rPr>
                      <w:sz w:val="21"/>
                      <w:szCs w:val="21"/>
                    </w:rPr>
                    <w:t>间断</w:t>
                  </w:r>
                </w:p>
              </w:tc>
            </w:tr>
          </w:tbl>
          <w:p w14:paraId="5B48C5BD">
            <w:pPr>
              <w:ind w:firstLine="480"/>
            </w:pPr>
          </w:p>
        </w:tc>
      </w:tr>
      <w:tr w14:paraId="577CF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5" w:hRule="atLeast"/>
          <w:jc w:val="center"/>
        </w:trPr>
        <w:tc>
          <w:tcPr>
            <w:tcW w:w="823" w:type="dxa"/>
            <w:vAlign w:val="center"/>
          </w:tcPr>
          <w:p w14:paraId="04C4D282">
            <w:pPr>
              <w:pStyle w:val="20"/>
              <w:adjustRightInd w:val="0"/>
              <w:snapToGrid w:val="0"/>
              <w:spacing w:before="0" w:beforeAutospacing="0" w:after="0" w:afterAutospacing="0" w:line="240" w:lineRule="auto"/>
              <w:ind w:firstLine="0" w:firstLineChars="0"/>
              <w:jc w:val="center"/>
              <w:rPr>
                <w:rFonts w:ascii="Times New Roman" w:hAnsi="Times New Roman"/>
                <w:bCs/>
                <w:kern w:val="2"/>
                <w:szCs w:val="24"/>
              </w:rPr>
            </w:pPr>
            <w:r>
              <w:rPr>
                <w:rFonts w:ascii="Times New Roman" w:hAnsi="Times New Roman"/>
                <w:bCs/>
                <w:kern w:val="2"/>
                <w:szCs w:val="24"/>
              </w:rPr>
              <w:t>与项</w:t>
            </w:r>
          </w:p>
          <w:p w14:paraId="70970678">
            <w:pPr>
              <w:pStyle w:val="31"/>
              <w:rPr>
                <w:szCs w:val="24"/>
              </w:rPr>
            </w:pPr>
            <w:r>
              <w:rPr>
                <w:bCs/>
                <w:szCs w:val="24"/>
              </w:rPr>
              <w:t>目有关的原有环境污染问题</w:t>
            </w:r>
          </w:p>
        </w:tc>
        <w:tc>
          <w:tcPr>
            <w:tcW w:w="8342" w:type="dxa"/>
          </w:tcPr>
          <w:p w14:paraId="2CD1C3E1">
            <w:pPr>
              <w:ind w:firstLine="480"/>
            </w:pPr>
            <w:r>
              <w:rPr>
                <w:rFonts w:hint="eastAsia"/>
              </w:rPr>
              <w:t>本项目属于新建项目，购买京唐智慧港纬二路南侧经十五路西侧13548.62平方米土地，新建厂房并进行设备安装。</w:t>
            </w:r>
            <w:r>
              <w:t>根据现场勘查，</w:t>
            </w:r>
            <w:r>
              <w:rPr>
                <w:rFonts w:hint="eastAsia"/>
              </w:rPr>
              <w:t>项目场地无原有污染情况及环境问题。</w:t>
            </w:r>
          </w:p>
        </w:tc>
      </w:tr>
    </w:tbl>
    <w:p w14:paraId="7151E7FB">
      <w:pPr>
        <w:ind w:firstLine="480"/>
      </w:pPr>
      <w:r>
        <w:br w:type="page"/>
      </w:r>
    </w:p>
    <w:p w14:paraId="205899E9">
      <w:pPr>
        <w:pStyle w:val="20"/>
        <w:ind w:firstLine="0" w:firstLineChars="0"/>
        <w:jc w:val="center"/>
        <w:outlineLvl w:val="0"/>
        <w:rPr>
          <w:rFonts w:ascii="黑体" w:hAnsi="黑体" w:eastAsia="黑体"/>
          <w:snapToGrid w:val="0"/>
          <w:color w:val="0070C0"/>
          <w:sz w:val="30"/>
          <w:szCs w:val="30"/>
        </w:rPr>
      </w:pPr>
      <w:r>
        <w:rPr>
          <w:rFonts w:hint="eastAsia" w:ascii="黑体" w:hAnsi="黑体" w:eastAsia="黑体"/>
          <w:snapToGrid w:val="0"/>
          <w:sz w:val="30"/>
          <w:szCs w:val="30"/>
        </w:rPr>
        <w:t>三、区域环境质量现状、环境保护目标及评价标准</w:t>
      </w:r>
    </w:p>
    <w:tbl>
      <w:tblPr>
        <w:tblStyle w:val="22"/>
        <w:tblW w:w="93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510"/>
      </w:tblGrid>
      <w:tr w14:paraId="18023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680" w:hRule="atLeast"/>
          <w:jc w:val="center"/>
        </w:trPr>
        <w:tc>
          <w:tcPr>
            <w:tcW w:w="800" w:type="dxa"/>
            <w:vAlign w:val="center"/>
          </w:tcPr>
          <w:p w14:paraId="4C58E4BA">
            <w:pPr>
              <w:pStyle w:val="31"/>
            </w:pPr>
            <w:r>
              <w:rPr>
                <w:rFonts w:hint="eastAsia"/>
              </w:rPr>
              <w:t>区域</w:t>
            </w:r>
          </w:p>
          <w:p w14:paraId="0EC4912B">
            <w:pPr>
              <w:pStyle w:val="31"/>
            </w:pPr>
            <w:r>
              <w:rPr>
                <w:rFonts w:hint="eastAsia"/>
              </w:rPr>
              <w:t>环境</w:t>
            </w:r>
          </w:p>
          <w:p w14:paraId="3AA84DE6">
            <w:pPr>
              <w:pStyle w:val="31"/>
            </w:pPr>
            <w:r>
              <w:rPr>
                <w:rFonts w:hint="eastAsia"/>
              </w:rPr>
              <w:t>质量</w:t>
            </w:r>
          </w:p>
          <w:p w14:paraId="05D345C4">
            <w:pPr>
              <w:pStyle w:val="31"/>
              <w:rPr>
                <w:color w:val="0070C0"/>
              </w:rPr>
            </w:pPr>
            <w:r>
              <w:rPr>
                <w:rFonts w:hint="eastAsia"/>
              </w:rPr>
              <w:t>现状</w:t>
            </w:r>
          </w:p>
        </w:tc>
        <w:tc>
          <w:tcPr>
            <w:tcW w:w="8510" w:type="dxa"/>
            <w:vAlign w:val="center"/>
          </w:tcPr>
          <w:p w14:paraId="4B3AC23D">
            <w:pPr>
              <w:ind w:firstLine="482"/>
              <w:jc w:val="left"/>
              <w:rPr>
                <w:b/>
                <w:bCs/>
              </w:rPr>
            </w:pPr>
            <w:r>
              <w:rPr>
                <w:rFonts w:hint="eastAsia"/>
                <w:b/>
                <w:bCs/>
              </w:rPr>
              <w:t>一、</w:t>
            </w:r>
            <w:r>
              <w:rPr>
                <w:b/>
                <w:bCs/>
              </w:rPr>
              <w:t>环境空气</w:t>
            </w:r>
          </w:p>
          <w:p w14:paraId="58EB970A">
            <w:pPr>
              <w:ind w:firstLine="480"/>
            </w:pPr>
            <w:r>
              <w:rPr>
                <w:rFonts w:hint="eastAsia"/>
              </w:rPr>
              <w:t>1、</w:t>
            </w:r>
            <w:r>
              <w:t>项目所在区域环境质量达标情况</w:t>
            </w:r>
          </w:p>
          <w:p w14:paraId="35D603D8">
            <w:pPr>
              <w:ind w:firstLine="480"/>
            </w:pPr>
            <w:r>
              <w:t>项目所在区域环境空气质量现状数据采用唐山市生态环境局公开发布的</w:t>
            </w:r>
            <w:r>
              <w:rPr>
                <w:lang w:val="zh-CN"/>
              </w:rPr>
              <w:t>《20</w:t>
            </w:r>
            <w:r>
              <w:rPr>
                <w:rFonts w:hint="eastAsia"/>
              </w:rPr>
              <w:t>20</w:t>
            </w:r>
            <w:r>
              <w:rPr>
                <w:lang w:val="zh-CN"/>
              </w:rPr>
              <w:t>年唐山市环境状况公报》中唐山市空气质量数据，</w:t>
            </w:r>
            <w:r>
              <w:t>具体情况见下表。</w:t>
            </w:r>
          </w:p>
          <w:p w14:paraId="4BD54149">
            <w:pPr>
              <w:spacing w:line="360" w:lineRule="auto"/>
              <w:ind w:firstLine="0" w:firstLineChars="0"/>
              <w:jc w:val="center"/>
              <w:rPr>
                <w:b/>
                <w:bCs/>
                <w:sz w:val="21"/>
                <w:szCs w:val="21"/>
              </w:rPr>
            </w:pPr>
            <w:r>
              <w:rPr>
                <w:b/>
                <w:bCs/>
                <w:sz w:val="21"/>
                <w:szCs w:val="21"/>
              </w:rPr>
              <w:t>表</w:t>
            </w:r>
            <w:r>
              <w:rPr>
                <w:rFonts w:hint="eastAsia"/>
                <w:b/>
                <w:bCs/>
                <w:sz w:val="21"/>
                <w:szCs w:val="21"/>
              </w:rPr>
              <w:t xml:space="preserve">3-1  </w:t>
            </w:r>
            <w:r>
              <w:rPr>
                <w:b/>
                <w:bCs/>
                <w:sz w:val="21"/>
                <w:szCs w:val="21"/>
              </w:rPr>
              <w:t>20</w:t>
            </w:r>
            <w:r>
              <w:rPr>
                <w:rFonts w:hint="eastAsia"/>
                <w:b/>
                <w:bCs/>
                <w:sz w:val="21"/>
                <w:szCs w:val="21"/>
              </w:rPr>
              <w:t>20</w:t>
            </w:r>
            <w:r>
              <w:rPr>
                <w:b/>
                <w:bCs/>
                <w:sz w:val="21"/>
                <w:szCs w:val="21"/>
              </w:rPr>
              <w:t>年区域环境质量现状评价表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02"/>
              <w:gridCol w:w="1813"/>
              <w:gridCol w:w="1625"/>
              <w:gridCol w:w="1579"/>
              <w:gridCol w:w="1305"/>
              <w:gridCol w:w="1104"/>
            </w:tblGrid>
            <w:tr w14:paraId="06C15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0B2A99DE">
                  <w:pPr>
                    <w:pStyle w:val="31"/>
                    <w:rPr>
                      <w:sz w:val="21"/>
                    </w:rPr>
                  </w:pPr>
                  <w:r>
                    <w:rPr>
                      <w:sz w:val="21"/>
                    </w:rPr>
                    <w:t>污染物</w:t>
                  </w:r>
                </w:p>
              </w:tc>
              <w:tc>
                <w:tcPr>
                  <w:tcW w:w="1813" w:type="dxa"/>
                  <w:tcBorders>
                    <w:tl2br w:val="nil"/>
                    <w:tr2bl w:val="nil"/>
                  </w:tcBorders>
                  <w:vAlign w:val="center"/>
                </w:tcPr>
                <w:p w14:paraId="6383A6AF">
                  <w:pPr>
                    <w:pStyle w:val="31"/>
                    <w:rPr>
                      <w:sz w:val="21"/>
                    </w:rPr>
                  </w:pPr>
                  <w:r>
                    <w:rPr>
                      <w:sz w:val="21"/>
                    </w:rPr>
                    <w:t>年评价指标</w:t>
                  </w:r>
                </w:p>
              </w:tc>
              <w:tc>
                <w:tcPr>
                  <w:tcW w:w="1625" w:type="dxa"/>
                  <w:tcBorders>
                    <w:tl2br w:val="nil"/>
                    <w:tr2bl w:val="nil"/>
                  </w:tcBorders>
                  <w:vAlign w:val="center"/>
                </w:tcPr>
                <w:p w14:paraId="2CA78FA8">
                  <w:pPr>
                    <w:pStyle w:val="31"/>
                    <w:rPr>
                      <w:sz w:val="21"/>
                    </w:rPr>
                  </w:pPr>
                  <w:r>
                    <w:rPr>
                      <w:sz w:val="21"/>
                    </w:rPr>
                    <w:t>现状浓度</w:t>
                  </w:r>
                  <w:r>
                    <w:rPr>
                      <w:rFonts w:hint="eastAsia"/>
                      <w:sz w:val="21"/>
                    </w:rPr>
                    <w:t>（</w:t>
                  </w:r>
                  <w:r>
                    <w:rPr>
                      <w:sz w:val="21"/>
                    </w:rPr>
                    <w:t>μg/m</w:t>
                  </w:r>
                  <w:r>
                    <w:rPr>
                      <w:sz w:val="21"/>
                      <w:vertAlign w:val="superscript"/>
                    </w:rPr>
                    <w:t>3</w:t>
                  </w:r>
                  <w:r>
                    <w:rPr>
                      <w:rFonts w:hint="eastAsia"/>
                      <w:sz w:val="21"/>
                    </w:rPr>
                    <w:t>）</w:t>
                  </w:r>
                </w:p>
              </w:tc>
              <w:tc>
                <w:tcPr>
                  <w:tcW w:w="1579" w:type="dxa"/>
                  <w:tcBorders>
                    <w:tl2br w:val="nil"/>
                    <w:tr2bl w:val="nil"/>
                  </w:tcBorders>
                  <w:vAlign w:val="center"/>
                </w:tcPr>
                <w:p w14:paraId="56D931C0">
                  <w:pPr>
                    <w:pStyle w:val="31"/>
                    <w:rPr>
                      <w:sz w:val="21"/>
                    </w:rPr>
                  </w:pPr>
                  <w:r>
                    <w:rPr>
                      <w:sz w:val="21"/>
                    </w:rPr>
                    <w:t>标准值</w:t>
                  </w:r>
                  <w:r>
                    <w:rPr>
                      <w:rFonts w:hint="eastAsia"/>
                      <w:sz w:val="21"/>
                    </w:rPr>
                    <w:t>（</w:t>
                  </w:r>
                  <w:r>
                    <w:rPr>
                      <w:sz w:val="21"/>
                    </w:rPr>
                    <w:t>μg/m</w:t>
                  </w:r>
                  <w:r>
                    <w:rPr>
                      <w:sz w:val="21"/>
                      <w:vertAlign w:val="superscript"/>
                    </w:rPr>
                    <w:t>3</w:t>
                  </w:r>
                  <w:r>
                    <w:rPr>
                      <w:rFonts w:hint="eastAsia"/>
                      <w:sz w:val="21"/>
                    </w:rPr>
                    <w:t>）</w:t>
                  </w:r>
                </w:p>
              </w:tc>
              <w:tc>
                <w:tcPr>
                  <w:tcW w:w="1305" w:type="dxa"/>
                  <w:tcBorders>
                    <w:tl2br w:val="nil"/>
                    <w:tr2bl w:val="nil"/>
                  </w:tcBorders>
                  <w:vAlign w:val="center"/>
                </w:tcPr>
                <w:p w14:paraId="2809A6A0">
                  <w:pPr>
                    <w:pStyle w:val="31"/>
                    <w:rPr>
                      <w:sz w:val="21"/>
                    </w:rPr>
                  </w:pPr>
                  <w:r>
                    <w:rPr>
                      <w:sz w:val="21"/>
                    </w:rPr>
                    <w:t>占标率</w:t>
                  </w:r>
                  <w:r>
                    <w:rPr>
                      <w:rFonts w:hint="eastAsia"/>
                      <w:sz w:val="21"/>
                    </w:rPr>
                    <w:t>（</w:t>
                  </w:r>
                  <w:r>
                    <w:rPr>
                      <w:sz w:val="21"/>
                    </w:rPr>
                    <w:t>%</w:t>
                  </w:r>
                  <w:r>
                    <w:rPr>
                      <w:rFonts w:hint="eastAsia"/>
                      <w:sz w:val="21"/>
                    </w:rPr>
                    <w:t>）</w:t>
                  </w:r>
                </w:p>
              </w:tc>
              <w:tc>
                <w:tcPr>
                  <w:tcW w:w="1104" w:type="dxa"/>
                  <w:tcBorders>
                    <w:tl2br w:val="nil"/>
                    <w:tr2bl w:val="nil"/>
                  </w:tcBorders>
                  <w:vAlign w:val="center"/>
                </w:tcPr>
                <w:p w14:paraId="51C5BD39">
                  <w:pPr>
                    <w:pStyle w:val="31"/>
                    <w:rPr>
                      <w:sz w:val="21"/>
                    </w:rPr>
                  </w:pPr>
                  <w:r>
                    <w:rPr>
                      <w:sz w:val="21"/>
                    </w:rPr>
                    <w:t>达标情况</w:t>
                  </w:r>
                </w:p>
              </w:tc>
            </w:tr>
            <w:tr w14:paraId="14CE2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2C160934">
                  <w:pPr>
                    <w:pStyle w:val="31"/>
                    <w:rPr>
                      <w:sz w:val="21"/>
                    </w:rPr>
                  </w:pPr>
                  <w:r>
                    <w:rPr>
                      <w:sz w:val="21"/>
                    </w:rPr>
                    <w:t>SO</w:t>
                  </w:r>
                  <w:r>
                    <w:rPr>
                      <w:sz w:val="21"/>
                      <w:vertAlign w:val="subscript"/>
                    </w:rPr>
                    <w:t>2</w:t>
                  </w:r>
                </w:p>
              </w:tc>
              <w:tc>
                <w:tcPr>
                  <w:tcW w:w="1813" w:type="dxa"/>
                  <w:tcBorders>
                    <w:tl2br w:val="nil"/>
                    <w:tr2bl w:val="nil"/>
                  </w:tcBorders>
                  <w:vAlign w:val="center"/>
                </w:tcPr>
                <w:p w14:paraId="41748D72">
                  <w:pPr>
                    <w:pStyle w:val="31"/>
                    <w:rPr>
                      <w:sz w:val="21"/>
                    </w:rPr>
                  </w:pPr>
                  <w:r>
                    <w:rPr>
                      <w:sz w:val="21"/>
                    </w:rPr>
                    <w:t>年平均质量浓度</w:t>
                  </w:r>
                </w:p>
              </w:tc>
              <w:tc>
                <w:tcPr>
                  <w:tcW w:w="1625" w:type="dxa"/>
                  <w:tcBorders>
                    <w:tl2br w:val="nil"/>
                    <w:tr2bl w:val="nil"/>
                  </w:tcBorders>
                  <w:vAlign w:val="center"/>
                </w:tcPr>
                <w:p w14:paraId="5A3C3CA5">
                  <w:pPr>
                    <w:pStyle w:val="31"/>
                    <w:rPr>
                      <w:sz w:val="21"/>
                    </w:rPr>
                  </w:pPr>
                  <w:r>
                    <w:rPr>
                      <w:rFonts w:hint="eastAsia"/>
                      <w:sz w:val="21"/>
                    </w:rPr>
                    <w:t>18</w:t>
                  </w:r>
                </w:p>
              </w:tc>
              <w:tc>
                <w:tcPr>
                  <w:tcW w:w="1579" w:type="dxa"/>
                  <w:tcBorders>
                    <w:tl2br w:val="nil"/>
                    <w:tr2bl w:val="nil"/>
                  </w:tcBorders>
                  <w:vAlign w:val="center"/>
                </w:tcPr>
                <w:p w14:paraId="2D72F467">
                  <w:pPr>
                    <w:pStyle w:val="31"/>
                    <w:rPr>
                      <w:sz w:val="21"/>
                    </w:rPr>
                  </w:pPr>
                  <w:r>
                    <w:rPr>
                      <w:sz w:val="21"/>
                    </w:rPr>
                    <w:t>60</w:t>
                  </w:r>
                </w:p>
              </w:tc>
              <w:tc>
                <w:tcPr>
                  <w:tcW w:w="1305" w:type="dxa"/>
                  <w:tcBorders>
                    <w:tl2br w:val="nil"/>
                    <w:tr2bl w:val="nil"/>
                  </w:tcBorders>
                  <w:vAlign w:val="center"/>
                </w:tcPr>
                <w:p w14:paraId="417F56C1">
                  <w:pPr>
                    <w:pStyle w:val="31"/>
                    <w:rPr>
                      <w:sz w:val="21"/>
                    </w:rPr>
                  </w:pPr>
                  <w:r>
                    <w:rPr>
                      <w:rFonts w:hint="eastAsia"/>
                      <w:sz w:val="21"/>
                    </w:rPr>
                    <w:t>30</w:t>
                  </w:r>
                </w:p>
              </w:tc>
              <w:tc>
                <w:tcPr>
                  <w:tcW w:w="1104" w:type="dxa"/>
                  <w:tcBorders>
                    <w:tl2br w:val="nil"/>
                    <w:tr2bl w:val="nil"/>
                  </w:tcBorders>
                  <w:vAlign w:val="center"/>
                </w:tcPr>
                <w:p w14:paraId="0A975BC7">
                  <w:pPr>
                    <w:pStyle w:val="31"/>
                    <w:rPr>
                      <w:sz w:val="21"/>
                    </w:rPr>
                  </w:pPr>
                  <w:r>
                    <w:rPr>
                      <w:sz w:val="21"/>
                    </w:rPr>
                    <w:t>达标</w:t>
                  </w:r>
                </w:p>
              </w:tc>
            </w:tr>
            <w:tr w14:paraId="17B8D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0CCBEF6B">
                  <w:pPr>
                    <w:pStyle w:val="31"/>
                    <w:rPr>
                      <w:sz w:val="21"/>
                    </w:rPr>
                  </w:pPr>
                  <w:r>
                    <w:rPr>
                      <w:sz w:val="21"/>
                    </w:rPr>
                    <w:t>NO</w:t>
                  </w:r>
                  <w:r>
                    <w:rPr>
                      <w:sz w:val="21"/>
                      <w:vertAlign w:val="subscript"/>
                    </w:rPr>
                    <w:t>2</w:t>
                  </w:r>
                </w:p>
              </w:tc>
              <w:tc>
                <w:tcPr>
                  <w:tcW w:w="1813" w:type="dxa"/>
                  <w:tcBorders>
                    <w:tl2br w:val="nil"/>
                    <w:tr2bl w:val="nil"/>
                  </w:tcBorders>
                  <w:vAlign w:val="center"/>
                </w:tcPr>
                <w:p w14:paraId="00E5F7C9">
                  <w:pPr>
                    <w:pStyle w:val="31"/>
                    <w:rPr>
                      <w:sz w:val="21"/>
                    </w:rPr>
                  </w:pPr>
                  <w:r>
                    <w:rPr>
                      <w:sz w:val="21"/>
                    </w:rPr>
                    <w:t>年平均质量浓度</w:t>
                  </w:r>
                </w:p>
              </w:tc>
              <w:tc>
                <w:tcPr>
                  <w:tcW w:w="1625" w:type="dxa"/>
                  <w:tcBorders>
                    <w:tl2br w:val="nil"/>
                    <w:tr2bl w:val="nil"/>
                  </w:tcBorders>
                  <w:vAlign w:val="center"/>
                </w:tcPr>
                <w:p w14:paraId="3BE22BFF">
                  <w:pPr>
                    <w:pStyle w:val="31"/>
                    <w:rPr>
                      <w:sz w:val="21"/>
                    </w:rPr>
                  </w:pPr>
                  <w:r>
                    <w:rPr>
                      <w:rFonts w:hint="eastAsia"/>
                      <w:sz w:val="21"/>
                    </w:rPr>
                    <w:t>46</w:t>
                  </w:r>
                </w:p>
              </w:tc>
              <w:tc>
                <w:tcPr>
                  <w:tcW w:w="1579" w:type="dxa"/>
                  <w:tcBorders>
                    <w:tl2br w:val="nil"/>
                    <w:tr2bl w:val="nil"/>
                  </w:tcBorders>
                  <w:vAlign w:val="center"/>
                </w:tcPr>
                <w:p w14:paraId="5E7F66DF">
                  <w:pPr>
                    <w:pStyle w:val="31"/>
                    <w:rPr>
                      <w:sz w:val="21"/>
                    </w:rPr>
                  </w:pPr>
                  <w:r>
                    <w:rPr>
                      <w:sz w:val="21"/>
                    </w:rPr>
                    <w:t>40</w:t>
                  </w:r>
                </w:p>
              </w:tc>
              <w:tc>
                <w:tcPr>
                  <w:tcW w:w="1305" w:type="dxa"/>
                  <w:tcBorders>
                    <w:tl2br w:val="nil"/>
                    <w:tr2bl w:val="nil"/>
                  </w:tcBorders>
                  <w:vAlign w:val="center"/>
                </w:tcPr>
                <w:p w14:paraId="6BE41111">
                  <w:pPr>
                    <w:pStyle w:val="31"/>
                    <w:rPr>
                      <w:sz w:val="21"/>
                    </w:rPr>
                  </w:pPr>
                  <w:r>
                    <w:rPr>
                      <w:rFonts w:hint="eastAsia"/>
                      <w:sz w:val="21"/>
                    </w:rPr>
                    <w:t>115</w:t>
                  </w:r>
                </w:p>
              </w:tc>
              <w:tc>
                <w:tcPr>
                  <w:tcW w:w="1104" w:type="dxa"/>
                  <w:tcBorders>
                    <w:tl2br w:val="nil"/>
                    <w:tr2bl w:val="nil"/>
                  </w:tcBorders>
                  <w:vAlign w:val="center"/>
                </w:tcPr>
                <w:p w14:paraId="42B2A93C">
                  <w:pPr>
                    <w:pStyle w:val="31"/>
                    <w:rPr>
                      <w:sz w:val="21"/>
                    </w:rPr>
                  </w:pPr>
                  <w:r>
                    <w:rPr>
                      <w:sz w:val="21"/>
                    </w:rPr>
                    <w:t>超标</w:t>
                  </w:r>
                </w:p>
              </w:tc>
            </w:tr>
            <w:tr w14:paraId="7554E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10EF2AAA">
                  <w:pPr>
                    <w:pStyle w:val="31"/>
                    <w:rPr>
                      <w:sz w:val="21"/>
                    </w:rPr>
                  </w:pPr>
                  <w:r>
                    <w:rPr>
                      <w:sz w:val="21"/>
                    </w:rPr>
                    <w:t>PM</w:t>
                  </w:r>
                  <w:r>
                    <w:rPr>
                      <w:sz w:val="21"/>
                      <w:vertAlign w:val="subscript"/>
                    </w:rPr>
                    <w:t>10</w:t>
                  </w:r>
                </w:p>
              </w:tc>
              <w:tc>
                <w:tcPr>
                  <w:tcW w:w="1813" w:type="dxa"/>
                  <w:tcBorders>
                    <w:tl2br w:val="nil"/>
                    <w:tr2bl w:val="nil"/>
                  </w:tcBorders>
                  <w:vAlign w:val="center"/>
                </w:tcPr>
                <w:p w14:paraId="09A0E794">
                  <w:pPr>
                    <w:pStyle w:val="31"/>
                    <w:rPr>
                      <w:sz w:val="21"/>
                    </w:rPr>
                  </w:pPr>
                  <w:r>
                    <w:rPr>
                      <w:sz w:val="21"/>
                    </w:rPr>
                    <w:t>年平均质量浓度</w:t>
                  </w:r>
                </w:p>
              </w:tc>
              <w:tc>
                <w:tcPr>
                  <w:tcW w:w="1625" w:type="dxa"/>
                  <w:tcBorders>
                    <w:tl2br w:val="nil"/>
                    <w:tr2bl w:val="nil"/>
                  </w:tcBorders>
                  <w:vAlign w:val="center"/>
                </w:tcPr>
                <w:p w14:paraId="3A682B99">
                  <w:pPr>
                    <w:pStyle w:val="31"/>
                    <w:rPr>
                      <w:sz w:val="21"/>
                    </w:rPr>
                  </w:pPr>
                  <w:r>
                    <w:rPr>
                      <w:rFonts w:hint="eastAsia"/>
                      <w:sz w:val="21"/>
                    </w:rPr>
                    <w:t>88</w:t>
                  </w:r>
                </w:p>
              </w:tc>
              <w:tc>
                <w:tcPr>
                  <w:tcW w:w="1579" w:type="dxa"/>
                  <w:tcBorders>
                    <w:tl2br w:val="nil"/>
                    <w:tr2bl w:val="nil"/>
                  </w:tcBorders>
                  <w:vAlign w:val="center"/>
                </w:tcPr>
                <w:p w14:paraId="79A63CAF">
                  <w:pPr>
                    <w:pStyle w:val="31"/>
                    <w:rPr>
                      <w:sz w:val="21"/>
                    </w:rPr>
                  </w:pPr>
                  <w:r>
                    <w:rPr>
                      <w:sz w:val="21"/>
                    </w:rPr>
                    <w:t>70</w:t>
                  </w:r>
                </w:p>
              </w:tc>
              <w:tc>
                <w:tcPr>
                  <w:tcW w:w="1305" w:type="dxa"/>
                  <w:tcBorders>
                    <w:tl2br w:val="nil"/>
                    <w:tr2bl w:val="nil"/>
                  </w:tcBorders>
                  <w:vAlign w:val="center"/>
                </w:tcPr>
                <w:p w14:paraId="7BDA7FAA">
                  <w:pPr>
                    <w:pStyle w:val="31"/>
                    <w:rPr>
                      <w:sz w:val="21"/>
                    </w:rPr>
                  </w:pPr>
                  <w:r>
                    <w:rPr>
                      <w:sz w:val="21"/>
                    </w:rPr>
                    <w:t>1</w:t>
                  </w:r>
                  <w:r>
                    <w:rPr>
                      <w:rFonts w:hint="eastAsia"/>
                      <w:sz w:val="21"/>
                    </w:rPr>
                    <w:t>25.71</w:t>
                  </w:r>
                </w:p>
              </w:tc>
              <w:tc>
                <w:tcPr>
                  <w:tcW w:w="1104" w:type="dxa"/>
                  <w:tcBorders>
                    <w:tl2br w:val="nil"/>
                    <w:tr2bl w:val="nil"/>
                  </w:tcBorders>
                  <w:vAlign w:val="center"/>
                </w:tcPr>
                <w:p w14:paraId="6B1AA030">
                  <w:pPr>
                    <w:pStyle w:val="31"/>
                    <w:rPr>
                      <w:sz w:val="21"/>
                    </w:rPr>
                  </w:pPr>
                  <w:r>
                    <w:rPr>
                      <w:sz w:val="21"/>
                    </w:rPr>
                    <w:t>超标</w:t>
                  </w:r>
                </w:p>
              </w:tc>
            </w:tr>
            <w:tr w14:paraId="57A48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11B31C89">
                  <w:pPr>
                    <w:pStyle w:val="31"/>
                    <w:rPr>
                      <w:sz w:val="21"/>
                    </w:rPr>
                  </w:pPr>
                  <w:r>
                    <w:rPr>
                      <w:sz w:val="21"/>
                    </w:rPr>
                    <w:t>PM</w:t>
                  </w:r>
                  <w:r>
                    <w:rPr>
                      <w:sz w:val="21"/>
                      <w:vertAlign w:val="subscript"/>
                    </w:rPr>
                    <w:t>2.5</w:t>
                  </w:r>
                </w:p>
              </w:tc>
              <w:tc>
                <w:tcPr>
                  <w:tcW w:w="1813" w:type="dxa"/>
                  <w:tcBorders>
                    <w:tl2br w:val="nil"/>
                    <w:tr2bl w:val="nil"/>
                  </w:tcBorders>
                  <w:vAlign w:val="center"/>
                </w:tcPr>
                <w:p w14:paraId="1C0B8650">
                  <w:pPr>
                    <w:pStyle w:val="31"/>
                    <w:rPr>
                      <w:sz w:val="21"/>
                    </w:rPr>
                  </w:pPr>
                  <w:r>
                    <w:rPr>
                      <w:sz w:val="21"/>
                    </w:rPr>
                    <w:t>年平均质量浓度</w:t>
                  </w:r>
                </w:p>
              </w:tc>
              <w:tc>
                <w:tcPr>
                  <w:tcW w:w="1625" w:type="dxa"/>
                  <w:tcBorders>
                    <w:tl2br w:val="nil"/>
                    <w:tr2bl w:val="nil"/>
                  </w:tcBorders>
                  <w:vAlign w:val="center"/>
                </w:tcPr>
                <w:p w14:paraId="3DBF5983">
                  <w:pPr>
                    <w:pStyle w:val="31"/>
                    <w:rPr>
                      <w:sz w:val="21"/>
                    </w:rPr>
                  </w:pPr>
                  <w:r>
                    <w:rPr>
                      <w:rFonts w:hint="eastAsia"/>
                      <w:sz w:val="21"/>
                    </w:rPr>
                    <w:t>49</w:t>
                  </w:r>
                </w:p>
              </w:tc>
              <w:tc>
                <w:tcPr>
                  <w:tcW w:w="1579" w:type="dxa"/>
                  <w:tcBorders>
                    <w:tl2br w:val="nil"/>
                    <w:tr2bl w:val="nil"/>
                  </w:tcBorders>
                  <w:vAlign w:val="center"/>
                </w:tcPr>
                <w:p w14:paraId="1B657362">
                  <w:pPr>
                    <w:pStyle w:val="31"/>
                    <w:rPr>
                      <w:sz w:val="21"/>
                    </w:rPr>
                  </w:pPr>
                  <w:r>
                    <w:rPr>
                      <w:sz w:val="21"/>
                    </w:rPr>
                    <w:t>35</w:t>
                  </w:r>
                </w:p>
              </w:tc>
              <w:tc>
                <w:tcPr>
                  <w:tcW w:w="1305" w:type="dxa"/>
                  <w:tcBorders>
                    <w:tl2br w:val="nil"/>
                    <w:tr2bl w:val="nil"/>
                  </w:tcBorders>
                  <w:vAlign w:val="center"/>
                </w:tcPr>
                <w:p w14:paraId="27F0AC06">
                  <w:pPr>
                    <w:pStyle w:val="31"/>
                    <w:rPr>
                      <w:sz w:val="21"/>
                    </w:rPr>
                  </w:pPr>
                  <w:r>
                    <w:rPr>
                      <w:sz w:val="21"/>
                    </w:rPr>
                    <w:t>1</w:t>
                  </w:r>
                  <w:r>
                    <w:rPr>
                      <w:rFonts w:hint="eastAsia"/>
                      <w:sz w:val="21"/>
                    </w:rPr>
                    <w:t>40</w:t>
                  </w:r>
                </w:p>
              </w:tc>
              <w:tc>
                <w:tcPr>
                  <w:tcW w:w="1104" w:type="dxa"/>
                  <w:tcBorders>
                    <w:tl2br w:val="nil"/>
                    <w:tr2bl w:val="nil"/>
                  </w:tcBorders>
                  <w:vAlign w:val="center"/>
                </w:tcPr>
                <w:p w14:paraId="6E58D043">
                  <w:pPr>
                    <w:pStyle w:val="31"/>
                    <w:rPr>
                      <w:sz w:val="21"/>
                    </w:rPr>
                  </w:pPr>
                  <w:r>
                    <w:rPr>
                      <w:sz w:val="21"/>
                    </w:rPr>
                    <w:t>超标</w:t>
                  </w:r>
                </w:p>
              </w:tc>
            </w:tr>
            <w:tr w14:paraId="42279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16BBF7C5">
                  <w:pPr>
                    <w:pStyle w:val="31"/>
                    <w:rPr>
                      <w:sz w:val="21"/>
                    </w:rPr>
                  </w:pPr>
                  <w:r>
                    <w:rPr>
                      <w:sz w:val="21"/>
                    </w:rPr>
                    <w:t>CO</w:t>
                  </w:r>
                </w:p>
              </w:tc>
              <w:tc>
                <w:tcPr>
                  <w:tcW w:w="1813" w:type="dxa"/>
                  <w:tcBorders>
                    <w:tl2br w:val="nil"/>
                    <w:tr2bl w:val="nil"/>
                  </w:tcBorders>
                  <w:vAlign w:val="center"/>
                </w:tcPr>
                <w:p w14:paraId="3E705E0C">
                  <w:pPr>
                    <w:pStyle w:val="31"/>
                    <w:rPr>
                      <w:sz w:val="21"/>
                    </w:rPr>
                  </w:pPr>
                  <w:r>
                    <w:rPr>
                      <w:rFonts w:hint="eastAsia"/>
                      <w:sz w:val="21"/>
                    </w:rPr>
                    <w:t>日平均质量浓度</w:t>
                  </w:r>
                </w:p>
              </w:tc>
              <w:tc>
                <w:tcPr>
                  <w:tcW w:w="1625" w:type="dxa"/>
                  <w:tcBorders>
                    <w:tl2br w:val="nil"/>
                    <w:tr2bl w:val="nil"/>
                  </w:tcBorders>
                  <w:vAlign w:val="center"/>
                </w:tcPr>
                <w:p w14:paraId="78C5D4F1">
                  <w:pPr>
                    <w:pStyle w:val="31"/>
                    <w:rPr>
                      <w:sz w:val="21"/>
                    </w:rPr>
                  </w:pPr>
                  <w:r>
                    <w:rPr>
                      <w:rFonts w:hint="eastAsia"/>
                      <w:sz w:val="21"/>
                    </w:rPr>
                    <w:t>2500</w:t>
                  </w:r>
                </w:p>
              </w:tc>
              <w:tc>
                <w:tcPr>
                  <w:tcW w:w="1579" w:type="dxa"/>
                  <w:tcBorders>
                    <w:tl2br w:val="nil"/>
                    <w:tr2bl w:val="nil"/>
                  </w:tcBorders>
                  <w:vAlign w:val="center"/>
                </w:tcPr>
                <w:p w14:paraId="41E9F824">
                  <w:pPr>
                    <w:pStyle w:val="31"/>
                    <w:rPr>
                      <w:sz w:val="21"/>
                    </w:rPr>
                  </w:pPr>
                  <w:r>
                    <w:rPr>
                      <w:sz w:val="21"/>
                    </w:rPr>
                    <w:t>4000</w:t>
                  </w:r>
                </w:p>
              </w:tc>
              <w:tc>
                <w:tcPr>
                  <w:tcW w:w="1305" w:type="dxa"/>
                  <w:tcBorders>
                    <w:tl2br w:val="nil"/>
                    <w:tr2bl w:val="nil"/>
                  </w:tcBorders>
                  <w:vAlign w:val="center"/>
                </w:tcPr>
                <w:p w14:paraId="7FCDC5B4">
                  <w:pPr>
                    <w:pStyle w:val="31"/>
                    <w:rPr>
                      <w:sz w:val="21"/>
                    </w:rPr>
                  </w:pPr>
                  <w:r>
                    <w:rPr>
                      <w:rFonts w:hint="eastAsia"/>
                      <w:sz w:val="21"/>
                    </w:rPr>
                    <w:t>62.5</w:t>
                  </w:r>
                </w:p>
              </w:tc>
              <w:tc>
                <w:tcPr>
                  <w:tcW w:w="1104" w:type="dxa"/>
                  <w:tcBorders>
                    <w:tl2br w:val="nil"/>
                    <w:tr2bl w:val="nil"/>
                  </w:tcBorders>
                  <w:vAlign w:val="center"/>
                </w:tcPr>
                <w:p w14:paraId="5F2821AB">
                  <w:pPr>
                    <w:pStyle w:val="31"/>
                    <w:rPr>
                      <w:sz w:val="21"/>
                    </w:rPr>
                  </w:pPr>
                  <w:r>
                    <w:rPr>
                      <w:sz w:val="21"/>
                    </w:rPr>
                    <w:t>达标</w:t>
                  </w:r>
                </w:p>
              </w:tc>
            </w:tr>
            <w:tr w14:paraId="2B743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02" w:type="dxa"/>
                  <w:tcBorders>
                    <w:tl2br w:val="nil"/>
                    <w:tr2bl w:val="nil"/>
                  </w:tcBorders>
                  <w:vAlign w:val="center"/>
                </w:tcPr>
                <w:p w14:paraId="07132594">
                  <w:pPr>
                    <w:pStyle w:val="31"/>
                    <w:rPr>
                      <w:sz w:val="21"/>
                    </w:rPr>
                  </w:pPr>
                  <w:r>
                    <w:rPr>
                      <w:sz w:val="21"/>
                    </w:rPr>
                    <w:t>O</w:t>
                  </w:r>
                  <w:r>
                    <w:rPr>
                      <w:sz w:val="21"/>
                      <w:vertAlign w:val="subscript"/>
                    </w:rPr>
                    <w:t>3</w:t>
                  </w:r>
                </w:p>
              </w:tc>
              <w:tc>
                <w:tcPr>
                  <w:tcW w:w="1813" w:type="dxa"/>
                  <w:tcBorders>
                    <w:tl2br w:val="nil"/>
                    <w:tr2bl w:val="nil"/>
                  </w:tcBorders>
                  <w:vAlign w:val="center"/>
                </w:tcPr>
                <w:p w14:paraId="74564593">
                  <w:pPr>
                    <w:pStyle w:val="31"/>
                    <w:rPr>
                      <w:sz w:val="21"/>
                    </w:rPr>
                  </w:pPr>
                  <w:r>
                    <w:rPr>
                      <w:rFonts w:hint="eastAsia"/>
                      <w:sz w:val="21"/>
                    </w:rPr>
                    <w:t>日最大8h平均浓度</w:t>
                  </w:r>
                </w:p>
              </w:tc>
              <w:tc>
                <w:tcPr>
                  <w:tcW w:w="1625" w:type="dxa"/>
                  <w:tcBorders>
                    <w:tl2br w:val="nil"/>
                    <w:tr2bl w:val="nil"/>
                  </w:tcBorders>
                  <w:vAlign w:val="center"/>
                </w:tcPr>
                <w:p w14:paraId="712D88A1">
                  <w:pPr>
                    <w:pStyle w:val="31"/>
                    <w:rPr>
                      <w:sz w:val="21"/>
                    </w:rPr>
                  </w:pPr>
                  <w:r>
                    <w:rPr>
                      <w:rFonts w:hint="eastAsia"/>
                      <w:sz w:val="21"/>
                    </w:rPr>
                    <w:t>182</w:t>
                  </w:r>
                </w:p>
              </w:tc>
              <w:tc>
                <w:tcPr>
                  <w:tcW w:w="1579" w:type="dxa"/>
                  <w:tcBorders>
                    <w:tl2br w:val="nil"/>
                    <w:tr2bl w:val="nil"/>
                  </w:tcBorders>
                  <w:vAlign w:val="center"/>
                </w:tcPr>
                <w:p w14:paraId="5FD4D857">
                  <w:pPr>
                    <w:pStyle w:val="31"/>
                    <w:rPr>
                      <w:sz w:val="21"/>
                    </w:rPr>
                  </w:pPr>
                  <w:r>
                    <w:rPr>
                      <w:sz w:val="21"/>
                    </w:rPr>
                    <w:t>160</w:t>
                  </w:r>
                </w:p>
              </w:tc>
              <w:tc>
                <w:tcPr>
                  <w:tcW w:w="1305" w:type="dxa"/>
                  <w:tcBorders>
                    <w:tl2br w:val="nil"/>
                    <w:tr2bl w:val="nil"/>
                  </w:tcBorders>
                  <w:vAlign w:val="center"/>
                </w:tcPr>
                <w:p w14:paraId="6AF803F7">
                  <w:pPr>
                    <w:pStyle w:val="31"/>
                    <w:rPr>
                      <w:sz w:val="21"/>
                    </w:rPr>
                  </w:pPr>
                  <w:r>
                    <w:rPr>
                      <w:rFonts w:hint="eastAsia"/>
                      <w:sz w:val="21"/>
                    </w:rPr>
                    <w:t>113.75</w:t>
                  </w:r>
                </w:p>
              </w:tc>
              <w:tc>
                <w:tcPr>
                  <w:tcW w:w="1104" w:type="dxa"/>
                  <w:tcBorders>
                    <w:tl2br w:val="nil"/>
                    <w:tr2bl w:val="nil"/>
                  </w:tcBorders>
                  <w:vAlign w:val="center"/>
                </w:tcPr>
                <w:p w14:paraId="0C4597C8">
                  <w:pPr>
                    <w:pStyle w:val="31"/>
                    <w:rPr>
                      <w:sz w:val="21"/>
                    </w:rPr>
                  </w:pPr>
                  <w:r>
                    <w:rPr>
                      <w:sz w:val="21"/>
                    </w:rPr>
                    <w:t>超标</w:t>
                  </w:r>
                </w:p>
              </w:tc>
            </w:tr>
          </w:tbl>
          <w:p w14:paraId="1859BB9B">
            <w:pPr>
              <w:adjustRightInd w:val="0"/>
              <w:snapToGrid w:val="0"/>
              <w:ind w:firstLine="480"/>
              <w:rPr>
                <w:szCs w:val="21"/>
              </w:rPr>
            </w:pPr>
            <w:r>
              <w:rPr>
                <w:szCs w:val="21"/>
              </w:rPr>
              <w:t>由上表可知，SO</w:t>
            </w:r>
            <w:r>
              <w:rPr>
                <w:szCs w:val="21"/>
                <w:vertAlign w:val="subscript"/>
              </w:rPr>
              <w:t>2</w:t>
            </w:r>
            <w:r>
              <w:rPr>
                <w:szCs w:val="21"/>
              </w:rPr>
              <w:t>的年平均质量浓度达标，CO</w:t>
            </w:r>
            <w:r>
              <w:rPr>
                <w:rFonts w:hint="eastAsia"/>
                <w:szCs w:val="21"/>
              </w:rPr>
              <w:t>的日平均质量浓度</w:t>
            </w:r>
            <w:r>
              <w:rPr>
                <w:szCs w:val="21"/>
              </w:rPr>
              <w:t>达标，NO</w:t>
            </w:r>
            <w:r>
              <w:rPr>
                <w:szCs w:val="21"/>
                <w:vertAlign w:val="subscript"/>
              </w:rPr>
              <w:t>2</w:t>
            </w:r>
            <w:r>
              <w:rPr>
                <w:szCs w:val="21"/>
              </w:rPr>
              <w:t>、PM</w:t>
            </w:r>
            <w:r>
              <w:rPr>
                <w:szCs w:val="21"/>
                <w:vertAlign w:val="subscript"/>
              </w:rPr>
              <w:t>2.5</w:t>
            </w:r>
            <w:r>
              <w:rPr>
                <w:szCs w:val="21"/>
              </w:rPr>
              <w:t>、PM</w:t>
            </w:r>
            <w:r>
              <w:rPr>
                <w:szCs w:val="21"/>
                <w:vertAlign w:val="subscript"/>
              </w:rPr>
              <w:t>10</w:t>
            </w:r>
            <w:r>
              <w:rPr>
                <w:szCs w:val="21"/>
              </w:rPr>
              <w:t>的年平均质量浓度不达标，O</w:t>
            </w:r>
            <w:r>
              <w:rPr>
                <w:szCs w:val="21"/>
                <w:vertAlign w:val="subscript"/>
              </w:rPr>
              <w:t>3</w:t>
            </w:r>
            <w:r>
              <w:rPr>
                <w:szCs w:val="21"/>
              </w:rPr>
              <w:t>的</w:t>
            </w:r>
            <w:r>
              <w:rPr>
                <w:rFonts w:hint="eastAsia"/>
                <w:szCs w:val="21"/>
              </w:rPr>
              <w:t>日最大8h平均浓度</w:t>
            </w:r>
            <w:r>
              <w:rPr>
                <w:szCs w:val="21"/>
              </w:rPr>
              <w:t>不达标，故项目所在区域环境空气质量不达标，属于不达标区。</w:t>
            </w:r>
          </w:p>
          <w:p w14:paraId="2E1781BD">
            <w:pPr>
              <w:ind w:firstLine="480"/>
            </w:pPr>
            <w:r>
              <w:t>唐山市属于大气污染重点区域，监测数据客观的反映了唐山市环境空气质量的现状。分析超标原因为：随着唐山市工业的快速发展、能源消耗和机动车保有量的快速增长，排放的大量二氧化硫、氮氧化物与挥发性有机物导致细颗粒物等二次污染呈加剧态势。根据《建设生态唐山实现绿色发展工作方案》</w:t>
            </w:r>
            <w:r>
              <w:rPr>
                <w:rFonts w:hint="eastAsia"/>
              </w:rPr>
              <w:t>（</w:t>
            </w:r>
            <w:r>
              <w:t>唐办发[2018</w:t>
            </w:r>
            <w:r>
              <w:rPr>
                <w:rFonts w:hint="eastAsia"/>
                <w:lang w:val="en-US" w:eastAsia="zh-CN"/>
              </w:rPr>
              <w:t>]</w:t>
            </w:r>
            <w:r>
              <w:t>2号</w:t>
            </w:r>
            <w:r>
              <w:rPr>
                <w:rFonts w:hint="eastAsia"/>
              </w:rPr>
              <w:t>）</w:t>
            </w:r>
            <w:r>
              <w:t>、《唐山市</w:t>
            </w:r>
            <w:r>
              <w:rPr>
                <w:rFonts w:hint="eastAsia" w:ascii="宋体" w:hAnsi="宋体" w:cs="宋体"/>
              </w:rPr>
              <w:t>“退出后十”大</w:t>
            </w:r>
            <w:r>
              <w:t>气污染防治工作实施方案》可知，通过调整优化产业结构、能源结构，深入开展大气污染治理攻坚行动，切实改善环境空气质量，通过控制扬尘污染、削减燃煤总量、控制机动车污染和严把燃煤质量关等方面的行动，项目所在区域</w:t>
            </w:r>
            <w:r>
              <w:rPr>
                <w:rFonts w:hint="eastAsia"/>
              </w:rPr>
              <w:t>环境空气质量</w:t>
            </w:r>
            <w:r>
              <w:t>将会逐步得到改善。</w:t>
            </w:r>
          </w:p>
          <w:p w14:paraId="0A1F6790">
            <w:pPr>
              <w:ind w:firstLine="480"/>
            </w:pPr>
            <w:r>
              <w:rPr>
                <w:rFonts w:hint="eastAsia"/>
              </w:rPr>
              <w:t>2、</w:t>
            </w:r>
            <w:r>
              <w:t>项目所在区域污染物环境质量现状</w:t>
            </w:r>
          </w:p>
          <w:p w14:paraId="589967A7">
            <w:pPr>
              <w:ind w:firstLine="480"/>
            </w:pPr>
            <w:r>
              <w:rPr>
                <w:rFonts w:hint="eastAsia"/>
              </w:rPr>
              <w:t>（1）</w:t>
            </w:r>
            <w:r>
              <w:t>基本污染物环境质量现状评价</w:t>
            </w:r>
          </w:p>
          <w:p w14:paraId="144ECEFF">
            <w:pPr>
              <w:widowControl/>
              <w:ind w:firstLine="480"/>
              <w:rPr>
                <w:szCs w:val="21"/>
              </w:rPr>
            </w:pPr>
            <w:r>
              <w:rPr>
                <w:rFonts w:hint="eastAsia"/>
                <w:szCs w:val="21"/>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w:t>
            </w:r>
            <w:r>
              <w:rPr>
                <w:rFonts w:ascii="脣脦脤氓" w:hAnsi="脣脦脤氓" w:eastAsia="脣脦脤氓" w:cs="脣脦脤氓"/>
                <w:color w:val="000000"/>
                <w:kern w:val="0"/>
                <w:sz w:val="25"/>
                <w:szCs w:val="25"/>
              </w:rPr>
              <w:t>本次评价对项目所在区域附近例行监测点常规污染物监测数据进行了统计分析</w:t>
            </w:r>
            <w:r>
              <w:rPr>
                <w:rFonts w:hint="eastAsia"/>
                <w:szCs w:val="21"/>
              </w:rPr>
              <w:t>。</w:t>
            </w:r>
          </w:p>
          <w:p w14:paraId="71D4489B">
            <w:pPr>
              <w:ind w:firstLine="480"/>
            </w:pPr>
            <w:r>
              <w:t>根据《环境空气质量评价技术规范（试行）》（HJ663-2013）中的统计方法进行统计，统计结果见下表。</w:t>
            </w:r>
          </w:p>
          <w:p w14:paraId="1B4A3D0E">
            <w:pPr>
              <w:spacing w:line="360" w:lineRule="auto"/>
              <w:ind w:firstLine="0" w:firstLineChars="0"/>
              <w:jc w:val="center"/>
              <w:rPr>
                <w:b/>
                <w:bCs/>
                <w:sz w:val="21"/>
                <w:szCs w:val="21"/>
              </w:rPr>
            </w:pPr>
            <w:r>
              <w:rPr>
                <w:b/>
                <w:bCs/>
                <w:sz w:val="21"/>
                <w:szCs w:val="21"/>
              </w:rPr>
              <w:t>表</w:t>
            </w:r>
            <w:r>
              <w:rPr>
                <w:rFonts w:hint="eastAsia"/>
                <w:b/>
                <w:bCs/>
                <w:sz w:val="21"/>
                <w:szCs w:val="21"/>
              </w:rPr>
              <w:t xml:space="preserve">3-2  </w:t>
            </w:r>
            <w:r>
              <w:rPr>
                <w:b/>
                <w:bCs/>
                <w:sz w:val="21"/>
                <w:szCs w:val="21"/>
              </w:rPr>
              <w:t>基本污染物环境质量现状</w:t>
            </w:r>
            <w:r>
              <w:rPr>
                <w:rFonts w:hint="eastAsia"/>
                <w:b/>
                <w:bCs/>
                <w:sz w:val="21"/>
                <w:szCs w:val="21"/>
              </w:rPr>
              <w:t>一览表</w:t>
            </w:r>
          </w:p>
          <w:tbl>
            <w:tblPr>
              <w:tblStyle w:val="22"/>
              <w:tblW w:w="81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84"/>
              <w:gridCol w:w="780"/>
              <w:gridCol w:w="1524"/>
              <w:gridCol w:w="859"/>
              <w:gridCol w:w="973"/>
              <w:gridCol w:w="1077"/>
              <w:gridCol w:w="525"/>
              <w:gridCol w:w="900"/>
              <w:gridCol w:w="600"/>
            </w:tblGrid>
            <w:tr w14:paraId="2F89E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tcBorders>
                    <w:tl2br w:val="nil"/>
                    <w:tr2bl w:val="nil"/>
                  </w:tcBorders>
                  <w:vAlign w:val="center"/>
                </w:tcPr>
                <w:p w14:paraId="18C77E98">
                  <w:pPr>
                    <w:pStyle w:val="41"/>
                    <w:widowControl w:val="0"/>
                    <w:spacing w:line="240" w:lineRule="auto"/>
                    <w:ind w:firstLine="0" w:firstLineChars="0"/>
                    <w:rPr>
                      <w:szCs w:val="21"/>
                    </w:rPr>
                  </w:pPr>
                  <w:r>
                    <w:rPr>
                      <w:szCs w:val="21"/>
                    </w:rPr>
                    <w:t>点位名称</w:t>
                  </w:r>
                </w:p>
              </w:tc>
              <w:tc>
                <w:tcPr>
                  <w:tcW w:w="780" w:type="dxa"/>
                  <w:tcBorders>
                    <w:tl2br w:val="nil"/>
                    <w:tr2bl w:val="nil"/>
                  </w:tcBorders>
                  <w:vAlign w:val="center"/>
                </w:tcPr>
                <w:p w14:paraId="4AFE466F">
                  <w:pPr>
                    <w:pStyle w:val="41"/>
                    <w:widowControl w:val="0"/>
                    <w:spacing w:line="240" w:lineRule="auto"/>
                    <w:ind w:firstLine="0" w:firstLineChars="0"/>
                    <w:rPr>
                      <w:szCs w:val="21"/>
                    </w:rPr>
                  </w:pPr>
                  <w:r>
                    <w:rPr>
                      <w:szCs w:val="21"/>
                    </w:rPr>
                    <w:t>污染物</w:t>
                  </w:r>
                </w:p>
              </w:tc>
              <w:tc>
                <w:tcPr>
                  <w:tcW w:w="1524" w:type="dxa"/>
                  <w:tcBorders>
                    <w:tl2br w:val="nil"/>
                    <w:tr2bl w:val="nil"/>
                  </w:tcBorders>
                  <w:vAlign w:val="center"/>
                </w:tcPr>
                <w:p w14:paraId="26BC2703">
                  <w:pPr>
                    <w:pStyle w:val="41"/>
                    <w:widowControl w:val="0"/>
                    <w:spacing w:line="240" w:lineRule="auto"/>
                    <w:ind w:firstLine="0" w:firstLineChars="0"/>
                    <w:rPr>
                      <w:szCs w:val="21"/>
                    </w:rPr>
                  </w:pPr>
                  <w:r>
                    <w:rPr>
                      <w:szCs w:val="21"/>
                    </w:rPr>
                    <w:t>年评价指标</w:t>
                  </w:r>
                </w:p>
              </w:tc>
              <w:tc>
                <w:tcPr>
                  <w:tcW w:w="859" w:type="dxa"/>
                  <w:tcBorders>
                    <w:tl2br w:val="nil"/>
                    <w:tr2bl w:val="nil"/>
                  </w:tcBorders>
                  <w:vAlign w:val="center"/>
                </w:tcPr>
                <w:p w14:paraId="3DCD73CA">
                  <w:pPr>
                    <w:pStyle w:val="41"/>
                    <w:widowControl w:val="0"/>
                    <w:spacing w:line="240" w:lineRule="auto"/>
                    <w:ind w:firstLine="0" w:firstLineChars="0"/>
                    <w:rPr>
                      <w:szCs w:val="21"/>
                    </w:rPr>
                  </w:pPr>
                  <w:r>
                    <w:rPr>
                      <w:szCs w:val="21"/>
                    </w:rPr>
                    <w:t>评价标准</w:t>
                  </w:r>
                  <w:r>
                    <w:rPr>
                      <w:rFonts w:hint="eastAsia"/>
                      <w:szCs w:val="21"/>
                    </w:rPr>
                    <w:t>(</w:t>
                  </w:r>
                  <w:r>
                    <w:rPr>
                      <w:szCs w:val="21"/>
                    </w:rPr>
                    <w:t>μg/m</w:t>
                  </w:r>
                  <w:r>
                    <w:rPr>
                      <w:szCs w:val="21"/>
                      <w:vertAlign w:val="superscript"/>
                    </w:rPr>
                    <w:t>3</w:t>
                  </w:r>
                  <w:r>
                    <w:rPr>
                      <w:rFonts w:hint="eastAsia"/>
                      <w:szCs w:val="21"/>
                    </w:rPr>
                    <w:t>)</w:t>
                  </w:r>
                </w:p>
              </w:tc>
              <w:tc>
                <w:tcPr>
                  <w:tcW w:w="973" w:type="dxa"/>
                  <w:tcBorders>
                    <w:tl2br w:val="nil"/>
                    <w:tr2bl w:val="nil"/>
                  </w:tcBorders>
                  <w:vAlign w:val="center"/>
                </w:tcPr>
                <w:p w14:paraId="549A1144">
                  <w:pPr>
                    <w:pStyle w:val="41"/>
                    <w:widowControl w:val="0"/>
                    <w:spacing w:line="240" w:lineRule="auto"/>
                    <w:ind w:firstLine="0" w:firstLineChars="0"/>
                    <w:rPr>
                      <w:szCs w:val="21"/>
                    </w:rPr>
                  </w:pPr>
                  <w:r>
                    <w:rPr>
                      <w:szCs w:val="21"/>
                    </w:rPr>
                    <w:t>现状浓度（μg/m</w:t>
                  </w:r>
                  <w:r>
                    <w:rPr>
                      <w:szCs w:val="21"/>
                      <w:vertAlign w:val="superscript"/>
                    </w:rPr>
                    <w:t>3</w:t>
                  </w:r>
                  <w:r>
                    <w:rPr>
                      <w:szCs w:val="21"/>
                    </w:rPr>
                    <w:t>）</w:t>
                  </w:r>
                </w:p>
              </w:tc>
              <w:tc>
                <w:tcPr>
                  <w:tcW w:w="1077" w:type="dxa"/>
                  <w:tcBorders>
                    <w:tl2br w:val="nil"/>
                    <w:tr2bl w:val="nil"/>
                  </w:tcBorders>
                  <w:vAlign w:val="center"/>
                </w:tcPr>
                <w:p w14:paraId="2AF6E026">
                  <w:pPr>
                    <w:pStyle w:val="41"/>
                    <w:widowControl w:val="0"/>
                    <w:spacing w:line="240" w:lineRule="auto"/>
                    <w:ind w:firstLine="0" w:firstLineChars="0"/>
                    <w:rPr>
                      <w:szCs w:val="21"/>
                    </w:rPr>
                  </w:pPr>
                  <w:r>
                    <w:rPr>
                      <w:szCs w:val="21"/>
                    </w:rPr>
                    <w:t>最大浓度占标率</w:t>
                  </w:r>
                  <w:r>
                    <w:rPr>
                      <w:rFonts w:hint="eastAsia"/>
                      <w:szCs w:val="21"/>
                    </w:rPr>
                    <w:t>（</w:t>
                  </w:r>
                  <w:r>
                    <w:rPr>
                      <w:szCs w:val="21"/>
                    </w:rPr>
                    <w:t>%</w:t>
                  </w:r>
                  <w:r>
                    <w:rPr>
                      <w:rFonts w:hint="eastAsia"/>
                      <w:szCs w:val="21"/>
                    </w:rPr>
                    <w:t>）</w:t>
                  </w:r>
                </w:p>
              </w:tc>
              <w:tc>
                <w:tcPr>
                  <w:tcW w:w="525" w:type="dxa"/>
                  <w:tcBorders>
                    <w:tl2br w:val="nil"/>
                    <w:tr2bl w:val="nil"/>
                  </w:tcBorders>
                  <w:vAlign w:val="center"/>
                </w:tcPr>
                <w:p w14:paraId="49224067">
                  <w:pPr>
                    <w:pStyle w:val="41"/>
                    <w:widowControl w:val="0"/>
                    <w:spacing w:line="240" w:lineRule="auto"/>
                    <w:ind w:firstLine="0" w:firstLineChars="0"/>
                    <w:rPr>
                      <w:szCs w:val="21"/>
                    </w:rPr>
                  </w:pPr>
                  <w:r>
                    <w:rPr>
                      <w:rFonts w:hint="eastAsia"/>
                      <w:szCs w:val="21"/>
                    </w:rPr>
                    <w:t>超标倍数</w:t>
                  </w:r>
                </w:p>
              </w:tc>
              <w:tc>
                <w:tcPr>
                  <w:tcW w:w="900" w:type="dxa"/>
                  <w:tcBorders>
                    <w:tl2br w:val="nil"/>
                    <w:tr2bl w:val="nil"/>
                  </w:tcBorders>
                  <w:vAlign w:val="center"/>
                </w:tcPr>
                <w:p w14:paraId="4BE2989C">
                  <w:pPr>
                    <w:pStyle w:val="41"/>
                    <w:widowControl w:val="0"/>
                    <w:spacing w:line="240" w:lineRule="auto"/>
                    <w:ind w:firstLine="0" w:firstLineChars="0"/>
                    <w:rPr>
                      <w:szCs w:val="21"/>
                    </w:rPr>
                  </w:pPr>
                  <w:r>
                    <w:rPr>
                      <w:szCs w:val="21"/>
                    </w:rPr>
                    <w:t>超标频率</w:t>
                  </w:r>
                  <w:r>
                    <w:rPr>
                      <w:rFonts w:hint="eastAsia"/>
                      <w:szCs w:val="21"/>
                    </w:rPr>
                    <w:t>（</w:t>
                  </w:r>
                  <w:r>
                    <w:rPr>
                      <w:szCs w:val="21"/>
                    </w:rPr>
                    <w:t>%</w:t>
                  </w:r>
                  <w:r>
                    <w:rPr>
                      <w:rFonts w:hint="eastAsia"/>
                      <w:szCs w:val="21"/>
                    </w:rPr>
                    <w:t>）</w:t>
                  </w:r>
                </w:p>
              </w:tc>
              <w:tc>
                <w:tcPr>
                  <w:tcW w:w="600" w:type="dxa"/>
                  <w:tcBorders>
                    <w:tl2br w:val="nil"/>
                    <w:tr2bl w:val="nil"/>
                  </w:tcBorders>
                  <w:vAlign w:val="center"/>
                </w:tcPr>
                <w:p w14:paraId="7B4FEB13">
                  <w:pPr>
                    <w:pStyle w:val="41"/>
                    <w:widowControl w:val="0"/>
                    <w:spacing w:line="240" w:lineRule="auto"/>
                    <w:ind w:firstLine="0" w:firstLineChars="0"/>
                    <w:rPr>
                      <w:szCs w:val="21"/>
                    </w:rPr>
                  </w:pPr>
                  <w:r>
                    <w:rPr>
                      <w:szCs w:val="21"/>
                    </w:rPr>
                    <w:t>达标情况</w:t>
                  </w:r>
                </w:p>
              </w:tc>
            </w:tr>
            <w:tr w14:paraId="3D4EB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restart"/>
                  <w:tcBorders>
                    <w:tl2br w:val="nil"/>
                    <w:tr2bl w:val="nil"/>
                  </w:tcBorders>
                  <w:vAlign w:val="center"/>
                </w:tcPr>
                <w:p w14:paraId="3EB32AC7">
                  <w:pPr>
                    <w:widowControl/>
                    <w:spacing w:line="240" w:lineRule="auto"/>
                    <w:ind w:firstLine="0" w:firstLineChars="0"/>
                    <w:jc w:val="center"/>
                    <w:textAlignment w:val="center"/>
                    <w:rPr>
                      <w:sz w:val="21"/>
                      <w:szCs w:val="21"/>
                    </w:rPr>
                  </w:pPr>
                  <w:r>
                    <w:rPr>
                      <w:rFonts w:hint="eastAsia"/>
                      <w:sz w:val="21"/>
                      <w:szCs w:val="21"/>
                    </w:rPr>
                    <w:t>高新区环境空气质量例行监测点（监测点坐标2116，-2404）</w:t>
                  </w:r>
                </w:p>
              </w:tc>
              <w:tc>
                <w:tcPr>
                  <w:tcW w:w="780" w:type="dxa"/>
                  <w:vMerge w:val="restart"/>
                  <w:tcBorders>
                    <w:tl2br w:val="nil"/>
                    <w:tr2bl w:val="nil"/>
                  </w:tcBorders>
                  <w:vAlign w:val="center"/>
                </w:tcPr>
                <w:p w14:paraId="76D49E37">
                  <w:pPr>
                    <w:pStyle w:val="41"/>
                    <w:widowControl w:val="0"/>
                    <w:spacing w:line="240" w:lineRule="auto"/>
                    <w:ind w:firstLine="0" w:firstLineChars="0"/>
                    <w:rPr>
                      <w:szCs w:val="21"/>
                    </w:rPr>
                  </w:pPr>
                  <w:r>
                    <w:rPr>
                      <w:szCs w:val="21"/>
                    </w:rPr>
                    <w:t>SO</w:t>
                  </w:r>
                  <w:r>
                    <w:rPr>
                      <w:szCs w:val="21"/>
                      <w:vertAlign w:val="subscript"/>
                    </w:rPr>
                    <w:t>2</w:t>
                  </w:r>
                </w:p>
              </w:tc>
              <w:tc>
                <w:tcPr>
                  <w:tcW w:w="1524" w:type="dxa"/>
                  <w:tcBorders>
                    <w:tl2br w:val="nil"/>
                    <w:tr2bl w:val="nil"/>
                  </w:tcBorders>
                  <w:vAlign w:val="center"/>
                </w:tcPr>
                <w:p w14:paraId="45BC8A41">
                  <w:pPr>
                    <w:pStyle w:val="41"/>
                    <w:widowControl w:val="0"/>
                    <w:spacing w:line="240" w:lineRule="auto"/>
                    <w:ind w:firstLine="0" w:firstLineChars="0"/>
                    <w:rPr>
                      <w:szCs w:val="21"/>
                    </w:rPr>
                  </w:pPr>
                  <w:r>
                    <w:rPr>
                      <w:szCs w:val="21"/>
                    </w:rPr>
                    <w:t>年平均质量浓度</w:t>
                  </w:r>
                </w:p>
              </w:tc>
              <w:tc>
                <w:tcPr>
                  <w:tcW w:w="859" w:type="dxa"/>
                  <w:tcBorders>
                    <w:tl2br w:val="nil"/>
                    <w:tr2bl w:val="nil"/>
                  </w:tcBorders>
                  <w:vAlign w:val="center"/>
                </w:tcPr>
                <w:p w14:paraId="519CB6CC">
                  <w:pPr>
                    <w:pStyle w:val="41"/>
                    <w:widowControl w:val="0"/>
                    <w:spacing w:line="240" w:lineRule="auto"/>
                    <w:ind w:firstLine="0" w:firstLineChars="0"/>
                    <w:rPr>
                      <w:szCs w:val="21"/>
                    </w:rPr>
                  </w:pPr>
                  <w:r>
                    <w:rPr>
                      <w:rFonts w:hint="eastAsia"/>
                      <w:szCs w:val="21"/>
                    </w:rPr>
                    <w:t>60</w:t>
                  </w:r>
                </w:p>
              </w:tc>
              <w:tc>
                <w:tcPr>
                  <w:tcW w:w="973" w:type="dxa"/>
                  <w:tcBorders>
                    <w:tl2br w:val="nil"/>
                    <w:tr2bl w:val="nil"/>
                  </w:tcBorders>
                  <w:vAlign w:val="center"/>
                </w:tcPr>
                <w:p w14:paraId="530418B0">
                  <w:pPr>
                    <w:pStyle w:val="41"/>
                    <w:widowControl w:val="0"/>
                    <w:spacing w:line="240" w:lineRule="auto"/>
                    <w:ind w:firstLine="0" w:firstLineChars="0"/>
                    <w:rPr>
                      <w:szCs w:val="21"/>
                    </w:rPr>
                  </w:pPr>
                  <w:r>
                    <w:rPr>
                      <w:rFonts w:hint="eastAsia"/>
                      <w:szCs w:val="21"/>
                    </w:rPr>
                    <w:t>20.4</w:t>
                  </w:r>
                </w:p>
              </w:tc>
              <w:tc>
                <w:tcPr>
                  <w:tcW w:w="1077" w:type="dxa"/>
                  <w:tcBorders>
                    <w:tl2br w:val="nil"/>
                    <w:tr2bl w:val="nil"/>
                  </w:tcBorders>
                  <w:vAlign w:val="center"/>
                </w:tcPr>
                <w:p w14:paraId="5AB7DEC8">
                  <w:pPr>
                    <w:widowControl/>
                    <w:spacing w:line="240" w:lineRule="auto"/>
                    <w:ind w:firstLine="0" w:firstLineChars="0"/>
                    <w:jc w:val="center"/>
                    <w:rPr>
                      <w:sz w:val="21"/>
                      <w:szCs w:val="21"/>
                    </w:rPr>
                  </w:pPr>
                  <w:r>
                    <w:rPr>
                      <w:rFonts w:hint="eastAsia"/>
                      <w:sz w:val="21"/>
                      <w:szCs w:val="21"/>
                    </w:rPr>
                    <w:t>34.06</w:t>
                  </w:r>
                </w:p>
              </w:tc>
              <w:tc>
                <w:tcPr>
                  <w:tcW w:w="525" w:type="dxa"/>
                  <w:tcBorders>
                    <w:tl2br w:val="nil"/>
                    <w:tr2bl w:val="nil"/>
                  </w:tcBorders>
                  <w:vAlign w:val="center"/>
                </w:tcPr>
                <w:p w14:paraId="3BC07211">
                  <w:pPr>
                    <w:widowControl/>
                    <w:spacing w:line="240" w:lineRule="auto"/>
                    <w:ind w:firstLine="0" w:firstLineChars="0"/>
                    <w:jc w:val="center"/>
                    <w:rPr>
                      <w:sz w:val="21"/>
                      <w:szCs w:val="21"/>
                    </w:rPr>
                  </w:pPr>
                  <w:r>
                    <w:rPr>
                      <w:rFonts w:hint="eastAsia"/>
                      <w:sz w:val="21"/>
                      <w:szCs w:val="21"/>
                    </w:rPr>
                    <w:t>-</w:t>
                  </w:r>
                </w:p>
              </w:tc>
              <w:tc>
                <w:tcPr>
                  <w:tcW w:w="900" w:type="dxa"/>
                  <w:tcBorders>
                    <w:tl2br w:val="nil"/>
                    <w:tr2bl w:val="nil"/>
                  </w:tcBorders>
                  <w:vAlign w:val="center"/>
                </w:tcPr>
                <w:p w14:paraId="2C2903C6">
                  <w:pPr>
                    <w:pStyle w:val="41"/>
                    <w:widowControl w:val="0"/>
                    <w:spacing w:line="240" w:lineRule="auto"/>
                    <w:ind w:firstLine="0" w:firstLineChars="0"/>
                    <w:rPr>
                      <w:szCs w:val="21"/>
                    </w:rPr>
                  </w:pPr>
                  <w:r>
                    <w:rPr>
                      <w:rFonts w:hint="eastAsia"/>
                      <w:szCs w:val="21"/>
                    </w:rPr>
                    <w:t>-</w:t>
                  </w:r>
                </w:p>
              </w:tc>
              <w:tc>
                <w:tcPr>
                  <w:tcW w:w="600" w:type="dxa"/>
                  <w:vMerge w:val="restart"/>
                  <w:tcBorders>
                    <w:tl2br w:val="nil"/>
                    <w:tr2bl w:val="nil"/>
                  </w:tcBorders>
                  <w:vAlign w:val="center"/>
                </w:tcPr>
                <w:p w14:paraId="1571DCD3">
                  <w:pPr>
                    <w:pStyle w:val="41"/>
                    <w:widowControl w:val="0"/>
                    <w:spacing w:line="240" w:lineRule="auto"/>
                    <w:ind w:firstLine="0" w:firstLineChars="0"/>
                    <w:rPr>
                      <w:szCs w:val="21"/>
                    </w:rPr>
                  </w:pPr>
                  <w:r>
                    <w:rPr>
                      <w:rFonts w:hint="eastAsia"/>
                      <w:szCs w:val="21"/>
                    </w:rPr>
                    <w:t>达标</w:t>
                  </w:r>
                </w:p>
              </w:tc>
            </w:tr>
            <w:tr w14:paraId="37778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73AEAED0">
                  <w:pPr>
                    <w:widowControl/>
                    <w:spacing w:line="240" w:lineRule="auto"/>
                    <w:ind w:firstLine="0" w:firstLineChars="0"/>
                    <w:jc w:val="center"/>
                    <w:textAlignment w:val="center"/>
                    <w:rPr>
                      <w:sz w:val="21"/>
                      <w:szCs w:val="21"/>
                    </w:rPr>
                  </w:pPr>
                </w:p>
              </w:tc>
              <w:tc>
                <w:tcPr>
                  <w:tcW w:w="780" w:type="dxa"/>
                  <w:vMerge w:val="continue"/>
                  <w:tcBorders>
                    <w:tl2br w:val="nil"/>
                    <w:tr2bl w:val="nil"/>
                  </w:tcBorders>
                  <w:vAlign w:val="center"/>
                </w:tcPr>
                <w:p w14:paraId="781B30D7">
                  <w:pPr>
                    <w:widowControl/>
                    <w:spacing w:line="240" w:lineRule="auto"/>
                    <w:ind w:firstLine="0" w:firstLineChars="0"/>
                    <w:jc w:val="center"/>
                    <w:rPr>
                      <w:sz w:val="21"/>
                      <w:szCs w:val="21"/>
                    </w:rPr>
                  </w:pPr>
                </w:p>
              </w:tc>
              <w:tc>
                <w:tcPr>
                  <w:tcW w:w="1524" w:type="dxa"/>
                  <w:tcBorders>
                    <w:tl2br w:val="nil"/>
                    <w:tr2bl w:val="nil"/>
                  </w:tcBorders>
                  <w:vAlign w:val="center"/>
                </w:tcPr>
                <w:p w14:paraId="13123C56">
                  <w:pPr>
                    <w:pStyle w:val="41"/>
                    <w:widowControl w:val="0"/>
                    <w:spacing w:line="240" w:lineRule="auto"/>
                    <w:ind w:firstLine="0" w:firstLineChars="0"/>
                    <w:rPr>
                      <w:szCs w:val="21"/>
                    </w:rPr>
                  </w:pPr>
                  <w:r>
                    <w:rPr>
                      <w:szCs w:val="21"/>
                    </w:rPr>
                    <w:t>24小时平均第98百分位数</w:t>
                  </w:r>
                </w:p>
              </w:tc>
              <w:tc>
                <w:tcPr>
                  <w:tcW w:w="859" w:type="dxa"/>
                  <w:tcBorders>
                    <w:tl2br w:val="nil"/>
                    <w:tr2bl w:val="nil"/>
                  </w:tcBorders>
                  <w:vAlign w:val="center"/>
                </w:tcPr>
                <w:p w14:paraId="401BEDB7">
                  <w:pPr>
                    <w:pStyle w:val="41"/>
                    <w:widowControl w:val="0"/>
                    <w:spacing w:line="240" w:lineRule="auto"/>
                    <w:ind w:firstLine="0" w:firstLineChars="0"/>
                    <w:rPr>
                      <w:szCs w:val="21"/>
                    </w:rPr>
                  </w:pPr>
                  <w:r>
                    <w:rPr>
                      <w:rFonts w:hint="eastAsia"/>
                      <w:szCs w:val="21"/>
                    </w:rPr>
                    <w:t>150</w:t>
                  </w:r>
                </w:p>
              </w:tc>
              <w:tc>
                <w:tcPr>
                  <w:tcW w:w="973" w:type="dxa"/>
                  <w:tcBorders>
                    <w:tl2br w:val="nil"/>
                    <w:tr2bl w:val="nil"/>
                  </w:tcBorders>
                  <w:vAlign w:val="center"/>
                </w:tcPr>
                <w:p w14:paraId="26B28EA2">
                  <w:pPr>
                    <w:pStyle w:val="41"/>
                    <w:widowControl w:val="0"/>
                    <w:spacing w:line="240" w:lineRule="auto"/>
                    <w:ind w:firstLine="0" w:firstLineChars="0"/>
                    <w:rPr>
                      <w:kern w:val="0"/>
                      <w:szCs w:val="21"/>
                    </w:rPr>
                  </w:pPr>
                  <w:r>
                    <w:rPr>
                      <w:rFonts w:hint="eastAsia"/>
                      <w:kern w:val="0"/>
                      <w:szCs w:val="21"/>
                    </w:rPr>
                    <w:t>53.0</w:t>
                  </w:r>
                </w:p>
              </w:tc>
              <w:tc>
                <w:tcPr>
                  <w:tcW w:w="1077" w:type="dxa"/>
                  <w:tcBorders>
                    <w:tl2br w:val="nil"/>
                    <w:tr2bl w:val="nil"/>
                  </w:tcBorders>
                  <w:vAlign w:val="center"/>
                </w:tcPr>
                <w:p w14:paraId="15EF0D31">
                  <w:pPr>
                    <w:spacing w:line="240" w:lineRule="auto"/>
                    <w:ind w:firstLine="0" w:firstLineChars="0"/>
                    <w:jc w:val="center"/>
                    <w:rPr>
                      <w:sz w:val="21"/>
                      <w:szCs w:val="21"/>
                    </w:rPr>
                  </w:pPr>
                  <w:r>
                    <w:rPr>
                      <w:rFonts w:hint="eastAsia"/>
                      <w:sz w:val="21"/>
                      <w:szCs w:val="21"/>
                    </w:rPr>
                    <w:t>35.33</w:t>
                  </w:r>
                </w:p>
              </w:tc>
              <w:tc>
                <w:tcPr>
                  <w:tcW w:w="525" w:type="dxa"/>
                  <w:tcBorders>
                    <w:tl2br w:val="nil"/>
                    <w:tr2bl w:val="nil"/>
                  </w:tcBorders>
                  <w:vAlign w:val="center"/>
                </w:tcPr>
                <w:p w14:paraId="4F636C1D">
                  <w:pPr>
                    <w:spacing w:line="240" w:lineRule="auto"/>
                    <w:ind w:firstLine="0" w:firstLineChars="0"/>
                    <w:jc w:val="center"/>
                    <w:rPr>
                      <w:sz w:val="21"/>
                      <w:szCs w:val="21"/>
                    </w:rPr>
                  </w:pPr>
                  <w:r>
                    <w:rPr>
                      <w:rFonts w:hint="eastAsia"/>
                      <w:sz w:val="21"/>
                      <w:szCs w:val="21"/>
                    </w:rPr>
                    <w:t>-</w:t>
                  </w:r>
                </w:p>
              </w:tc>
              <w:tc>
                <w:tcPr>
                  <w:tcW w:w="900" w:type="dxa"/>
                  <w:tcBorders>
                    <w:tl2br w:val="nil"/>
                    <w:tr2bl w:val="nil"/>
                  </w:tcBorders>
                  <w:vAlign w:val="center"/>
                </w:tcPr>
                <w:p w14:paraId="4658B267">
                  <w:pPr>
                    <w:pStyle w:val="41"/>
                    <w:widowControl w:val="0"/>
                    <w:spacing w:line="240" w:lineRule="auto"/>
                    <w:ind w:firstLine="0" w:firstLineChars="0"/>
                    <w:rPr>
                      <w:szCs w:val="21"/>
                    </w:rPr>
                  </w:pPr>
                  <w:r>
                    <w:rPr>
                      <w:rFonts w:hint="eastAsia"/>
                      <w:szCs w:val="21"/>
                    </w:rPr>
                    <w:t>0</w:t>
                  </w:r>
                </w:p>
              </w:tc>
              <w:tc>
                <w:tcPr>
                  <w:tcW w:w="600" w:type="dxa"/>
                  <w:vMerge w:val="continue"/>
                  <w:tcBorders>
                    <w:tl2br w:val="nil"/>
                    <w:tr2bl w:val="nil"/>
                  </w:tcBorders>
                  <w:vAlign w:val="center"/>
                </w:tcPr>
                <w:p w14:paraId="6EB26105">
                  <w:pPr>
                    <w:pStyle w:val="41"/>
                    <w:widowControl w:val="0"/>
                    <w:spacing w:line="240" w:lineRule="auto"/>
                    <w:ind w:firstLine="0" w:firstLineChars="0"/>
                    <w:rPr>
                      <w:szCs w:val="21"/>
                    </w:rPr>
                  </w:pPr>
                </w:p>
              </w:tc>
            </w:tr>
            <w:tr w14:paraId="5427E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3E573722">
                  <w:pPr>
                    <w:widowControl/>
                    <w:spacing w:line="240" w:lineRule="auto"/>
                    <w:ind w:firstLine="0" w:firstLineChars="0"/>
                    <w:jc w:val="center"/>
                    <w:textAlignment w:val="center"/>
                    <w:rPr>
                      <w:sz w:val="21"/>
                      <w:szCs w:val="21"/>
                    </w:rPr>
                  </w:pPr>
                </w:p>
              </w:tc>
              <w:tc>
                <w:tcPr>
                  <w:tcW w:w="780" w:type="dxa"/>
                  <w:tcBorders>
                    <w:tl2br w:val="nil"/>
                    <w:tr2bl w:val="nil"/>
                  </w:tcBorders>
                  <w:vAlign w:val="center"/>
                </w:tcPr>
                <w:p w14:paraId="53D3F1A1">
                  <w:pPr>
                    <w:pStyle w:val="41"/>
                    <w:widowControl w:val="0"/>
                    <w:spacing w:line="240" w:lineRule="auto"/>
                    <w:ind w:firstLine="0" w:firstLineChars="0"/>
                    <w:rPr>
                      <w:szCs w:val="21"/>
                    </w:rPr>
                  </w:pPr>
                  <w:r>
                    <w:rPr>
                      <w:szCs w:val="21"/>
                    </w:rPr>
                    <w:t>CO</w:t>
                  </w:r>
                </w:p>
              </w:tc>
              <w:tc>
                <w:tcPr>
                  <w:tcW w:w="1524" w:type="dxa"/>
                  <w:tcBorders>
                    <w:tl2br w:val="nil"/>
                    <w:tr2bl w:val="nil"/>
                  </w:tcBorders>
                  <w:vAlign w:val="center"/>
                </w:tcPr>
                <w:p w14:paraId="13EAC18F">
                  <w:pPr>
                    <w:pStyle w:val="41"/>
                    <w:widowControl w:val="0"/>
                    <w:spacing w:line="240" w:lineRule="auto"/>
                    <w:ind w:firstLine="0" w:firstLineChars="0"/>
                    <w:rPr>
                      <w:szCs w:val="21"/>
                    </w:rPr>
                  </w:pPr>
                  <w:r>
                    <w:rPr>
                      <w:szCs w:val="21"/>
                    </w:rPr>
                    <w:t>24小时平均第9</w:t>
                  </w:r>
                  <w:r>
                    <w:rPr>
                      <w:rFonts w:hint="eastAsia"/>
                      <w:szCs w:val="21"/>
                    </w:rPr>
                    <w:t>5</w:t>
                  </w:r>
                  <w:r>
                    <w:rPr>
                      <w:szCs w:val="21"/>
                    </w:rPr>
                    <w:t>百分位数</w:t>
                  </w:r>
                </w:p>
              </w:tc>
              <w:tc>
                <w:tcPr>
                  <w:tcW w:w="859" w:type="dxa"/>
                  <w:tcBorders>
                    <w:tl2br w:val="nil"/>
                    <w:tr2bl w:val="nil"/>
                  </w:tcBorders>
                  <w:vAlign w:val="center"/>
                </w:tcPr>
                <w:p w14:paraId="372DB2FA">
                  <w:pPr>
                    <w:pStyle w:val="41"/>
                    <w:widowControl w:val="0"/>
                    <w:spacing w:line="240" w:lineRule="auto"/>
                    <w:ind w:firstLine="0" w:firstLineChars="0"/>
                    <w:rPr>
                      <w:szCs w:val="21"/>
                    </w:rPr>
                  </w:pPr>
                  <w:r>
                    <w:rPr>
                      <w:rFonts w:hint="eastAsia"/>
                      <w:szCs w:val="21"/>
                    </w:rPr>
                    <w:t>4000</w:t>
                  </w:r>
                </w:p>
              </w:tc>
              <w:tc>
                <w:tcPr>
                  <w:tcW w:w="973" w:type="dxa"/>
                  <w:tcBorders>
                    <w:tl2br w:val="nil"/>
                    <w:tr2bl w:val="nil"/>
                  </w:tcBorders>
                  <w:vAlign w:val="center"/>
                </w:tcPr>
                <w:p w14:paraId="7B0BCE22">
                  <w:pPr>
                    <w:pStyle w:val="41"/>
                    <w:widowControl w:val="0"/>
                    <w:spacing w:line="240" w:lineRule="auto"/>
                    <w:ind w:firstLine="0" w:firstLineChars="0"/>
                    <w:rPr>
                      <w:kern w:val="0"/>
                      <w:szCs w:val="21"/>
                    </w:rPr>
                  </w:pPr>
                  <w:r>
                    <w:rPr>
                      <w:rFonts w:hint="eastAsia"/>
                      <w:kern w:val="0"/>
                      <w:szCs w:val="21"/>
                    </w:rPr>
                    <w:t>2742.8</w:t>
                  </w:r>
                </w:p>
              </w:tc>
              <w:tc>
                <w:tcPr>
                  <w:tcW w:w="1077" w:type="dxa"/>
                  <w:tcBorders>
                    <w:tl2br w:val="nil"/>
                    <w:tr2bl w:val="nil"/>
                  </w:tcBorders>
                  <w:vAlign w:val="center"/>
                </w:tcPr>
                <w:p w14:paraId="2C1278A5">
                  <w:pPr>
                    <w:widowControl/>
                    <w:spacing w:line="240" w:lineRule="auto"/>
                    <w:ind w:firstLine="0" w:firstLineChars="0"/>
                    <w:jc w:val="center"/>
                    <w:textAlignment w:val="bottom"/>
                    <w:rPr>
                      <w:sz w:val="21"/>
                      <w:szCs w:val="21"/>
                    </w:rPr>
                  </w:pPr>
                  <w:r>
                    <w:rPr>
                      <w:rFonts w:hint="eastAsia"/>
                      <w:sz w:val="21"/>
                      <w:szCs w:val="21"/>
                    </w:rPr>
                    <w:t>68.57</w:t>
                  </w:r>
                </w:p>
              </w:tc>
              <w:tc>
                <w:tcPr>
                  <w:tcW w:w="525" w:type="dxa"/>
                  <w:tcBorders>
                    <w:tl2br w:val="nil"/>
                    <w:tr2bl w:val="nil"/>
                  </w:tcBorders>
                  <w:vAlign w:val="center"/>
                </w:tcPr>
                <w:p w14:paraId="131CB1B2">
                  <w:pPr>
                    <w:widowControl/>
                    <w:spacing w:line="240" w:lineRule="auto"/>
                    <w:ind w:firstLine="0" w:firstLineChars="0"/>
                    <w:jc w:val="center"/>
                    <w:textAlignment w:val="bottom"/>
                    <w:rPr>
                      <w:sz w:val="21"/>
                      <w:szCs w:val="21"/>
                    </w:rPr>
                  </w:pPr>
                  <w:r>
                    <w:rPr>
                      <w:rFonts w:hint="eastAsia"/>
                      <w:sz w:val="21"/>
                      <w:szCs w:val="21"/>
                    </w:rPr>
                    <w:t>-</w:t>
                  </w:r>
                </w:p>
              </w:tc>
              <w:tc>
                <w:tcPr>
                  <w:tcW w:w="900" w:type="dxa"/>
                  <w:tcBorders>
                    <w:tl2br w:val="nil"/>
                    <w:tr2bl w:val="nil"/>
                  </w:tcBorders>
                  <w:vAlign w:val="center"/>
                </w:tcPr>
                <w:p w14:paraId="6299D445">
                  <w:pPr>
                    <w:pStyle w:val="41"/>
                    <w:widowControl w:val="0"/>
                    <w:spacing w:line="240" w:lineRule="auto"/>
                    <w:ind w:firstLine="0" w:firstLineChars="0"/>
                    <w:rPr>
                      <w:szCs w:val="21"/>
                    </w:rPr>
                  </w:pPr>
                  <w:r>
                    <w:rPr>
                      <w:rFonts w:hint="eastAsia"/>
                      <w:szCs w:val="21"/>
                    </w:rPr>
                    <w:t>0</w:t>
                  </w:r>
                </w:p>
              </w:tc>
              <w:tc>
                <w:tcPr>
                  <w:tcW w:w="600" w:type="dxa"/>
                  <w:tcBorders>
                    <w:tl2br w:val="nil"/>
                    <w:tr2bl w:val="nil"/>
                  </w:tcBorders>
                  <w:vAlign w:val="center"/>
                </w:tcPr>
                <w:p w14:paraId="7885C83D">
                  <w:pPr>
                    <w:spacing w:line="240" w:lineRule="auto"/>
                    <w:ind w:firstLine="0" w:firstLineChars="0"/>
                    <w:jc w:val="center"/>
                    <w:rPr>
                      <w:bCs/>
                      <w:sz w:val="21"/>
                      <w:szCs w:val="21"/>
                    </w:rPr>
                  </w:pPr>
                  <w:r>
                    <w:rPr>
                      <w:rFonts w:hint="eastAsia"/>
                      <w:bCs/>
                      <w:sz w:val="21"/>
                      <w:szCs w:val="21"/>
                    </w:rPr>
                    <w:t>达标</w:t>
                  </w:r>
                </w:p>
              </w:tc>
            </w:tr>
            <w:tr w14:paraId="57F45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53E9A5DC">
                  <w:pPr>
                    <w:widowControl/>
                    <w:spacing w:line="240" w:lineRule="auto"/>
                    <w:ind w:firstLine="0" w:firstLineChars="0"/>
                    <w:jc w:val="center"/>
                    <w:textAlignment w:val="center"/>
                    <w:rPr>
                      <w:sz w:val="21"/>
                      <w:szCs w:val="21"/>
                    </w:rPr>
                  </w:pPr>
                </w:p>
              </w:tc>
              <w:tc>
                <w:tcPr>
                  <w:tcW w:w="780" w:type="dxa"/>
                  <w:vMerge w:val="restart"/>
                  <w:tcBorders>
                    <w:tl2br w:val="nil"/>
                    <w:tr2bl w:val="nil"/>
                  </w:tcBorders>
                  <w:vAlign w:val="center"/>
                </w:tcPr>
                <w:p w14:paraId="42C781D3">
                  <w:pPr>
                    <w:pStyle w:val="41"/>
                    <w:widowControl w:val="0"/>
                    <w:spacing w:line="240" w:lineRule="auto"/>
                    <w:ind w:firstLine="0" w:firstLineChars="0"/>
                    <w:rPr>
                      <w:szCs w:val="21"/>
                    </w:rPr>
                  </w:pPr>
                  <w:r>
                    <w:rPr>
                      <w:szCs w:val="21"/>
                    </w:rPr>
                    <w:t>NO</w:t>
                  </w:r>
                  <w:r>
                    <w:rPr>
                      <w:szCs w:val="21"/>
                      <w:vertAlign w:val="subscript"/>
                    </w:rPr>
                    <w:t>2</w:t>
                  </w:r>
                </w:p>
              </w:tc>
              <w:tc>
                <w:tcPr>
                  <w:tcW w:w="1524" w:type="dxa"/>
                  <w:tcBorders>
                    <w:tl2br w:val="nil"/>
                    <w:tr2bl w:val="nil"/>
                  </w:tcBorders>
                  <w:vAlign w:val="center"/>
                </w:tcPr>
                <w:p w14:paraId="5432CA0D">
                  <w:pPr>
                    <w:pStyle w:val="41"/>
                    <w:widowControl w:val="0"/>
                    <w:spacing w:line="240" w:lineRule="auto"/>
                    <w:ind w:firstLine="0" w:firstLineChars="0"/>
                    <w:rPr>
                      <w:szCs w:val="21"/>
                    </w:rPr>
                  </w:pPr>
                  <w:r>
                    <w:rPr>
                      <w:szCs w:val="21"/>
                    </w:rPr>
                    <w:t>年平均质量浓度</w:t>
                  </w:r>
                </w:p>
              </w:tc>
              <w:tc>
                <w:tcPr>
                  <w:tcW w:w="859" w:type="dxa"/>
                  <w:tcBorders>
                    <w:tl2br w:val="nil"/>
                    <w:tr2bl w:val="nil"/>
                  </w:tcBorders>
                  <w:vAlign w:val="center"/>
                </w:tcPr>
                <w:p w14:paraId="503D7AA7">
                  <w:pPr>
                    <w:pStyle w:val="41"/>
                    <w:widowControl w:val="0"/>
                    <w:spacing w:line="240" w:lineRule="auto"/>
                    <w:ind w:firstLine="0" w:firstLineChars="0"/>
                    <w:rPr>
                      <w:szCs w:val="21"/>
                    </w:rPr>
                  </w:pPr>
                  <w:r>
                    <w:rPr>
                      <w:rFonts w:hint="eastAsia"/>
                      <w:szCs w:val="21"/>
                    </w:rPr>
                    <w:t>40</w:t>
                  </w:r>
                </w:p>
              </w:tc>
              <w:tc>
                <w:tcPr>
                  <w:tcW w:w="973" w:type="dxa"/>
                  <w:tcBorders>
                    <w:tl2br w:val="nil"/>
                    <w:tr2bl w:val="nil"/>
                  </w:tcBorders>
                  <w:vAlign w:val="center"/>
                </w:tcPr>
                <w:p w14:paraId="58A96AD7">
                  <w:pPr>
                    <w:pStyle w:val="41"/>
                    <w:widowControl w:val="0"/>
                    <w:spacing w:line="240" w:lineRule="auto"/>
                    <w:ind w:firstLine="0" w:firstLineChars="0"/>
                    <w:rPr>
                      <w:kern w:val="0"/>
                      <w:szCs w:val="21"/>
                    </w:rPr>
                  </w:pPr>
                  <w:r>
                    <w:rPr>
                      <w:rFonts w:hint="eastAsia"/>
                      <w:kern w:val="0"/>
                      <w:szCs w:val="21"/>
                    </w:rPr>
                    <w:t>45.2</w:t>
                  </w:r>
                </w:p>
              </w:tc>
              <w:tc>
                <w:tcPr>
                  <w:tcW w:w="1077" w:type="dxa"/>
                  <w:tcBorders>
                    <w:tl2br w:val="nil"/>
                    <w:tr2bl w:val="nil"/>
                  </w:tcBorders>
                  <w:vAlign w:val="center"/>
                </w:tcPr>
                <w:p w14:paraId="67285E84">
                  <w:pPr>
                    <w:spacing w:line="240" w:lineRule="auto"/>
                    <w:ind w:firstLine="0" w:firstLineChars="0"/>
                    <w:jc w:val="center"/>
                    <w:rPr>
                      <w:sz w:val="21"/>
                      <w:szCs w:val="21"/>
                    </w:rPr>
                  </w:pPr>
                  <w:r>
                    <w:rPr>
                      <w:rFonts w:hint="eastAsia"/>
                      <w:sz w:val="21"/>
                      <w:szCs w:val="21"/>
                    </w:rPr>
                    <w:t>113.08</w:t>
                  </w:r>
                </w:p>
              </w:tc>
              <w:tc>
                <w:tcPr>
                  <w:tcW w:w="525" w:type="dxa"/>
                  <w:tcBorders>
                    <w:tl2br w:val="nil"/>
                    <w:tr2bl w:val="nil"/>
                  </w:tcBorders>
                  <w:vAlign w:val="center"/>
                </w:tcPr>
                <w:p w14:paraId="1AA60686">
                  <w:pPr>
                    <w:spacing w:line="240" w:lineRule="auto"/>
                    <w:ind w:firstLine="0" w:firstLineChars="0"/>
                    <w:jc w:val="center"/>
                    <w:rPr>
                      <w:sz w:val="21"/>
                      <w:szCs w:val="21"/>
                    </w:rPr>
                  </w:pPr>
                  <w:r>
                    <w:rPr>
                      <w:rFonts w:hint="eastAsia"/>
                      <w:sz w:val="21"/>
                      <w:szCs w:val="21"/>
                    </w:rPr>
                    <w:t>0.13</w:t>
                  </w:r>
                </w:p>
              </w:tc>
              <w:tc>
                <w:tcPr>
                  <w:tcW w:w="900" w:type="dxa"/>
                  <w:tcBorders>
                    <w:tl2br w:val="nil"/>
                    <w:tr2bl w:val="nil"/>
                  </w:tcBorders>
                  <w:vAlign w:val="center"/>
                </w:tcPr>
                <w:p w14:paraId="73D5FBD8">
                  <w:pPr>
                    <w:pStyle w:val="41"/>
                    <w:widowControl w:val="0"/>
                    <w:spacing w:line="240" w:lineRule="auto"/>
                    <w:ind w:firstLine="0" w:firstLineChars="0"/>
                    <w:rPr>
                      <w:szCs w:val="21"/>
                    </w:rPr>
                  </w:pPr>
                  <w:r>
                    <w:rPr>
                      <w:rFonts w:hint="eastAsia"/>
                      <w:szCs w:val="21"/>
                    </w:rPr>
                    <w:t>-</w:t>
                  </w:r>
                </w:p>
              </w:tc>
              <w:tc>
                <w:tcPr>
                  <w:tcW w:w="600" w:type="dxa"/>
                  <w:vMerge w:val="restart"/>
                  <w:tcBorders>
                    <w:tl2br w:val="nil"/>
                    <w:tr2bl w:val="nil"/>
                  </w:tcBorders>
                  <w:vAlign w:val="center"/>
                </w:tcPr>
                <w:p w14:paraId="5BEB583C">
                  <w:pPr>
                    <w:spacing w:line="240" w:lineRule="auto"/>
                    <w:ind w:firstLine="0" w:firstLineChars="0"/>
                    <w:jc w:val="center"/>
                    <w:rPr>
                      <w:bCs/>
                      <w:sz w:val="21"/>
                      <w:szCs w:val="21"/>
                    </w:rPr>
                  </w:pPr>
                  <w:r>
                    <w:rPr>
                      <w:rFonts w:hint="eastAsia"/>
                      <w:bCs/>
                      <w:sz w:val="21"/>
                      <w:szCs w:val="21"/>
                    </w:rPr>
                    <w:t>超标</w:t>
                  </w:r>
                </w:p>
              </w:tc>
            </w:tr>
            <w:tr w14:paraId="33D28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46704BDB">
                  <w:pPr>
                    <w:widowControl/>
                    <w:spacing w:line="240" w:lineRule="auto"/>
                    <w:ind w:firstLine="0" w:firstLineChars="0"/>
                    <w:jc w:val="center"/>
                    <w:textAlignment w:val="center"/>
                    <w:rPr>
                      <w:sz w:val="21"/>
                      <w:szCs w:val="21"/>
                    </w:rPr>
                  </w:pPr>
                </w:p>
              </w:tc>
              <w:tc>
                <w:tcPr>
                  <w:tcW w:w="780" w:type="dxa"/>
                  <w:vMerge w:val="continue"/>
                  <w:tcBorders>
                    <w:tl2br w:val="nil"/>
                    <w:tr2bl w:val="nil"/>
                  </w:tcBorders>
                  <w:vAlign w:val="center"/>
                </w:tcPr>
                <w:p w14:paraId="2ECB5A80">
                  <w:pPr>
                    <w:widowControl/>
                    <w:spacing w:line="240" w:lineRule="auto"/>
                    <w:ind w:firstLine="0" w:firstLineChars="0"/>
                    <w:jc w:val="center"/>
                    <w:rPr>
                      <w:sz w:val="21"/>
                      <w:szCs w:val="21"/>
                    </w:rPr>
                  </w:pPr>
                </w:p>
              </w:tc>
              <w:tc>
                <w:tcPr>
                  <w:tcW w:w="1524" w:type="dxa"/>
                  <w:tcBorders>
                    <w:tl2br w:val="nil"/>
                    <w:tr2bl w:val="nil"/>
                  </w:tcBorders>
                  <w:vAlign w:val="center"/>
                </w:tcPr>
                <w:p w14:paraId="2EAA5898">
                  <w:pPr>
                    <w:pStyle w:val="41"/>
                    <w:widowControl w:val="0"/>
                    <w:spacing w:line="240" w:lineRule="auto"/>
                    <w:ind w:firstLine="0" w:firstLineChars="0"/>
                    <w:rPr>
                      <w:szCs w:val="21"/>
                    </w:rPr>
                  </w:pPr>
                  <w:r>
                    <w:rPr>
                      <w:szCs w:val="21"/>
                    </w:rPr>
                    <w:t>24小时平均第9</w:t>
                  </w:r>
                  <w:r>
                    <w:rPr>
                      <w:rFonts w:hint="eastAsia"/>
                      <w:szCs w:val="21"/>
                    </w:rPr>
                    <w:t>8</w:t>
                  </w:r>
                  <w:r>
                    <w:rPr>
                      <w:szCs w:val="21"/>
                    </w:rPr>
                    <w:t>百分位数</w:t>
                  </w:r>
                </w:p>
              </w:tc>
              <w:tc>
                <w:tcPr>
                  <w:tcW w:w="859" w:type="dxa"/>
                  <w:tcBorders>
                    <w:tl2br w:val="nil"/>
                    <w:tr2bl w:val="nil"/>
                  </w:tcBorders>
                  <w:vAlign w:val="center"/>
                </w:tcPr>
                <w:p w14:paraId="333C8C6D">
                  <w:pPr>
                    <w:pStyle w:val="41"/>
                    <w:widowControl w:val="0"/>
                    <w:spacing w:line="240" w:lineRule="auto"/>
                    <w:ind w:firstLine="0" w:firstLineChars="0"/>
                    <w:rPr>
                      <w:szCs w:val="21"/>
                    </w:rPr>
                  </w:pPr>
                  <w:r>
                    <w:rPr>
                      <w:rFonts w:hint="eastAsia"/>
                      <w:szCs w:val="21"/>
                    </w:rPr>
                    <w:t>80</w:t>
                  </w:r>
                </w:p>
              </w:tc>
              <w:tc>
                <w:tcPr>
                  <w:tcW w:w="973" w:type="dxa"/>
                  <w:tcBorders>
                    <w:tl2br w:val="nil"/>
                    <w:tr2bl w:val="nil"/>
                  </w:tcBorders>
                  <w:vAlign w:val="center"/>
                </w:tcPr>
                <w:p w14:paraId="402D998E">
                  <w:pPr>
                    <w:pStyle w:val="41"/>
                    <w:widowControl w:val="0"/>
                    <w:spacing w:line="240" w:lineRule="auto"/>
                    <w:ind w:firstLine="0" w:firstLineChars="0"/>
                    <w:rPr>
                      <w:kern w:val="0"/>
                      <w:szCs w:val="21"/>
                    </w:rPr>
                  </w:pPr>
                  <w:r>
                    <w:rPr>
                      <w:rFonts w:hint="eastAsia"/>
                      <w:kern w:val="0"/>
                      <w:szCs w:val="21"/>
                    </w:rPr>
                    <w:t>97.6</w:t>
                  </w:r>
                </w:p>
              </w:tc>
              <w:tc>
                <w:tcPr>
                  <w:tcW w:w="1077" w:type="dxa"/>
                  <w:tcBorders>
                    <w:tl2br w:val="nil"/>
                    <w:tr2bl w:val="nil"/>
                  </w:tcBorders>
                  <w:vAlign w:val="center"/>
                </w:tcPr>
                <w:p w14:paraId="1A8FA88B">
                  <w:pPr>
                    <w:widowControl/>
                    <w:spacing w:line="240" w:lineRule="auto"/>
                    <w:ind w:firstLine="0" w:firstLineChars="0"/>
                    <w:jc w:val="center"/>
                    <w:textAlignment w:val="bottom"/>
                    <w:rPr>
                      <w:sz w:val="21"/>
                      <w:szCs w:val="21"/>
                    </w:rPr>
                  </w:pPr>
                  <w:r>
                    <w:rPr>
                      <w:rFonts w:hint="eastAsia"/>
                      <w:sz w:val="21"/>
                      <w:szCs w:val="21"/>
                    </w:rPr>
                    <w:t>122.00</w:t>
                  </w:r>
                </w:p>
              </w:tc>
              <w:tc>
                <w:tcPr>
                  <w:tcW w:w="525" w:type="dxa"/>
                  <w:tcBorders>
                    <w:tl2br w:val="nil"/>
                    <w:tr2bl w:val="nil"/>
                  </w:tcBorders>
                  <w:vAlign w:val="center"/>
                </w:tcPr>
                <w:p w14:paraId="126F4A2C">
                  <w:pPr>
                    <w:widowControl/>
                    <w:spacing w:line="240" w:lineRule="auto"/>
                    <w:ind w:firstLine="0" w:firstLineChars="0"/>
                    <w:jc w:val="center"/>
                    <w:textAlignment w:val="bottom"/>
                    <w:rPr>
                      <w:sz w:val="21"/>
                      <w:szCs w:val="21"/>
                    </w:rPr>
                  </w:pPr>
                  <w:r>
                    <w:rPr>
                      <w:rFonts w:hint="eastAsia"/>
                      <w:sz w:val="21"/>
                      <w:szCs w:val="21"/>
                    </w:rPr>
                    <w:t>0.22</w:t>
                  </w:r>
                </w:p>
              </w:tc>
              <w:tc>
                <w:tcPr>
                  <w:tcW w:w="900" w:type="dxa"/>
                  <w:tcBorders>
                    <w:tl2br w:val="nil"/>
                    <w:tr2bl w:val="nil"/>
                  </w:tcBorders>
                  <w:vAlign w:val="center"/>
                </w:tcPr>
                <w:p w14:paraId="098DC255">
                  <w:pPr>
                    <w:pStyle w:val="41"/>
                    <w:widowControl w:val="0"/>
                    <w:spacing w:line="240" w:lineRule="auto"/>
                    <w:ind w:firstLine="0" w:firstLineChars="0"/>
                    <w:rPr>
                      <w:szCs w:val="21"/>
                    </w:rPr>
                  </w:pPr>
                  <w:r>
                    <w:rPr>
                      <w:rFonts w:hint="eastAsia"/>
                      <w:szCs w:val="21"/>
                    </w:rPr>
                    <w:t>5.6</w:t>
                  </w:r>
                </w:p>
              </w:tc>
              <w:tc>
                <w:tcPr>
                  <w:tcW w:w="600" w:type="dxa"/>
                  <w:vMerge w:val="continue"/>
                  <w:tcBorders>
                    <w:tl2br w:val="nil"/>
                    <w:tr2bl w:val="nil"/>
                  </w:tcBorders>
                  <w:vAlign w:val="center"/>
                </w:tcPr>
                <w:p w14:paraId="0D46961B">
                  <w:pPr>
                    <w:spacing w:line="240" w:lineRule="auto"/>
                    <w:ind w:firstLine="0" w:firstLineChars="0"/>
                    <w:jc w:val="center"/>
                    <w:rPr>
                      <w:bCs/>
                      <w:sz w:val="21"/>
                      <w:szCs w:val="21"/>
                    </w:rPr>
                  </w:pPr>
                </w:p>
              </w:tc>
            </w:tr>
            <w:tr w14:paraId="1DBE1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5110860F">
                  <w:pPr>
                    <w:widowControl/>
                    <w:spacing w:line="240" w:lineRule="auto"/>
                    <w:ind w:firstLine="0" w:firstLineChars="0"/>
                    <w:jc w:val="center"/>
                    <w:textAlignment w:val="center"/>
                    <w:rPr>
                      <w:sz w:val="21"/>
                      <w:szCs w:val="21"/>
                    </w:rPr>
                  </w:pPr>
                </w:p>
              </w:tc>
              <w:tc>
                <w:tcPr>
                  <w:tcW w:w="780" w:type="dxa"/>
                  <w:tcBorders>
                    <w:tl2br w:val="nil"/>
                    <w:tr2bl w:val="nil"/>
                  </w:tcBorders>
                  <w:vAlign w:val="center"/>
                </w:tcPr>
                <w:p w14:paraId="0736458D">
                  <w:pPr>
                    <w:pStyle w:val="41"/>
                    <w:widowControl w:val="0"/>
                    <w:spacing w:line="240" w:lineRule="auto"/>
                    <w:ind w:firstLine="0" w:firstLineChars="0"/>
                    <w:rPr>
                      <w:szCs w:val="21"/>
                    </w:rPr>
                  </w:pPr>
                  <w:r>
                    <w:rPr>
                      <w:szCs w:val="21"/>
                    </w:rPr>
                    <w:t>O</w:t>
                  </w:r>
                  <w:r>
                    <w:rPr>
                      <w:szCs w:val="21"/>
                      <w:vertAlign w:val="subscript"/>
                    </w:rPr>
                    <w:t>3</w:t>
                  </w:r>
                </w:p>
              </w:tc>
              <w:tc>
                <w:tcPr>
                  <w:tcW w:w="1524" w:type="dxa"/>
                  <w:tcBorders>
                    <w:tl2br w:val="nil"/>
                    <w:tr2bl w:val="nil"/>
                  </w:tcBorders>
                  <w:vAlign w:val="center"/>
                </w:tcPr>
                <w:p w14:paraId="1A4D3CA6">
                  <w:pPr>
                    <w:pStyle w:val="41"/>
                    <w:widowControl w:val="0"/>
                    <w:spacing w:line="240" w:lineRule="auto"/>
                    <w:ind w:firstLine="0" w:firstLineChars="0"/>
                    <w:rPr>
                      <w:szCs w:val="21"/>
                    </w:rPr>
                  </w:pPr>
                  <w:r>
                    <w:rPr>
                      <w:szCs w:val="21"/>
                    </w:rPr>
                    <w:t>日最大8小时平均值的第90百分位数</w:t>
                  </w:r>
                </w:p>
              </w:tc>
              <w:tc>
                <w:tcPr>
                  <w:tcW w:w="859" w:type="dxa"/>
                  <w:tcBorders>
                    <w:tl2br w:val="nil"/>
                    <w:tr2bl w:val="nil"/>
                  </w:tcBorders>
                  <w:vAlign w:val="center"/>
                </w:tcPr>
                <w:p w14:paraId="26B2EF50">
                  <w:pPr>
                    <w:pStyle w:val="41"/>
                    <w:widowControl w:val="0"/>
                    <w:spacing w:line="240" w:lineRule="auto"/>
                    <w:ind w:firstLine="0" w:firstLineChars="0"/>
                    <w:rPr>
                      <w:szCs w:val="21"/>
                    </w:rPr>
                  </w:pPr>
                  <w:r>
                    <w:rPr>
                      <w:rFonts w:hint="eastAsia"/>
                      <w:szCs w:val="21"/>
                    </w:rPr>
                    <w:t>160</w:t>
                  </w:r>
                </w:p>
              </w:tc>
              <w:tc>
                <w:tcPr>
                  <w:tcW w:w="973" w:type="dxa"/>
                  <w:tcBorders>
                    <w:tl2br w:val="nil"/>
                    <w:tr2bl w:val="nil"/>
                  </w:tcBorders>
                  <w:vAlign w:val="center"/>
                </w:tcPr>
                <w:p w14:paraId="6E473DDD">
                  <w:pPr>
                    <w:pStyle w:val="41"/>
                    <w:widowControl w:val="0"/>
                    <w:spacing w:line="240" w:lineRule="auto"/>
                    <w:ind w:firstLine="0" w:firstLineChars="0"/>
                    <w:rPr>
                      <w:kern w:val="0"/>
                      <w:szCs w:val="21"/>
                    </w:rPr>
                  </w:pPr>
                  <w:r>
                    <w:rPr>
                      <w:rFonts w:hint="eastAsia"/>
                      <w:kern w:val="0"/>
                      <w:szCs w:val="21"/>
                    </w:rPr>
                    <w:t>194.6</w:t>
                  </w:r>
                </w:p>
              </w:tc>
              <w:tc>
                <w:tcPr>
                  <w:tcW w:w="1077" w:type="dxa"/>
                  <w:tcBorders>
                    <w:tl2br w:val="nil"/>
                    <w:tr2bl w:val="nil"/>
                  </w:tcBorders>
                  <w:vAlign w:val="center"/>
                </w:tcPr>
                <w:p w14:paraId="5F515A7D">
                  <w:pPr>
                    <w:spacing w:line="240" w:lineRule="auto"/>
                    <w:ind w:firstLine="0" w:firstLineChars="0"/>
                    <w:jc w:val="center"/>
                    <w:rPr>
                      <w:sz w:val="21"/>
                      <w:szCs w:val="21"/>
                    </w:rPr>
                  </w:pPr>
                  <w:r>
                    <w:rPr>
                      <w:rFonts w:hint="eastAsia"/>
                      <w:sz w:val="21"/>
                      <w:szCs w:val="21"/>
                    </w:rPr>
                    <w:t>121.63</w:t>
                  </w:r>
                </w:p>
              </w:tc>
              <w:tc>
                <w:tcPr>
                  <w:tcW w:w="525" w:type="dxa"/>
                  <w:tcBorders>
                    <w:tl2br w:val="nil"/>
                    <w:tr2bl w:val="nil"/>
                  </w:tcBorders>
                  <w:vAlign w:val="center"/>
                </w:tcPr>
                <w:p w14:paraId="1DE718E7">
                  <w:pPr>
                    <w:spacing w:line="240" w:lineRule="auto"/>
                    <w:ind w:firstLine="0" w:firstLineChars="0"/>
                    <w:jc w:val="center"/>
                    <w:rPr>
                      <w:sz w:val="21"/>
                      <w:szCs w:val="21"/>
                    </w:rPr>
                  </w:pPr>
                  <w:r>
                    <w:rPr>
                      <w:rFonts w:hint="eastAsia"/>
                      <w:sz w:val="21"/>
                      <w:szCs w:val="21"/>
                    </w:rPr>
                    <w:t>0.22</w:t>
                  </w:r>
                </w:p>
              </w:tc>
              <w:tc>
                <w:tcPr>
                  <w:tcW w:w="900" w:type="dxa"/>
                  <w:tcBorders>
                    <w:tl2br w:val="nil"/>
                    <w:tr2bl w:val="nil"/>
                  </w:tcBorders>
                  <w:vAlign w:val="center"/>
                </w:tcPr>
                <w:p w14:paraId="03FDA998">
                  <w:pPr>
                    <w:pStyle w:val="41"/>
                    <w:widowControl w:val="0"/>
                    <w:spacing w:line="240" w:lineRule="auto"/>
                    <w:ind w:firstLine="0" w:firstLineChars="0"/>
                    <w:rPr>
                      <w:szCs w:val="21"/>
                    </w:rPr>
                  </w:pPr>
                  <w:r>
                    <w:rPr>
                      <w:rFonts w:hint="eastAsia"/>
                      <w:szCs w:val="21"/>
                    </w:rPr>
                    <w:t>10.06</w:t>
                  </w:r>
                </w:p>
              </w:tc>
              <w:tc>
                <w:tcPr>
                  <w:tcW w:w="600" w:type="dxa"/>
                  <w:tcBorders>
                    <w:tl2br w:val="nil"/>
                    <w:tr2bl w:val="nil"/>
                  </w:tcBorders>
                  <w:vAlign w:val="center"/>
                </w:tcPr>
                <w:p w14:paraId="5273944F">
                  <w:pPr>
                    <w:spacing w:line="240" w:lineRule="auto"/>
                    <w:ind w:firstLine="0" w:firstLineChars="0"/>
                    <w:jc w:val="center"/>
                    <w:rPr>
                      <w:bCs/>
                      <w:sz w:val="21"/>
                      <w:szCs w:val="21"/>
                    </w:rPr>
                  </w:pPr>
                  <w:r>
                    <w:rPr>
                      <w:rFonts w:hint="eastAsia"/>
                      <w:bCs/>
                      <w:sz w:val="21"/>
                      <w:szCs w:val="21"/>
                    </w:rPr>
                    <w:t>超标</w:t>
                  </w:r>
                </w:p>
              </w:tc>
            </w:tr>
            <w:tr w14:paraId="519B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4103B915">
                  <w:pPr>
                    <w:widowControl/>
                    <w:spacing w:line="240" w:lineRule="auto"/>
                    <w:ind w:firstLine="0" w:firstLineChars="0"/>
                    <w:jc w:val="center"/>
                    <w:textAlignment w:val="center"/>
                    <w:rPr>
                      <w:sz w:val="21"/>
                      <w:szCs w:val="21"/>
                    </w:rPr>
                  </w:pPr>
                </w:p>
              </w:tc>
              <w:tc>
                <w:tcPr>
                  <w:tcW w:w="780" w:type="dxa"/>
                  <w:vMerge w:val="restart"/>
                  <w:tcBorders>
                    <w:tl2br w:val="nil"/>
                    <w:tr2bl w:val="nil"/>
                  </w:tcBorders>
                  <w:vAlign w:val="center"/>
                </w:tcPr>
                <w:p w14:paraId="26C7A609">
                  <w:pPr>
                    <w:pStyle w:val="41"/>
                    <w:widowControl w:val="0"/>
                    <w:spacing w:line="240" w:lineRule="auto"/>
                    <w:ind w:firstLine="0" w:firstLineChars="0"/>
                    <w:rPr>
                      <w:szCs w:val="21"/>
                    </w:rPr>
                  </w:pPr>
                  <w:r>
                    <w:rPr>
                      <w:szCs w:val="21"/>
                    </w:rPr>
                    <w:t>PM</w:t>
                  </w:r>
                  <w:r>
                    <w:rPr>
                      <w:szCs w:val="21"/>
                      <w:vertAlign w:val="subscript"/>
                    </w:rPr>
                    <w:t>10</w:t>
                  </w:r>
                </w:p>
              </w:tc>
              <w:tc>
                <w:tcPr>
                  <w:tcW w:w="1524" w:type="dxa"/>
                  <w:tcBorders>
                    <w:tl2br w:val="nil"/>
                    <w:tr2bl w:val="nil"/>
                  </w:tcBorders>
                  <w:vAlign w:val="center"/>
                </w:tcPr>
                <w:p w14:paraId="3315D847">
                  <w:pPr>
                    <w:pStyle w:val="41"/>
                    <w:widowControl w:val="0"/>
                    <w:spacing w:line="240" w:lineRule="auto"/>
                    <w:ind w:firstLine="0" w:firstLineChars="0"/>
                    <w:rPr>
                      <w:szCs w:val="21"/>
                    </w:rPr>
                  </w:pPr>
                  <w:r>
                    <w:rPr>
                      <w:szCs w:val="21"/>
                    </w:rPr>
                    <w:t>年平均质量浓度</w:t>
                  </w:r>
                </w:p>
              </w:tc>
              <w:tc>
                <w:tcPr>
                  <w:tcW w:w="859" w:type="dxa"/>
                  <w:tcBorders>
                    <w:tl2br w:val="nil"/>
                    <w:tr2bl w:val="nil"/>
                  </w:tcBorders>
                  <w:vAlign w:val="center"/>
                </w:tcPr>
                <w:p w14:paraId="4B25302A">
                  <w:pPr>
                    <w:pStyle w:val="41"/>
                    <w:widowControl w:val="0"/>
                    <w:spacing w:line="240" w:lineRule="auto"/>
                    <w:ind w:firstLine="0" w:firstLineChars="0"/>
                    <w:rPr>
                      <w:szCs w:val="21"/>
                    </w:rPr>
                  </w:pPr>
                  <w:r>
                    <w:rPr>
                      <w:rFonts w:hint="eastAsia"/>
                      <w:szCs w:val="21"/>
                    </w:rPr>
                    <w:t>70</w:t>
                  </w:r>
                </w:p>
              </w:tc>
              <w:tc>
                <w:tcPr>
                  <w:tcW w:w="973" w:type="dxa"/>
                  <w:tcBorders>
                    <w:tl2br w:val="nil"/>
                    <w:tr2bl w:val="nil"/>
                  </w:tcBorders>
                  <w:vAlign w:val="center"/>
                </w:tcPr>
                <w:p w14:paraId="06756C4F">
                  <w:pPr>
                    <w:pStyle w:val="41"/>
                    <w:widowControl w:val="0"/>
                    <w:spacing w:line="240" w:lineRule="auto"/>
                    <w:ind w:firstLine="0" w:firstLineChars="0"/>
                    <w:rPr>
                      <w:kern w:val="0"/>
                      <w:szCs w:val="21"/>
                    </w:rPr>
                  </w:pPr>
                  <w:r>
                    <w:rPr>
                      <w:rFonts w:hint="eastAsia"/>
                      <w:kern w:val="0"/>
                      <w:szCs w:val="21"/>
                    </w:rPr>
                    <w:t>115.8</w:t>
                  </w:r>
                </w:p>
              </w:tc>
              <w:tc>
                <w:tcPr>
                  <w:tcW w:w="1077" w:type="dxa"/>
                  <w:tcBorders>
                    <w:tl2br w:val="nil"/>
                    <w:tr2bl w:val="nil"/>
                  </w:tcBorders>
                  <w:vAlign w:val="center"/>
                </w:tcPr>
                <w:p w14:paraId="485BDAA3">
                  <w:pPr>
                    <w:spacing w:line="240" w:lineRule="auto"/>
                    <w:ind w:firstLine="0" w:firstLineChars="0"/>
                    <w:jc w:val="center"/>
                    <w:rPr>
                      <w:sz w:val="21"/>
                      <w:szCs w:val="21"/>
                    </w:rPr>
                  </w:pPr>
                  <w:r>
                    <w:rPr>
                      <w:rFonts w:hint="eastAsia"/>
                      <w:sz w:val="21"/>
                      <w:szCs w:val="21"/>
                    </w:rPr>
                    <w:t>165.36</w:t>
                  </w:r>
                </w:p>
              </w:tc>
              <w:tc>
                <w:tcPr>
                  <w:tcW w:w="525" w:type="dxa"/>
                  <w:tcBorders>
                    <w:tl2br w:val="nil"/>
                    <w:tr2bl w:val="nil"/>
                  </w:tcBorders>
                  <w:vAlign w:val="center"/>
                </w:tcPr>
                <w:p w14:paraId="71AE80B7">
                  <w:pPr>
                    <w:spacing w:line="240" w:lineRule="auto"/>
                    <w:ind w:firstLine="0" w:firstLineChars="0"/>
                    <w:jc w:val="center"/>
                    <w:rPr>
                      <w:sz w:val="21"/>
                      <w:szCs w:val="21"/>
                    </w:rPr>
                  </w:pPr>
                  <w:r>
                    <w:rPr>
                      <w:rFonts w:hint="eastAsia"/>
                      <w:sz w:val="21"/>
                      <w:szCs w:val="21"/>
                    </w:rPr>
                    <w:t>0.65</w:t>
                  </w:r>
                </w:p>
              </w:tc>
              <w:tc>
                <w:tcPr>
                  <w:tcW w:w="900" w:type="dxa"/>
                  <w:tcBorders>
                    <w:tl2br w:val="nil"/>
                    <w:tr2bl w:val="nil"/>
                  </w:tcBorders>
                  <w:vAlign w:val="center"/>
                </w:tcPr>
                <w:p w14:paraId="69717165">
                  <w:pPr>
                    <w:pStyle w:val="41"/>
                    <w:widowControl w:val="0"/>
                    <w:spacing w:line="240" w:lineRule="auto"/>
                    <w:ind w:firstLine="0" w:firstLineChars="0"/>
                    <w:rPr>
                      <w:szCs w:val="21"/>
                    </w:rPr>
                  </w:pPr>
                  <w:r>
                    <w:rPr>
                      <w:rFonts w:hint="eastAsia"/>
                      <w:szCs w:val="21"/>
                    </w:rPr>
                    <w:t>-</w:t>
                  </w:r>
                </w:p>
              </w:tc>
              <w:tc>
                <w:tcPr>
                  <w:tcW w:w="600" w:type="dxa"/>
                  <w:vMerge w:val="restart"/>
                  <w:tcBorders>
                    <w:tl2br w:val="nil"/>
                    <w:tr2bl w:val="nil"/>
                  </w:tcBorders>
                  <w:vAlign w:val="center"/>
                </w:tcPr>
                <w:p w14:paraId="2E0253DC">
                  <w:pPr>
                    <w:pStyle w:val="41"/>
                    <w:widowControl w:val="0"/>
                    <w:spacing w:line="240" w:lineRule="auto"/>
                    <w:ind w:firstLine="0" w:firstLineChars="0"/>
                    <w:rPr>
                      <w:szCs w:val="21"/>
                    </w:rPr>
                  </w:pPr>
                  <w:r>
                    <w:rPr>
                      <w:rFonts w:hint="eastAsia"/>
                      <w:szCs w:val="21"/>
                    </w:rPr>
                    <w:t>超标</w:t>
                  </w:r>
                </w:p>
              </w:tc>
            </w:tr>
            <w:tr w14:paraId="7FCDC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31099DCA">
                  <w:pPr>
                    <w:widowControl/>
                    <w:spacing w:line="240" w:lineRule="auto"/>
                    <w:ind w:firstLine="0" w:firstLineChars="0"/>
                    <w:jc w:val="center"/>
                    <w:textAlignment w:val="center"/>
                    <w:rPr>
                      <w:sz w:val="21"/>
                      <w:szCs w:val="21"/>
                    </w:rPr>
                  </w:pPr>
                </w:p>
              </w:tc>
              <w:tc>
                <w:tcPr>
                  <w:tcW w:w="780" w:type="dxa"/>
                  <w:vMerge w:val="continue"/>
                  <w:tcBorders>
                    <w:tl2br w:val="nil"/>
                    <w:tr2bl w:val="nil"/>
                  </w:tcBorders>
                  <w:vAlign w:val="center"/>
                </w:tcPr>
                <w:p w14:paraId="62F3AD0D">
                  <w:pPr>
                    <w:pStyle w:val="41"/>
                    <w:widowControl w:val="0"/>
                    <w:spacing w:line="240" w:lineRule="auto"/>
                    <w:ind w:firstLine="0" w:firstLineChars="0"/>
                    <w:rPr>
                      <w:szCs w:val="21"/>
                    </w:rPr>
                  </w:pPr>
                </w:p>
              </w:tc>
              <w:tc>
                <w:tcPr>
                  <w:tcW w:w="1524" w:type="dxa"/>
                  <w:tcBorders>
                    <w:tl2br w:val="nil"/>
                    <w:tr2bl w:val="nil"/>
                  </w:tcBorders>
                  <w:vAlign w:val="center"/>
                </w:tcPr>
                <w:p w14:paraId="3F681654">
                  <w:pPr>
                    <w:pStyle w:val="41"/>
                    <w:widowControl w:val="0"/>
                    <w:spacing w:line="240" w:lineRule="auto"/>
                    <w:ind w:firstLine="0" w:firstLineChars="0"/>
                    <w:rPr>
                      <w:szCs w:val="21"/>
                    </w:rPr>
                  </w:pPr>
                  <w:r>
                    <w:rPr>
                      <w:szCs w:val="21"/>
                    </w:rPr>
                    <w:t>24小时平均第95百分位数</w:t>
                  </w:r>
                </w:p>
              </w:tc>
              <w:tc>
                <w:tcPr>
                  <w:tcW w:w="859" w:type="dxa"/>
                  <w:tcBorders>
                    <w:tl2br w:val="nil"/>
                    <w:tr2bl w:val="nil"/>
                  </w:tcBorders>
                  <w:vAlign w:val="center"/>
                </w:tcPr>
                <w:p w14:paraId="266F04F7">
                  <w:pPr>
                    <w:pStyle w:val="41"/>
                    <w:widowControl w:val="0"/>
                    <w:spacing w:line="240" w:lineRule="auto"/>
                    <w:ind w:firstLine="0" w:firstLineChars="0"/>
                    <w:rPr>
                      <w:szCs w:val="21"/>
                    </w:rPr>
                  </w:pPr>
                  <w:r>
                    <w:rPr>
                      <w:rFonts w:hint="eastAsia"/>
                      <w:szCs w:val="21"/>
                    </w:rPr>
                    <w:t>150</w:t>
                  </w:r>
                </w:p>
              </w:tc>
              <w:tc>
                <w:tcPr>
                  <w:tcW w:w="973" w:type="dxa"/>
                  <w:tcBorders>
                    <w:tl2br w:val="nil"/>
                    <w:tr2bl w:val="nil"/>
                  </w:tcBorders>
                  <w:vAlign w:val="center"/>
                </w:tcPr>
                <w:p w14:paraId="38215CA8">
                  <w:pPr>
                    <w:pStyle w:val="41"/>
                    <w:widowControl w:val="0"/>
                    <w:spacing w:line="240" w:lineRule="auto"/>
                    <w:ind w:firstLine="0" w:firstLineChars="0"/>
                    <w:rPr>
                      <w:kern w:val="0"/>
                      <w:szCs w:val="21"/>
                    </w:rPr>
                  </w:pPr>
                  <w:r>
                    <w:rPr>
                      <w:rFonts w:hint="eastAsia"/>
                      <w:kern w:val="0"/>
                      <w:szCs w:val="21"/>
                    </w:rPr>
                    <w:t>234.4</w:t>
                  </w:r>
                </w:p>
              </w:tc>
              <w:tc>
                <w:tcPr>
                  <w:tcW w:w="1077" w:type="dxa"/>
                  <w:tcBorders>
                    <w:tl2br w:val="nil"/>
                    <w:tr2bl w:val="nil"/>
                  </w:tcBorders>
                  <w:vAlign w:val="center"/>
                </w:tcPr>
                <w:p w14:paraId="27E4F183">
                  <w:pPr>
                    <w:spacing w:line="240" w:lineRule="auto"/>
                    <w:ind w:firstLine="0" w:firstLineChars="0"/>
                    <w:jc w:val="center"/>
                    <w:rPr>
                      <w:sz w:val="21"/>
                      <w:szCs w:val="21"/>
                    </w:rPr>
                  </w:pPr>
                  <w:r>
                    <w:rPr>
                      <w:rFonts w:hint="eastAsia"/>
                      <w:sz w:val="21"/>
                      <w:szCs w:val="21"/>
                    </w:rPr>
                    <w:t>156.27</w:t>
                  </w:r>
                </w:p>
              </w:tc>
              <w:tc>
                <w:tcPr>
                  <w:tcW w:w="525" w:type="dxa"/>
                  <w:tcBorders>
                    <w:tl2br w:val="nil"/>
                    <w:tr2bl w:val="nil"/>
                  </w:tcBorders>
                  <w:vAlign w:val="center"/>
                </w:tcPr>
                <w:p w14:paraId="03369CDB">
                  <w:pPr>
                    <w:spacing w:line="240" w:lineRule="auto"/>
                    <w:ind w:firstLine="0" w:firstLineChars="0"/>
                    <w:jc w:val="center"/>
                    <w:rPr>
                      <w:sz w:val="21"/>
                      <w:szCs w:val="21"/>
                    </w:rPr>
                  </w:pPr>
                  <w:r>
                    <w:rPr>
                      <w:rFonts w:hint="eastAsia"/>
                      <w:sz w:val="21"/>
                      <w:szCs w:val="21"/>
                    </w:rPr>
                    <w:t>0.56</w:t>
                  </w:r>
                </w:p>
              </w:tc>
              <w:tc>
                <w:tcPr>
                  <w:tcW w:w="900" w:type="dxa"/>
                  <w:tcBorders>
                    <w:tl2br w:val="nil"/>
                    <w:tr2bl w:val="nil"/>
                  </w:tcBorders>
                  <w:vAlign w:val="center"/>
                </w:tcPr>
                <w:p w14:paraId="086AAD92">
                  <w:pPr>
                    <w:pStyle w:val="41"/>
                    <w:widowControl w:val="0"/>
                    <w:spacing w:line="240" w:lineRule="auto"/>
                    <w:ind w:firstLine="0" w:firstLineChars="0"/>
                    <w:rPr>
                      <w:szCs w:val="21"/>
                    </w:rPr>
                  </w:pPr>
                  <w:r>
                    <w:rPr>
                      <w:rFonts w:hint="eastAsia"/>
                      <w:szCs w:val="21"/>
                    </w:rPr>
                    <w:t>18.21</w:t>
                  </w:r>
                </w:p>
              </w:tc>
              <w:tc>
                <w:tcPr>
                  <w:tcW w:w="600" w:type="dxa"/>
                  <w:vMerge w:val="continue"/>
                  <w:tcBorders>
                    <w:tl2br w:val="nil"/>
                    <w:tr2bl w:val="nil"/>
                  </w:tcBorders>
                  <w:vAlign w:val="center"/>
                </w:tcPr>
                <w:p w14:paraId="68A2C36A">
                  <w:pPr>
                    <w:pStyle w:val="41"/>
                    <w:widowControl w:val="0"/>
                    <w:spacing w:line="240" w:lineRule="auto"/>
                    <w:ind w:firstLine="0" w:firstLineChars="0"/>
                    <w:rPr>
                      <w:szCs w:val="21"/>
                    </w:rPr>
                  </w:pPr>
                </w:p>
              </w:tc>
            </w:tr>
            <w:tr w14:paraId="299D1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04D0CA89">
                  <w:pPr>
                    <w:widowControl/>
                    <w:spacing w:line="240" w:lineRule="auto"/>
                    <w:ind w:firstLine="0" w:firstLineChars="0"/>
                    <w:jc w:val="center"/>
                    <w:textAlignment w:val="center"/>
                    <w:rPr>
                      <w:sz w:val="21"/>
                      <w:szCs w:val="21"/>
                    </w:rPr>
                  </w:pPr>
                </w:p>
              </w:tc>
              <w:tc>
                <w:tcPr>
                  <w:tcW w:w="780" w:type="dxa"/>
                  <w:vMerge w:val="restart"/>
                  <w:tcBorders>
                    <w:tl2br w:val="nil"/>
                    <w:tr2bl w:val="nil"/>
                  </w:tcBorders>
                  <w:vAlign w:val="center"/>
                </w:tcPr>
                <w:p w14:paraId="3708CC6F">
                  <w:pPr>
                    <w:pStyle w:val="41"/>
                    <w:widowControl w:val="0"/>
                    <w:spacing w:line="240" w:lineRule="auto"/>
                    <w:ind w:firstLine="0" w:firstLineChars="0"/>
                    <w:rPr>
                      <w:szCs w:val="21"/>
                    </w:rPr>
                  </w:pPr>
                  <w:r>
                    <w:rPr>
                      <w:szCs w:val="21"/>
                    </w:rPr>
                    <w:t>PM</w:t>
                  </w:r>
                  <w:r>
                    <w:rPr>
                      <w:szCs w:val="21"/>
                      <w:vertAlign w:val="subscript"/>
                    </w:rPr>
                    <w:t>2.5</w:t>
                  </w:r>
                </w:p>
              </w:tc>
              <w:tc>
                <w:tcPr>
                  <w:tcW w:w="1524" w:type="dxa"/>
                  <w:tcBorders>
                    <w:tl2br w:val="nil"/>
                    <w:tr2bl w:val="nil"/>
                  </w:tcBorders>
                  <w:vAlign w:val="center"/>
                </w:tcPr>
                <w:p w14:paraId="7533FECF">
                  <w:pPr>
                    <w:pStyle w:val="41"/>
                    <w:widowControl w:val="0"/>
                    <w:spacing w:line="240" w:lineRule="auto"/>
                    <w:ind w:firstLine="0" w:firstLineChars="0"/>
                    <w:rPr>
                      <w:szCs w:val="21"/>
                    </w:rPr>
                  </w:pPr>
                  <w:r>
                    <w:rPr>
                      <w:szCs w:val="21"/>
                    </w:rPr>
                    <w:t>年平均质量浓度</w:t>
                  </w:r>
                </w:p>
              </w:tc>
              <w:tc>
                <w:tcPr>
                  <w:tcW w:w="859" w:type="dxa"/>
                  <w:tcBorders>
                    <w:tl2br w:val="nil"/>
                    <w:tr2bl w:val="nil"/>
                  </w:tcBorders>
                  <w:vAlign w:val="center"/>
                </w:tcPr>
                <w:p w14:paraId="16B67832">
                  <w:pPr>
                    <w:pStyle w:val="41"/>
                    <w:widowControl w:val="0"/>
                    <w:spacing w:line="240" w:lineRule="auto"/>
                    <w:ind w:firstLine="0" w:firstLineChars="0"/>
                    <w:rPr>
                      <w:szCs w:val="21"/>
                    </w:rPr>
                  </w:pPr>
                  <w:r>
                    <w:rPr>
                      <w:rFonts w:hint="eastAsia"/>
                      <w:szCs w:val="21"/>
                    </w:rPr>
                    <w:t>35</w:t>
                  </w:r>
                </w:p>
              </w:tc>
              <w:tc>
                <w:tcPr>
                  <w:tcW w:w="973" w:type="dxa"/>
                  <w:tcBorders>
                    <w:tl2br w:val="nil"/>
                    <w:tr2bl w:val="nil"/>
                  </w:tcBorders>
                  <w:vAlign w:val="center"/>
                </w:tcPr>
                <w:p w14:paraId="71A0C18B">
                  <w:pPr>
                    <w:pStyle w:val="41"/>
                    <w:widowControl w:val="0"/>
                    <w:spacing w:line="240" w:lineRule="auto"/>
                    <w:ind w:firstLine="0" w:firstLineChars="0"/>
                    <w:rPr>
                      <w:kern w:val="0"/>
                      <w:szCs w:val="21"/>
                    </w:rPr>
                  </w:pPr>
                  <w:r>
                    <w:rPr>
                      <w:rFonts w:hint="eastAsia"/>
                      <w:kern w:val="0"/>
                      <w:szCs w:val="21"/>
                    </w:rPr>
                    <w:t>62.8</w:t>
                  </w:r>
                </w:p>
              </w:tc>
              <w:tc>
                <w:tcPr>
                  <w:tcW w:w="1077" w:type="dxa"/>
                  <w:tcBorders>
                    <w:tl2br w:val="nil"/>
                    <w:tr2bl w:val="nil"/>
                  </w:tcBorders>
                  <w:vAlign w:val="center"/>
                </w:tcPr>
                <w:p w14:paraId="0C2E2511">
                  <w:pPr>
                    <w:spacing w:line="240" w:lineRule="auto"/>
                    <w:ind w:firstLine="0" w:firstLineChars="0"/>
                    <w:jc w:val="center"/>
                    <w:rPr>
                      <w:sz w:val="21"/>
                      <w:szCs w:val="21"/>
                    </w:rPr>
                  </w:pPr>
                  <w:r>
                    <w:rPr>
                      <w:rFonts w:hint="eastAsia"/>
                      <w:sz w:val="21"/>
                      <w:szCs w:val="21"/>
                    </w:rPr>
                    <w:t>179.46</w:t>
                  </w:r>
                </w:p>
              </w:tc>
              <w:tc>
                <w:tcPr>
                  <w:tcW w:w="525" w:type="dxa"/>
                  <w:tcBorders>
                    <w:tl2br w:val="nil"/>
                    <w:tr2bl w:val="nil"/>
                  </w:tcBorders>
                  <w:vAlign w:val="center"/>
                </w:tcPr>
                <w:p w14:paraId="5A57D94A">
                  <w:pPr>
                    <w:spacing w:line="240" w:lineRule="auto"/>
                    <w:ind w:firstLine="0" w:firstLineChars="0"/>
                    <w:jc w:val="center"/>
                    <w:rPr>
                      <w:sz w:val="21"/>
                      <w:szCs w:val="21"/>
                    </w:rPr>
                  </w:pPr>
                  <w:r>
                    <w:rPr>
                      <w:rFonts w:hint="eastAsia"/>
                      <w:sz w:val="21"/>
                      <w:szCs w:val="21"/>
                    </w:rPr>
                    <w:t>0.79</w:t>
                  </w:r>
                </w:p>
              </w:tc>
              <w:tc>
                <w:tcPr>
                  <w:tcW w:w="900" w:type="dxa"/>
                  <w:tcBorders>
                    <w:tl2br w:val="nil"/>
                    <w:tr2bl w:val="nil"/>
                  </w:tcBorders>
                  <w:vAlign w:val="center"/>
                </w:tcPr>
                <w:p w14:paraId="5EE06FB3">
                  <w:pPr>
                    <w:pStyle w:val="41"/>
                    <w:widowControl w:val="0"/>
                    <w:spacing w:line="240" w:lineRule="auto"/>
                    <w:ind w:firstLine="0" w:firstLineChars="0"/>
                    <w:rPr>
                      <w:szCs w:val="21"/>
                    </w:rPr>
                  </w:pPr>
                  <w:r>
                    <w:rPr>
                      <w:rFonts w:hint="eastAsia"/>
                      <w:szCs w:val="21"/>
                    </w:rPr>
                    <w:t>-</w:t>
                  </w:r>
                </w:p>
              </w:tc>
              <w:tc>
                <w:tcPr>
                  <w:tcW w:w="600" w:type="dxa"/>
                  <w:vMerge w:val="restart"/>
                  <w:tcBorders>
                    <w:tl2br w:val="nil"/>
                    <w:tr2bl w:val="nil"/>
                  </w:tcBorders>
                  <w:vAlign w:val="center"/>
                </w:tcPr>
                <w:p w14:paraId="75659C7F">
                  <w:pPr>
                    <w:spacing w:line="240" w:lineRule="auto"/>
                    <w:ind w:firstLine="0" w:firstLineChars="0"/>
                    <w:jc w:val="center"/>
                    <w:rPr>
                      <w:bCs/>
                      <w:sz w:val="21"/>
                      <w:szCs w:val="21"/>
                    </w:rPr>
                  </w:pPr>
                  <w:r>
                    <w:rPr>
                      <w:rFonts w:hint="eastAsia"/>
                      <w:bCs/>
                      <w:sz w:val="21"/>
                      <w:szCs w:val="21"/>
                    </w:rPr>
                    <w:t>超标</w:t>
                  </w:r>
                </w:p>
              </w:tc>
            </w:tr>
            <w:tr w14:paraId="27EE5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4" w:type="dxa"/>
                  <w:vMerge w:val="continue"/>
                  <w:tcBorders>
                    <w:tl2br w:val="nil"/>
                    <w:tr2bl w:val="nil"/>
                  </w:tcBorders>
                  <w:vAlign w:val="center"/>
                </w:tcPr>
                <w:p w14:paraId="1AB29E93">
                  <w:pPr>
                    <w:widowControl/>
                    <w:spacing w:line="240" w:lineRule="auto"/>
                    <w:ind w:firstLine="0" w:firstLineChars="0"/>
                    <w:jc w:val="center"/>
                    <w:textAlignment w:val="center"/>
                    <w:rPr>
                      <w:sz w:val="21"/>
                      <w:szCs w:val="21"/>
                    </w:rPr>
                  </w:pPr>
                </w:p>
              </w:tc>
              <w:tc>
                <w:tcPr>
                  <w:tcW w:w="780" w:type="dxa"/>
                  <w:vMerge w:val="continue"/>
                  <w:tcBorders>
                    <w:tl2br w:val="nil"/>
                    <w:tr2bl w:val="nil"/>
                  </w:tcBorders>
                  <w:vAlign w:val="center"/>
                </w:tcPr>
                <w:p w14:paraId="18A4BE57">
                  <w:pPr>
                    <w:pStyle w:val="41"/>
                    <w:widowControl w:val="0"/>
                    <w:spacing w:line="240" w:lineRule="auto"/>
                    <w:ind w:firstLine="0" w:firstLineChars="0"/>
                    <w:rPr>
                      <w:szCs w:val="21"/>
                    </w:rPr>
                  </w:pPr>
                </w:p>
              </w:tc>
              <w:tc>
                <w:tcPr>
                  <w:tcW w:w="1524" w:type="dxa"/>
                  <w:tcBorders>
                    <w:tl2br w:val="nil"/>
                    <w:tr2bl w:val="nil"/>
                  </w:tcBorders>
                  <w:vAlign w:val="center"/>
                </w:tcPr>
                <w:p w14:paraId="5A39870C">
                  <w:pPr>
                    <w:pStyle w:val="41"/>
                    <w:widowControl w:val="0"/>
                    <w:spacing w:line="240" w:lineRule="auto"/>
                    <w:ind w:firstLine="0" w:firstLineChars="0"/>
                    <w:rPr>
                      <w:szCs w:val="21"/>
                    </w:rPr>
                  </w:pPr>
                  <w:r>
                    <w:rPr>
                      <w:szCs w:val="21"/>
                    </w:rPr>
                    <w:t>24小时平均第95百分位数</w:t>
                  </w:r>
                </w:p>
              </w:tc>
              <w:tc>
                <w:tcPr>
                  <w:tcW w:w="859" w:type="dxa"/>
                  <w:tcBorders>
                    <w:tl2br w:val="nil"/>
                    <w:tr2bl w:val="nil"/>
                  </w:tcBorders>
                  <w:vAlign w:val="center"/>
                </w:tcPr>
                <w:p w14:paraId="5DE6F3F3">
                  <w:pPr>
                    <w:pStyle w:val="41"/>
                    <w:widowControl w:val="0"/>
                    <w:spacing w:line="240" w:lineRule="auto"/>
                    <w:ind w:firstLine="0" w:firstLineChars="0"/>
                    <w:rPr>
                      <w:szCs w:val="21"/>
                    </w:rPr>
                  </w:pPr>
                  <w:r>
                    <w:rPr>
                      <w:rFonts w:hint="eastAsia"/>
                      <w:szCs w:val="21"/>
                    </w:rPr>
                    <w:t>75</w:t>
                  </w:r>
                </w:p>
              </w:tc>
              <w:tc>
                <w:tcPr>
                  <w:tcW w:w="973" w:type="dxa"/>
                  <w:tcBorders>
                    <w:tl2br w:val="nil"/>
                    <w:tr2bl w:val="nil"/>
                  </w:tcBorders>
                  <w:vAlign w:val="center"/>
                </w:tcPr>
                <w:p w14:paraId="3FEB212F">
                  <w:pPr>
                    <w:pStyle w:val="41"/>
                    <w:widowControl w:val="0"/>
                    <w:spacing w:line="240" w:lineRule="auto"/>
                    <w:ind w:firstLine="0" w:firstLineChars="0"/>
                    <w:rPr>
                      <w:kern w:val="0"/>
                      <w:szCs w:val="21"/>
                    </w:rPr>
                  </w:pPr>
                  <w:r>
                    <w:rPr>
                      <w:rFonts w:hint="eastAsia"/>
                      <w:kern w:val="0"/>
                      <w:szCs w:val="21"/>
                    </w:rPr>
                    <w:t>166.6</w:t>
                  </w:r>
                </w:p>
              </w:tc>
              <w:tc>
                <w:tcPr>
                  <w:tcW w:w="1077" w:type="dxa"/>
                  <w:tcBorders>
                    <w:tl2br w:val="nil"/>
                    <w:tr2bl w:val="nil"/>
                  </w:tcBorders>
                  <w:vAlign w:val="center"/>
                </w:tcPr>
                <w:p w14:paraId="1AD3556C">
                  <w:pPr>
                    <w:spacing w:line="240" w:lineRule="auto"/>
                    <w:ind w:firstLine="0" w:firstLineChars="0"/>
                    <w:jc w:val="center"/>
                    <w:rPr>
                      <w:sz w:val="21"/>
                      <w:szCs w:val="21"/>
                    </w:rPr>
                  </w:pPr>
                  <w:r>
                    <w:rPr>
                      <w:rFonts w:hint="eastAsia"/>
                      <w:sz w:val="21"/>
                      <w:szCs w:val="21"/>
                    </w:rPr>
                    <w:t>222.13</w:t>
                  </w:r>
                </w:p>
              </w:tc>
              <w:tc>
                <w:tcPr>
                  <w:tcW w:w="525" w:type="dxa"/>
                  <w:tcBorders>
                    <w:tl2br w:val="nil"/>
                    <w:tr2bl w:val="nil"/>
                  </w:tcBorders>
                  <w:vAlign w:val="center"/>
                </w:tcPr>
                <w:p w14:paraId="577701F1">
                  <w:pPr>
                    <w:spacing w:line="240" w:lineRule="auto"/>
                    <w:ind w:firstLine="0" w:firstLineChars="0"/>
                    <w:jc w:val="center"/>
                    <w:rPr>
                      <w:sz w:val="21"/>
                      <w:szCs w:val="21"/>
                    </w:rPr>
                  </w:pPr>
                  <w:r>
                    <w:rPr>
                      <w:rFonts w:hint="eastAsia"/>
                      <w:sz w:val="21"/>
                      <w:szCs w:val="21"/>
                    </w:rPr>
                    <w:t>1.22</w:t>
                  </w:r>
                </w:p>
              </w:tc>
              <w:tc>
                <w:tcPr>
                  <w:tcW w:w="900" w:type="dxa"/>
                  <w:tcBorders>
                    <w:tl2br w:val="nil"/>
                    <w:tr2bl w:val="nil"/>
                  </w:tcBorders>
                  <w:vAlign w:val="center"/>
                </w:tcPr>
                <w:p w14:paraId="52DA2A16">
                  <w:pPr>
                    <w:pStyle w:val="41"/>
                    <w:widowControl w:val="0"/>
                    <w:spacing w:line="240" w:lineRule="auto"/>
                    <w:ind w:firstLine="0" w:firstLineChars="0"/>
                    <w:rPr>
                      <w:szCs w:val="21"/>
                    </w:rPr>
                  </w:pPr>
                  <w:r>
                    <w:rPr>
                      <w:rFonts w:hint="eastAsia"/>
                      <w:szCs w:val="21"/>
                    </w:rPr>
                    <w:t>20.23</w:t>
                  </w:r>
                </w:p>
              </w:tc>
              <w:tc>
                <w:tcPr>
                  <w:tcW w:w="600" w:type="dxa"/>
                  <w:vMerge w:val="continue"/>
                  <w:tcBorders>
                    <w:tl2br w:val="nil"/>
                    <w:tr2bl w:val="nil"/>
                  </w:tcBorders>
                  <w:vAlign w:val="center"/>
                </w:tcPr>
                <w:p w14:paraId="1A32E2A1">
                  <w:pPr>
                    <w:spacing w:line="240" w:lineRule="auto"/>
                    <w:ind w:firstLine="0" w:firstLineChars="0"/>
                    <w:jc w:val="center"/>
                    <w:rPr>
                      <w:bCs/>
                      <w:sz w:val="21"/>
                      <w:szCs w:val="21"/>
                    </w:rPr>
                  </w:pPr>
                </w:p>
              </w:tc>
            </w:tr>
          </w:tbl>
          <w:p w14:paraId="3B37B20D">
            <w:pPr>
              <w:widowControl/>
              <w:ind w:firstLine="480"/>
            </w:pPr>
            <w:r>
              <w:t>由上表可知，</w:t>
            </w:r>
            <w:r>
              <w:rPr>
                <w:color w:val="000000"/>
                <w:kern w:val="0"/>
              </w:rPr>
              <w:t>唐山市高新区环境空气例行监测点年评价指标中SO</w:t>
            </w:r>
            <w:r>
              <w:rPr>
                <w:color w:val="000000"/>
                <w:kern w:val="0"/>
                <w:vertAlign w:val="subscript"/>
              </w:rPr>
              <w:t>2</w:t>
            </w:r>
            <w:r>
              <w:rPr>
                <w:color w:val="000000"/>
                <w:kern w:val="0"/>
              </w:rPr>
              <w:t>年均值及24小时平均第98百分位数值、CO24小时平均第95百分位数值满足《环境空气质量标准》</w:t>
            </w:r>
            <w:r>
              <w:rPr>
                <w:rFonts w:hint="eastAsia"/>
                <w:color w:val="000000"/>
                <w:kern w:val="0"/>
              </w:rPr>
              <w:t>（</w:t>
            </w:r>
            <w:r>
              <w:rPr>
                <w:color w:val="000000"/>
                <w:kern w:val="0"/>
              </w:rPr>
              <w:t>GB3095－2012</w:t>
            </w:r>
            <w:r>
              <w:rPr>
                <w:rFonts w:hint="eastAsia"/>
                <w:color w:val="000000"/>
                <w:kern w:val="0"/>
              </w:rPr>
              <w:t>）</w:t>
            </w:r>
            <w:r>
              <w:rPr>
                <w:color w:val="000000"/>
                <w:kern w:val="0"/>
              </w:rPr>
              <w:t>中二级标准及修改单(环境保护部公告2018年第29号)要求；NO</w:t>
            </w:r>
            <w:r>
              <w:rPr>
                <w:color w:val="000000"/>
                <w:kern w:val="0"/>
                <w:vertAlign w:val="subscript"/>
              </w:rPr>
              <w:t>2</w:t>
            </w:r>
            <w:r>
              <w:rPr>
                <w:color w:val="000000"/>
                <w:kern w:val="0"/>
              </w:rPr>
              <w:t>年均值及24小时平均第98百分位数值、PM</w:t>
            </w:r>
            <w:r>
              <w:rPr>
                <w:color w:val="000000"/>
                <w:kern w:val="0"/>
                <w:vertAlign w:val="subscript"/>
              </w:rPr>
              <w:t>10</w:t>
            </w:r>
            <w:r>
              <w:rPr>
                <w:color w:val="000000"/>
                <w:kern w:val="0"/>
              </w:rPr>
              <w:t>和PM</w:t>
            </w:r>
            <w:r>
              <w:rPr>
                <w:color w:val="000000"/>
                <w:kern w:val="0"/>
                <w:vertAlign w:val="subscript"/>
              </w:rPr>
              <w:t>2.5</w:t>
            </w:r>
            <w:r>
              <w:rPr>
                <w:color w:val="000000"/>
                <w:kern w:val="0"/>
              </w:rPr>
              <w:t>年平均值及24小时平均第95百分位数值、O</w:t>
            </w:r>
            <w:r>
              <w:rPr>
                <w:color w:val="000000"/>
                <w:kern w:val="0"/>
                <w:vertAlign w:val="subscript"/>
              </w:rPr>
              <w:t>3</w:t>
            </w:r>
            <w:r>
              <w:rPr>
                <w:color w:val="000000"/>
                <w:kern w:val="0"/>
              </w:rPr>
              <w:t>日最大8小时滑动平均值的第90百分位数值超过了《环境空气质量标准》</w:t>
            </w:r>
            <w:r>
              <w:rPr>
                <w:rFonts w:hint="eastAsia"/>
                <w:color w:val="000000"/>
                <w:kern w:val="0"/>
              </w:rPr>
              <w:t>（</w:t>
            </w:r>
            <w:r>
              <w:rPr>
                <w:color w:val="000000"/>
                <w:kern w:val="0"/>
              </w:rPr>
              <w:t>GB3095－2012</w:t>
            </w:r>
            <w:r>
              <w:rPr>
                <w:rFonts w:hint="eastAsia"/>
                <w:color w:val="000000"/>
                <w:kern w:val="0"/>
              </w:rPr>
              <w:t>）</w:t>
            </w:r>
            <w:r>
              <w:rPr>
                <w:color w:val="000000"/>
                <w:kern w:val="0"/>
              </w:rPr>
              <w:t>及修改单</w:t>
            </w:r>
            <w:r>
              <w:rPr>
                <w:rFonts w:hint="eastAsia"/>
                <w:color w:val="000000"/>
                <w:kern w:val="0"/>
              </w:rPr>
              <w:t>（</w:t>
            </w:r>
            <w:r>
              <w:rPr>
                <w:color w:val="000000"/>
                <w:kern w:val="0"/>
              </w:rPr>
              <w:t>环境保护部公告2018年第29号</w:t>
            </w:r>
            <w:r>
              <w:rPr>
                <w:rFonts w:hint="eastAsia"/>
                <w:color w:val="000000"/>
                <w:kern w:val="0"/>
              </w:rPr>
              <w:t>）</w:t>
            </w:r>
            <w:r>
              <w:rPr>
                <w:color w:val="000000"/>
                <w:kern w:val="0"/>
              </w:rPr>
              <w:t>中二级标准要求，O</w:t>
            </w:r>
            <w:r>
              <w:rPr>
                <w:color w:val="000000"/>
                <w:kern w:val="0"/>
                <w:vertAlign w:val="subscript"/>
              </w:rPr>
              <w:t>3</w:t>
            </w:r>
            <w:r>
              <w:rPr>
                <w:color w:val="000000"/>
                <w:kern w:val="0"/>
              </w:rPr>
              <w:t>、NO</w:t>
            </w:r>
            <w:r>
              <w:rPr>
                <w:color w:val="000000"/>
                <w:kern w:val="0"/>
                <w:vertAlign w:val="subscript"/>
              </w:rPr>
              <w:t>2</w:t>
            </w:r>
            <w:r>
              <w:rPr>
                <w:color w:val="000000"/>
                <w:kern w:val="0"/>
              </w:rPr>
              <w:t>、PM</w:t>
            </w:r>
            <w:r>
              <w:rPr>
                <w:color w:val="000000"/>
                <w:kern w:val="0"/>
                <w:vertAlign w:val="subscript"/>
              </w:rPr>
              <w:t>10</w:t>
            </w:r>
            <w:r>
              <w:rPr>
                <w:color w:val="000000"/>
                <w:kern w:val="0"/>
              </w:rPr>
              <w:t>、PM</w:t>
            </w:r>
            <w:r>
              <w:rPr>
                <w:color w:val="000000"/>
                <w:kern w:val="0"/>
                <w:vertAlign w:val="subscript"/>
              </w:rPr>
              <w:t>2.5</w:t>
            </w:r>
            <w:r>
              <w:rPr>
                <w:color w:val="000000"/>
                <w:kern w:val="0"/>
              </w:rPr>
              <w:t>为超标因子</w:t>
            </w:r>
            <w:r>
              <w:t>。</w:t>
            </w:r>
          </w:p>
          <w:p w14:paraId="245DCE6A">
            <w:pPr>
              <w:ind w:firstLine="480"/>
            </w:pPr>
            <w:r>
              <w:rPr>
                <w:rFonts w:hint="eastAsia"/>
              </w:rPr>
              <w:t>（2）</w:t>
            </w:r>
            <w:r>
              <w:t>其他污染物环境质量现状评价</w:t>
            </w:r>
          </w:p>
          <w:p w14:paraId="2A638464">
            <w:pPr>
              <w:ind w:firstLine="480"/>
            </w:pPr>
            <w:r>
              <w:rPr>
                <w:rFonts w:hint="eastAsia"/>
              </w:rPr>
              <w:t>根据《建设项目环境影响报告表编制技术指南（污染影响类）（试行）》“排放国家、地方环境空气质量标准中有标准限值要求的特征污染物时，引用建设项目周边5千米范围内近3年的现有监测数据，无相关数据的选择当季主导风向下风向1个点位补充不少于3天的监测数据”。本项目生产过程涉及排放的有环境空气质量标准限值的特征污染物为TSP、挥发性有机物（以非甲烷总烃计）。本次在评价特征污染物环境质量现状时，引用建设项目周边5千米范围内近3年的现有监测数据进行分析。</w:t>
            </w:r>
          </w:p>
          <w:p w14:paraId="152B0176">
            <w:pPr>
              <w:pStyle w:val="13"/>
              <w:spacing w:after="0"/>
              <w:ind w:left="0" w:leftChars="0" w:right="0" w:rightChars="0" w:firstLine="480"/>
              <w:rPr>
                <w:szCs w:val="21"/>
                <w:lang w:eastAsia="zh-TW"/>
              </w:rPr>
            </w:pPr>
            <w:r>
              <w:rPr>
                <w:rFonts w:hint="eastAsia"/>
              </w:rPr>
              <w:t>TSP、挥发性有机物（以非甲烷总烃计）</w:t>
            </w:r>
            <w:r>
              <w:rPr>
                <w:szCs w:val="21"/>
                <w:lang w:eastAsia="zh-TW"/>
              </w:rPr>
              <w:t>环境质量现状</w:t>
            </w:r>
            <w:r>
              <w:rPr>
                <w:rFonts w:hint="eastAsia"/>
                <w:szCs w:val="21"/>
              </w:rPr>
              <w:t>检测</w:t>
            </w:r>
            <w:r>
              <w:rPr>
                <w:szCs w:val="21"/>
                <w:lang w:eastAsia="zh-TW"/>
              </w:rPr>
              <w:t>数据引用</w:t>
            </w:r>
            <w:r>
              <w:rPr>
                <w:rFonts w:hint="eastAsia"/>
                <w:szCs w:val="21"/>
              </w:rPr>
              <w:t>《唐山高新区京唐智慧港总体规划（2020-2035）环境影响报告书》内</w:t>
            </w:r>
            <w:r>
              <w:t>20</w:t>
            </w:r>
            <w:r>
              <w:rPr>
                <w:rFonts w:hint="eastAsia"/>
              </w:rPr>
              <w:t>19</w:t>
            </w:r>
            <w:r>
              <w:rPr>
                <w:rFonts w:ascii="宋体" w:hAnsi="宋体"/>
              </w:rPr>
              <w:t>年</w:t>
            </w:r>
            <w:r>
              <w:rPr>
                <w:rFonts w:hint="eastAsia"/>
              </w:rPr>
              <w:t>12</w:t>
            </w:r>
            <w:r>
              <w:rPr>
                <w:rFonts w:ascii="宋体" w:hAnsi="宋体"/>
              </w:rPr>
              <w:t>月</w:t>
            </w:r>
            <w:r>
              <w:rPr>
                <w:rFonts w:hint="eastAsia"/>
                <w:szCs w:val="21"/>
              </w:rPr>
              <w:t>13日-15日，12月17日-20日（2019年12月16日下雪，不具备监测条件，估2019年12月16日未检测）对毛家坨二村出具的环境质量现状检测报告，该检测点位距本项目320m，引用数据符合《建设项目环境影响报告表编制技术指南（污染影响类）（试行</w:t>
            </w:r>
            <w:r>
              <w:rPr>
                <w:rFonts w:hint="eastAsia"/>
              </w:rPr>
              <w:t>）》要求，引用数据可用</w:t>
            </w:r>
            <w:r>
              <w:rPr>
                <w:szCs w:val="21"/>
                <w:lang w:eastAsia="zh-TW"/>
              </w:rPr>
              <w:t>。</w:t>
            </w:r>
          </w:p>
          <w:p w14:paraId="34715611">
            <w:pPr>
              <w:spacing w:line="360" w:lineRule="auto"/>
              <w:ind w:firstLine="0" w:firstLineChars="0"/>
              <w:jc w:val="center"/>
              <w:rPr>
                <w:b/>
                <w:bCs/>
                <w:sz w:val="21"/>
                <w:szCs w:val="21"/>
              </w:rPr>
            </w:pPr>
            <w:r>
              <w:rPr>
                <w:b/>
                <w:bCs/>
                <w:sz w:val="21"/>
                <w:szCs w:val="21"/>
              </w:rPr>
              <w:t>表</w:t>
            </w:r>
            <w:r>
              <w:rPr>
                <w:rFonts w:hint="eastAsia"/>
                <w:b/>
                <w:bCs/>
                <w:sz w:val="21"/>
                <w:szCs w:val="21"/>
              </w:rPr>
              <w:t xml:space="preserve">3-3  </w:t>
            </w:r>
            <w:r>
              <w:rPr>
                <w:b/>
                <w:bCs/>
                <w:sz w:val="21"/>
                <w:szCs w:val="21"/>
              </w:rPr>
              <w:t>其他污染物环境质量现状</w:t>
            </w:r>
            <w:r>
              <w:rPr>
                <w:rFonts w:hint="eastAsia"/>
                <w:b/>
                <w:bCs/>
                <w:sz w:val="21"/>
                <w:szCs w:val="21"/>
              </w:rPr>
              <w:t>检测</w:t>
            </w:r>
            <w:r>
              <w:rPr>
                <w:b/>
                <w:bCs/>
                <w:sz w:val="21"/>
                <w:szCs w:val="21"/>
              </w:rPr>
              <w:t>结果</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2"/>
              <w:gridCol w:w="510"/>
              <w:gridCol w:w="510"/>
              <w:gridCol w:w="937"/>
              <w:gridCol w:w="1307"/>
              <w:gridCol w:w="1129"/>
              <w:gridCol w:w="954"/>
              <w:gridCol w:w="1186"/>
              <w:gridCol w:w="798"/>
            </w:tblGrid>
            <w:tr w14:paraId="11CBD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2" w:type="dxa"/>
                  <w:vMerge w:val="restart"/>
                  <w:vAlign w:val="center"/>
                </w:tcPr>
                <w:p w14:paraId="0924A687">
                  <w:pPr>
                    <w:pStyle w:val="46"/>
                    <w:adjustRightInd w:val="0"/>
                  </w:pPr>
                  <w:r>
                    <w:t>检测</w:t>
                  </w:r>
                </w:p>
                <w:p w14:paraId="2273C9AB">
                  <w:pPr>
                    <w:pStyle w:val="46"/>
                    <w:adjustRightInd w:val="0"/>
                  </w:pPr>
                  <w:r>
                    <w:t>点位</w:t>
                  </w:r>
                </w:p>
              </w:tc>
              <w:tc>
                <w:tcPr>
                  <w:tcW w:w="1020" w:type="dxa"/>
                  <w:gridSpan w:val="2"/>
                  <w:vAlign w:val="center"/>
                </w:tcPr>
                <w:p w14:paraId="1DDC33FA">
                  <w:pPr>
                    <w:pStyle w:val="46"/>
                    <w:adjustRightInd w:val="0"/>
                  </w:pPr>
                  <w:r>
                    <w:t>检测点坐标（m）</w:t>
                  </w:r>
                </w:p>
              </w:tc>
              <w:tc>
                <w:tcPr>
                  <w:tcW w:w="937" w:type="dxa"/>
                  <w:vMerge w:val="restart"/>
                  <w:vAlign w:val="center"/>
                </w:tcPr>
                <w:p w14:paraId="6084E6E4">
                  <w:pPr>
                    <w:pStyle w:val="46"/>
                    <w:adjustRightInd w:val="0"/>
                  </w:pPr>
                  <w:r>
                    <w:t>污染物</w:t>
                  </w:r>
                </w:p>
              </w:tc>
              <w:tc>
                <w:tcPr>
                  <w:tcW w:w="1307" w:type="dxa"/>
                  <w:vMerge w:val="restart"/>
                  <w:vAlign w:val="center"/>
                </w:tcPr>
                <w:p w14:paraId="190B1B5E">
                  <w:pPr>
                    <w:spacing w:line="240" w:lineRule="auto"/>
                    <w:ind w:firstLine="0" w:firstLineChars="0"/>
                    <w:jc w:val="center"/>
                    <w:rPr>
                      <w:sz w:val="21"/>
                      <w:szCs w:val="21"/>
                    </w:rPr>
                  </w:pPr>
                  <w:r>
                    <w:rPr>
                      <w:sz w:val="21"/>
                      <w:szCs w:val="21"/>
                    </w:rPr>
                    <w:t>类别</w:t>
                  </w:r>
                </w:p>
              </w:tc>
              <w:tc>
                <w:tcPr>
                  <w:tcW w:w="1129" w:type="dxa"/>
                  <w:vMerge w:val="restart"/>
                  <w:vAlign w:val="center"/>
                </w:tcPr>
                <w:p w14:paraId="534B7E5E">
                  <w:pPr>
                    <w:spacing w:line="240" w:lineRule="auto"/>
                    <w:ind w:firstLine="0" w:firstLineChars="0"/>
                    <w:jc w:val="center"/>
                    <w:rPr>
                      <w:sz w:val="21"/>
                      <w:szCs w:val="21"/>
                    </w:rPr>
                  </w:pPr>
                  <w:r>
                    <w:rPr>
                      <w:sz w:val="21"/>
                      <w:szCs w:val="21"/>
                    </w:rPr>
                    <w:t>监测值</w:t>
                  </w:r>
                </w:p>
                <w:p w14:paraId="310D112D">
                  <w:pPr>
                    <w:spacing w:line="240" w:lineRule="auto"/>
                    <w:ind w:firstLine="0" w:firstLineChars="0"/>
                    <w:jc w:val="center"/>
                    <w:rPr>
                      <w:sz w:val="21"/>
                      <w:szCs w:val="21"/>
                    </w:rPr>
                  </w:pPr>
                  <w:r>
                    <w:rPr>
                      <w:sz w:val="21"/>
                      <w:szCs w:val="21"/>
                    </w:rPr>
                    <w:t>(</w:t>
                  </w:r>
                  <w:r>
                    <w:rPr>
                      <w:rFonts w:hint="eastAsia"/>
                      <w:sz w:val="21"/>
                      <w:szCs w:val="21"/>
                    </w:rPr>
                    <w:t>㎍</w:t>
                  </w:r>
                  <w:r>
                    <w:rPr>
                      <w:sz w:val="21"/>
                      <w:szCs w:val="21"/>
                    </w:rPr>
                    <w:t>/m</w:t>
                  </w:r>
                  <w:r>
                    <w:rPr>
                      <w:sz w:val="21"/>
                      <w:szCs w:val="21"/>
                      <w:vertAlign w:val="superscript"/>
                    </w:rPr>
                    <w:t>3</w:t>
                  </w:r>
                  <w:r>
                    <w:rPr>
                      <w:sz w:val="21"/>
                      <w:szCs w:val="21"/>
                    </w:rPr>
                    <w:t>)</w:t>
                  </w:r>
                </w:p>
              </w:tc>
              <w:tc>
                <w:tcPr>
                  <w:tcW w:w="954" w:type="dxa"/>
                  <w:vMerge w:val="restart"/>
                  <w:vAlign w:val="center"/>
                </w:tcPr>
                <w:p w14:paraId="4FF14916">
                  <w:pPr>
                    <w:spacing w:line="240" w:lineRule="auto"/>
                    <w:ind w:firstLine="0" w:firstLineChars="0"/>
                    <w:jc w:val="center"/>
                    <w:rPr>
                      <w:sz w:val="21"/>
                      <w:szCs w:val="21"/>
                    </w:rPr>
                  </w:pPr>
                  <w:r>
                    <w:rPr>
                      <w:sz w:val="21"/>
                      <w:szCs w:val="21"/>
                    </w:rPr>
                    <w:t>标准值</w:t>
                  </w:r>
                </w:p>
                <w:p w14:paraId="4D7B9A82">
                  <w:pPr>
                    <w:spacing w:line="240" w:lineRule="auto"/>
                    <w:ind w:firstLine="0" w:firstLineChars="0"/>
                    <w:jc w:val="center"/>
                    <w:rPr>
                      <w:sz w:val="21"/>
                      <w:szCs w:val="21"/>
                    </w:rPr>
                  </w:pPr>
                  <w:r>
                    <w:rPr>
                      <w:sz w:val="21"/>
                      <w:szCs w:val="21"/>
                    </w:rPr>
                    <w:t>(</w:t>
                  </w:r>
                  <w:r>
                    <w:rPr>
                      <w:rFonts w:hint="eastAsia"/>
                      <w:sz w:val="21"/>
                      <w:szCs w:val="21"/>
                    </w:rPr>
                    <w:t>㎍</w:t>
                  </w:r>
                  <w:r>
                    <w:rPr>
                      <w:sz w:val="21"/>
                      <w:szCs w:val="21"/>
                    </w:rPr>
                    <w:t>/m</w:t>
                  </w:r>
                  <w:r>
                    <w:rPr>
                      <w:sz w:val="21"/>
                      <w:szCs w:val="21"/>
                      <w:vertAlign w:val="superscript"/>
                    </w:rPr>
                    <w:t>3</w:t>
                  </w:r>
                  <w:r>
                    <w:rPr>
                      <w:sz w:val="21"/>
                      <w:szCs w:val="21"/>
                    </w:rPr>
                    <w:t>)</w:t>
                  </w:r>
                </w:p>
              </w:tc>
              <w:tc>
                <w:tcPr>
                  <w:tcW w:w="1186" w:type="dxa"/>
                  <w:vMerge w:val="restart"/>
                  <w:vAlign w:val="center"/>
                </w:tcPr>
                <w:p w14:paraId="7F03F3AC">
                  <w:pPr>
                    <w:spacing w:line="240" w:lineRule="auto"/>
                    <w:ind w:firstLine="0" w:firstLineChars="0"/>
                    <w:jc w:val="center"/>
                    <w:rPr>
                      <w:sz w:val="21"/>
                      <w:szCs w:val="21"/>
                    </w:rPr>
                  </w:pPr>
                  <w:r>
                    <w:rPr>
                      <w:rFonts w:hint="eastAsia"/>
                      <w:sz w:val="21"/>
                      <w:szCs w:val="21"/>
                    </w:rPr>
                    <w:t>最大浓度占标率（%）</w:t>
                  </w:r>
                </w:p>
              </w:tc>
              <w:tc>
                <w:tcPr>
                  <w:tcW w:w="798" w:type="dxa"/>
                  <w:vMerge w:val="restart"/>
                  <w:vAlign w:val="center"/>
                </w:tcPr>
                <w:p w14:paraId="08C1A114">
                  <w:pPr>
                    <w:pStyle w:val="46"/>
                  </w:pPr>
                  <w:r>
                    <w:t>达标情况</w:t>
                  </w:r>
                </w:p>
              </w:tc>
            </w:tr>
            <w:tr w14:paraId="77052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2" w:type="dxa"/>
                  <w:vMerge w:val="continue"/>
                  <w:vAlign w:val="center"/>
                </w:tcPr>
                <w:p w14:paraId="2674744E">
                  <w:pPr>
                    <w:pStyle w:val="46"/>
                    <w:adjustRightInd w:val="0"/>
                  </w:pPr>
                </w:p>
              </w:tc>
              <w:tc>
                <w:tcPr>
                  <w:tcW w:w="510" w:type="dxa"/>
                  <w:vAlign w:val="center"/>
                </w:tcPr>
                <w:p w14:paraId="26881918">
                  <w:pPr>
                    <w:pStyle w:val="46"/>
                    <w:adjustRightInd w:val="0"/>
                  </w:pPr>
                  <w:r>
                    <w:t>X</w:t>
                  </w:r>
                </w:p>
              </w:tc>
              <w:tc>
                <w:tcPr>
                  <w:tcW w:w="510" w:type="dxa"/>
                  <w:vAlign w:val="center"/>
                </w:tcPr>
                <w:p w14:paraId="6A7767FE">
                  <w:pPr>
                    <w:pStyle w:val="46"/>
                    <w:adjustRightInd w:val="0"/>
                  </w:pPr>
                  <w:r>
                    <w:t>Y</w:t>
                  </w:r>
                </w:p>
              </w:tc>
              <w:tc>
                <w:tcPr>
                  <w:tcW w:w="937" w:type="dxa"/>
                  <w:vMerge w:val="continue"/>
                  <w:vAlign w:val="center"/>
                </w:tcPr>
                <w:p w14:paraId="4A05D332">
                  <w:pPr>
                    <w:pStyle w:val="46"/>
                    <w:adjustRightInd w:val="0"/>
                  </w:pPr>
                </w:p>
              </w:tc>
              <w:tc>
                <w:tcPr>
                  <w:tcW w:w="1307" w:type="dxa"/>
                  <w:vMerge w:val="continue"/>
                  <w:vAlign w:val="center"/>
                </w:tcPr>
                <w:p w14:paraId="47C947CA">
                  <w:pPr>
                    <w:pStyle w:val="46"/>
                    <w:adjustRightInd w:val="0"/>
                  </w:pPr>
                </w:p>
              </w:tc>
              <w:tc>
                <w:tcPr>
                  <w:tcW w:w="1129" w:type="dxa"/>
                  <w:vMerge w:val="continue"/>
                  <w:vAlign w:val="center"/>
                </w:tcPr>
                <w:p w14:paraId="2A243579">
                  <w:pPr>
                    <w:pStyle w:val="46"/>
                    <w:adjustRightInd w:val="0"/>
                  </w:pPr>
                </w:p>
              </w:tc>
              <w:tc>
                <w:tcPr>
                  <w:tcW w:w="954" w:type="dxa"/>
                  <w:vMerge w:val="continue"/>
                  <w:vAlign w:val="center"/>
                </w:tcPr>
                <w:p w14:paraId="7A94AC8B">
                  <w:pPr>
                    <w:pStyle w:val="46"/>
                    <w:adjustRightInd w:val="0"/>
                  </w:pPr>
                </w:p>
              </w:tc>
              <w:tc>
                <w:tcPr>
                  <w:tcW w:w="1186" w:type="dxa"/>
                  <w:vMerge w:val="continue"/>
                  <w:vAlign w:val="center"/>
                </w:tcPr>
                <w:p w14:paraId="46121938">
                  <w:pPr>
                    <w:pStyle w:val="46"/>
                    <w:adjustRightInd w:val="0"/>
                  </w:pPr>
                </w:p>
              </w:tc>
              <w:tc>
                <w:tcPr>
                  <w:tcW w:w="798" w:type="dxa"/>
                  <w:vMerge w:val="continue"/>
                  <w:vAlign w:val="center"/>
                </w:tcPr>
                <w:p w14:paraId="58724321">
                  <w:pPr>
                    <w:pStyle w:val="46"/>
                  </w:pPr>
                </w:p>
              </w:tc>
            </w:tr>
            <w:tr w14:paraId="55175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2" w:type="dxa"/>
                  <w:vMerge w:val="restart"/>
                  <w:vAlign w:val="center"/>
                </w:tcPr>
                <w:p w14:paraId="3165160B">
                  <w:pPr>
                    <w:pStyle w:val="46"/>
                    <w:adjustRightInd w:val="0"/>
                  </w:pPr>
                  <w:r>
                    <w:t>项目厂房</w:t>
                  </w:r>
                  <w:r>
                    <w:rPr>
                      <w:rFonts w:hint="eastAsia"/>
                    </w:rPr>
                    <w:t>南</w:t>
                  </w:r>
                  <w:r>
                    <w:t>侧</w:t>
                  </w:r>
                </w:p>
              </w:tc>
              <w:tc>
                <w:tcPr>
                  <w:tcW w:w="510" w:type="dxa"/>
                  <w:vMerge w:val="restart"/>
                  <w:vAlign w:val="center"/>
                </w:tcPr>
                <w:p w14:paraId="1D7DE15F">
                  <w:pPr>
                    <w:widowControl/>
                    <w:adjustRightInd w:val="0"/>
                    <w:spacing w:line="240" w:lineRule="auto"/>
                    <w:ind w:firstLine="0" w:firstLineChars="0"/>
                    <w:jc w:val="center"/>
                    <w:rPr>
                      <w:sz w:val="21"/>
                      <w:szCs w:val="21"/>
                    </w:rPr>
                  </w:pPr>
                  <w:r>
                    <w:rPr>
                      <w:rFonts w:hint="eastAsia"/>
                      <w:sz w:val="21"/>
                      <w:szCs w:val="21"/>
                    </w:rPr>
                    <w:t>0</w:t>
                  </w:r>
                </w:p>
              </w:tc>
              <w:tc>
                <w:tcPr>
                  <w:tcW w:w="510" w:type="dxa"/>
                  <w:vMerge w:val="restart"/>
                  <w:vAlign w:val="center"/>
                </w:tcPr>
                <w:p w14:paraId="62AACE2D">
                  <w:pPr>
                    <w:widowControl/>
                    <w:adjustRightInd w:val="0"/>
                    <w:spacing w:line="240" w:lineRule="auto"/>
                    <w:ind w:firstLine="0" w:firstLineChars="0"/>
                    <w:jc w:val="center"/>
                    <w:rPr>
                      <w:sz w:val="21"/>
                      <w:szCs w:val="21"/>
                    </w:rPr>
                  </w:pPr>
                  <w:r>
                    <w:rPr>
                      <w:rFonts w:hint="eastAsia"/>
                      <w:sz w:val="21"/>
                      <w:szCs w:val="21"/>
                    </w:rPr>
                    <w:t>320</w:t>
                  </w:r>
                </w:p>
              </w:tc>
              <w:tc>
                <w:tcPr>
                  <w:tcW w:w="937" w:type="dxa"/>
                  <w:vAlign w:val="center"/>
                </w:tcPr>
                <w:p w14:paraId="3A3F11FD">
                  <w:pPr>
                    <w:spacing w:line="240" w:lineRule="auto"/>
                    <w:ind w:firstLine="0" w:firstLineChars="0"/>
                    <w:jc w:val="center"/>
                    <w:rPr>
                      <w:sz w:val="21"/>
                      <w:szCs w:val="21"/>
                    </w:rPr>
                  </w:pPr>
                  <w:r>
                    <w:rPr>
                      <w:sz w:val="21"/>
                      <w:szCs w:val="21"/>
                    </w:rPr>
                    <w:t>TSP</w:t>
                  </w:r>
                </w:p>
              </w:tc>
              <w:tc>
                <w:tcPr>
                  <w:tcW w:w="1307" w:type="dxa"/>
                  <w:vAlign w:val="center"/>
                </w:tcPr>
                <w:p w14:paraId="6B1EEBB2">
                  <w:pPr>
                    <w:spacing w:line="240" w:lineRule="auto"/>
                    <w:ind w:firstLine="0" w:firstLineChars="0"/>
                    <w:jc w:val="center"/>
                    <w:rPr>
                      <w:sz w:val="21"/>
                      <w:szCs w:val="21"/>
                    </w:rPr>
                  </w:pPr>
                  <w:r>
                    <w:rPr>
                      <w:rFonts w:hint="eastAsia"/>
                      <w:sz w:val="21"/>
                      <w:szCs w:val="21"/>
                    </w:rPr>
                    <w:t>日均值</w:t>
                  </w:r>
                </w:p>
              </w:tc>
              <w:tc>
                <w:tcPr>
                  <w:tcW w:w="1129" w:type="dxa"/>
                  <w:vAlign w:val="center"/>
                </w:tcPr>
                <w:p w14:paraId="1267823F">
                  <w:pPr>
                    <w:spacing w:line="240" w:lineRule="auto"/>
                    <w:ind w:firstLine="0" w:firstLineChars="0"/>
                    <w:jc w:val="center"/>
                    <w:rPr>
                      <w:sz w:val="21"/>
                      <w:szCs w:val="21"/>
                    </w:rPr>
                  </w:pPr>
                  <w:r>
                    <w:rPr>
                      <w:sz w:val="21"/>
                      <w:szCs w:val="21"/>
                    </w:rPr>
                    <w:t>0.</w:t>
                  </w:r>
                  <w:r>
                    <w:rPr>
                      <w:rFonts w:hint="eastAsia"/>
                      <w:sz w:val="21"/>
                      <w:szCs w:val="21"/>
                    </w:rPr>
                    <w:t>224</w:t>
                  </w:r>
                  <w:r>
                    <w:rPr>
                      <w:sz w:val="21"/>
                      <w:szCs w:val="21"/>
                    </w:rPr>
                    <w:t>～0.</w:t>
                  </w:r>
                  <w:r>
                    <w:rPr>
                      <w:rFonts w:hint="eastAsia"/>
                      <w:sz w:val="21"/>
                      <w:szCs w:val="21"/>
                    </w:rPr>
                    <w:t>268</w:t>
                  </w:r>
                </w:p>
              </w:tc>
              <w:tc>
                <w:tcPr>
                  <w:tcW w:w="954" w:type="dxa"/>
                  <w:vAlign w:val="center"/>
                </w:tcPr>
                <w:p w14:paraId="2FC79FE0">
                  <w:pPr>
                    <w:spacing w:line="240" w:lineRule="auto"/>
                    <w:ind w:firstLine="0" w:firstLineChars="0"/>
                    <w:jc w:val="center"/>
                    <w:rPr>
                      <w:sz w:val="21"/>
                      <w:szCs w:val="21"/>
                    </w:rPr>
                  </w:pPr>
                  <w:r>
                    <w:rPr>
                      <w:rFonts w:hint="eastAsia"/>
                      <w:sz w:val="21"/>
                      <w:szCs w:val="21"/>
                    </w:rPr>
                    <w:t>300</w:t>
                  </w:r>
                </w:p>
              </w:tc>
              <w:tc>
                <w:tcPr>
                  <w:tcW w:w="1186" w:type="dxa"/>
                  <w:vAlign w:val="center"/>
                </w:tcPr>
                <w:p w14:paraId="466A02FF">
                  <w:pPr>
                    <w:spacing w:line="240" w:lineRule="auto"/>
                    <w:ind w:firstLine="0" w:firstLineChars="0"/>
                    <w:jc w:val="center"/>
                    <w:rPr>
                      <w:sz w:val="21"/>
                      <w:szCs w:val="21"/>
                    </w:rPr>
                  </w:pPr>
                  <w:r>
                    <w:rPr>
                      <w:rFonts w:hint="eastAsia"/>
                      <w:sz w:val="21"/>
                      <w:szCs w:val="21"/>
                    </w:rPr>
                    <w:t>0.089</w:t>
                  </w:r>
                </w:p>
              </w:tc>
              <w:tc>
                <w:tcPr>
                  <w:tcW w:w="798" w:type="dxa"/>
                  <w:vAlign w:val="center"/>
                </w:tcPr>
                <w:p w14:paraId="4D1BD159">
                  <w:pPr>
                    <w:pStyle w:val="46"/>
                  </w:pPr>
                  <w:r>
                    <w:t>达标</w:t>
                  </w:r>
                </w:p>
              </w:tc>
            </w:tr>
            <w:tr w14:paraId="454C6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52" w:type="dxa"/>
                  <w:vMerge w:val="continue"/>
                  <w:vAlign w:val="center"/>
                </w:tcPr>
                <w:p w14:paraId="0B82CAD6">
                  <w:pPr>
                    <w:pStyle w:val="46"/>
                    <w:adjustRightInd w:val="0"/>
                  </w:pPr>
                </w:p>
              </w:tc>
              <w:tc>
                <w:tcPr>
                  <w:tcW w:w="510" w:type="dxa"/>
                  <w:vMerge w:val="continue"/>
                  <w:vAlign w:val="center"/>
                </w:tcPr>
                <w:p w14:paraId="2FBA0D27">
                  <w:pPr>
                    <w:widowControl/>
                    <w:adjustRightInd w:val="0"/>
                    <w:spacing w:line="240" w:lineRule="auto"/>
                    <w:ind w:firstLine="0" w:firstLineChars="0"/>
                    <w:jc w:val="center"/>
                    <w:rPr>
                      <w:sz w:val="21"/>
                      <w:szCs w:val="21"/>
                    </w:rPr>
                  </w:pPr>
                </w:p>
              </w:tc>
              <w:tc>
                <w:tcPr>
                  <w:tcW w:w="510" w:type="dxa"/>
                  <w:vMerge w:val="continue"/>
                  <w:vAlign w:val="center"/>
                </w:tcPr>
                <w:p w14:paraId="16B9059E">
                  <w:pPr>
                    <w:widowControl/>
                    <w:adjustRightInd w:val="0"/>
                    <w:spacing w:line="240" w:lineRule="auto"/>
                    <w:ind w:firstLine="0" w:firstLineChars="0"/>
                    <w:jc w:val="center"/>
                    <w:rPr>
                      <w:sz w:val="21"/>
                      <w:szCs w:val="21"/>
                    </w:rPr>
                  </w:pPr>
                </w:p>
              </w:tc>
              <w:tc>
                <w:tcPr>
                  <w:tcW w:w="937" w:type="dxa"/>
                  <w:vAlign w:val="center"/>
                </w:tcPr>
                <w:p w14:paraId="2C0DFF67">
                  <w:pPr>
                    <w:spacing w:line="240" w:lineRule="auto"/>
                    <w:ind w:firstLine="0" w:firstLineChars="0"/>
                    <w:jc w:val="center"/>
                    <w:rPr>
                      <w:sz w:val="21"/>
                      <w:szCs w:val="21"/>
                    </w:rPr>
                  </w:pPr>
                  <w:r>
                    <w:rPr>
                      <w:rFonts w:hint="eastAsia"/>
                      <w:sz w:val="21"/>
                      <w:szCs w:val="21"/>
                    </w:rPr>
                    <w:t>非甲烷总烃</w:t>
                  </w:r>
                </w:p>
              </w:tc>
              <w:tc>
                <w:tcPr>
                  <w:tcW w:w="1307" w:type="dxa"/>
                  <w:vAlign w:val="center"/>
                </w:tcPr>
                <w:p w14:paraId="0FCE17A7">
                  <w:pPr>
                    <w:spacing w:line="240" w:lineRule="auto"/>
                    <w:ind w:firstLine="0" w:firstLineChars="0"/>
                    <w:jc w:val="center"/>
                    <w:rPr>
                      <w:sz w:val="21"/>
                      <w:szCs w:val="21"/>
                    </w:rPr>
                  </w:pPr>
                  <w:r>
                    <w:rPr>
                      <w:rFonts w:hint="eastAsia"/>
                      <w:sz w:val="21"/>
                      <w:szCs w:val="21"/>
                    </w:rPr>
                    <w:t>1</w:t>
                  </w:r>
                  <w:r>
                    <w:rPr>
                      <w:sz w:val="21"/>
                      <w:szCs w:val="21"/>
                    </w:rPr>
                    <w:t>小时平均</w:t>
                  </w:r>
                </w:p>
              </w:tc>
              <w:tc>
                <w:tcPr>
                  <w:tcW w:w="1129" w:type="dxa"/>
                  <w:vAlign w:val="center"/>
                </w:tcPr>
                <w:p w14:paraId="6AD633C9">
                  <w:pPr>
                    <w:spacing w:line="240" w:lineRule="auto"/>
                    <w:ind w:firstLine="0" w:firstLineChars="0"/>
                    <w:jc w:val="center"/>
                    <w:rPr>
                      <w:sz w:val="21"/>
                      <w:szCs w:val="21"/>
                    </w:rPr>
                  </w:pPr>
                  <w:r>
                    <w:rPr>
                      <w:rFonts w:hint="eastAsia"/>
                      <w:sz w:val="21"/>
                      <w:szCs w:val="21"/>
                    </w:rPr>
                    <w:t>0.38</w:t>
                  </w:r>
                  <w:r>
                    <w:rPr>
                      <w:sz w:val="21"/>
                      <w:szCs w:val="21"/>
                    </w:rPr>
                    <w:t>～</w:t>
                  </w:r>
                  <w:r>
                    <w:rPr>
                      <w:rFonts w:hint="eastAsia"/>
                      <w:sz w:val="21"/>
                      <w:szCs w:val="21"/>
                    </w:rPr>
                    <w:t>0.69</w:t>
                  </w:r>
                </w:p>
              </w:tc>
              <w:tc>
                <w:tcPr>
                  <w:tcW w:w="954" w:type="dxa"/>
                  <w:vAlign w:val="center"/>
                </w:tcPr>
                <w:p w14:paraId="642FC0D7">
                  <w:pPr>
                    <w:spacing w:line="240" w:lineRule="auto"/>
                    <w:ind w:firstLine="0" w:firstLineChars="0"/>
                    <w:jc w:val="center"/>
                    <w:rPr>
                      <w:sz w:val="21"/>
                      <w:szCs w:val="21"/>
                    </w:rPr>
                  </w:pPr>
                  <w:r>
                    <w:rPr>
                      <w:rFonts w:hint="eastAsia"/>
                      <w:sz w:val="21"/>
                      <w:szCs w:val="21"/>
                    </w:rPr>
                    <w:t>2000</w:t>
                  </w:r>
                </w:p>
              </w:tc>
              <w:tc>
                <w:tcPr>
                  <w:tcW w:w="1186" w:type="dxa"/>
                  <w:vAlign w:val="center"/>
                </w:tcPr>
                <w:p w14:paraId="2262FD6F">
                  <w:pPr>
                    <w:spacing w:line="240" w:lineRule="auto"/>
                    <w:ind w:firstLine="0" w:firstLineChars="0"/>
                    <w:jc w:val="center"/>
                    <w:rPr>
                      <w:sz w:val="21"/>
                      <w:szCs w:val="21"/>
                    </w:rPr>
                  </w:pPr>
                  <w:r>
                    <w:rPr>
                      <w:rFonts w:hint="eastAsia"/>
                      <w:sz w:val="21"/>
                      <w:szCs w:val="21"/>
                    </w:rPr>
                    <w:t>0.035</w:t>
                  </w:r>
                </w:p>
              </w:tc>
              <w:tc>
                <w:tcPr>
                  <w:tcW w:w="798" w:type="dxa"/>
                  <w:vAlign w:val="center"/>
                </w:tcPr>
                <w:p w14:paraId="5330D589">
                  <w:pPr>
                    <w:pStyle w:val="46"/>
                  </w:pPr>
                  <w:r>
                    <w:t>达标</w:t>
                  </w:r>
                </w:p>
              </w:tc>
            </w:tr>
          </w:tbl>
          <w:p w14:paraId="61C555AA">
            <w:pPr>
              <w:spacing w:line="360" w:lineRule="exact"/>
              <w:ind w:firstLine="420"/>
              <w:rPr>
                <w:sz w:val="21"/>
                <w:szCs w:val="21"/>
              </w:rPr>
            </w:pPr>
            <w:r>
              <w:rPr>
                <w:sz w:val="21"/>
                <w:szCs w:val="21"/>
              </w:rPr>
              <w:t>注：以项目</w:t>
            </w:r>
            <w:r>
              <w:rPr>
                <w:rFonts w:hint="eastAsia"/>
                <w:sz w:val="21"/>
                <w:szCs w:val="21"/>
              </w:rPr>
              <w:t>厂区</w:t>
            </w:r>
            <w:r>
              <w:rPr>
                <w:sz w:val="21"/>
                <w:szCs w:val="21"/>
              </w:rPr>
              <w:t>中心为坐标原点。</w:t>
            </w:r>
          </w:p>
          <w:p w14:paraId="24651286">
            <w:pPr>
              <w:ind w:firstLine="480"/>
            </w:pPr>
            <w:r>
              <w:rPr>
                <w:rFonts w:ascii="宋体" w:hAnsi="宋体"/>
              </w:rPr>
              <w:t>监测期间监测点</w:t>
            </w:r>
            <w:r>
              <w:t>TSP</w:t>
            </w:r>
            <w:r>
              <w:rPr>
                <w:rFonts w:ascii="宋体" w:hAnsi="宋体"/>
              </w:rPr>
              <w:t>的</w:t>
            </w:r>
            <w:r>
              <w:rPr>
                <w:rFonts w:hint="eastAsia"/>
              </w:rPr>
              <w:t>日</w:t>
            </w:r>
            <w:r>
              <w:rPr>
                <w:rFonts w:ascii="宋体" w:hAnsi="宋体"/>
              </w:rPr>
              <w:t>均</w:t>
            </w:r>
            <w:r>
              <w:rPr>
                <w:rFonts w:hint="eastAsia" w:ascii="宋体" w:hAnsi="宋体"/>
              </w:rPr>
              <w:t>值</w:t>
            </w:r>
            <w:r>
              <w:rPr>
                <w:rFonts w:ascii="宋体" w:hAnsi="宋体"/>
              </w:rPr>
              <w:t>浓度标满足《环境空气质量标准》（</w:t>
            </w:r>
            <w:r>
              <w:t>GB3095-2012</w:t>
            </w:r>
            <w:r>
              <w:rPr>
                <w:rFonts w:ascii="宋体" w:hAnsi="宋体"/>
              </w:rPr>
              <w:t>）</w:t>
            </w:r>
            <w:r>
              <w:t>及2018第1</w:t>
            </w:r>
            <w:r>
              <w:rPr>
                <w:rFonts w:hint="eastAsia" w:ascii="宋体" w:hAnsi="宋体"/>
              </w:rPr>
              <w:t>号修改单</w:t>
            </w:r>
            <w:r>
              <w:rPr>
                <w:rFonts w:ascii="宋体" w:hAnsi="宋体"/>
              </w:rPr>
              <w:t>中的二级标准；非甲烷总烃</w:t>
            </w:r>
            <w:r>
              <w:t>1</w:t>
            </w:r>
            <w:r>
              <w:rPr>
                <w:rFonts w:ascii="宋体" w:hAnsi="宋体"/>
              </w:rPr>
              <w:t>小时平均浓度满足河北省地方标准《环境空气质量 非甲烷总烃限值》（</w:t>
            </w:r>
            <w:r>
              <w:t>DB13/1577-2012</w:t>
            </w:r>
            <w:r>
              <w:rPr>
                <w:rFonts w:ascii="宋体" w:hAnsi="宋体"/>
              </w:rPr>
              <w:t>）表</w:t>
            </w:r>
            <w:r>
              <w:t>1</w:t>
            </w:r>
            <w:r>
              <w:rPr>
                <w:rFonts w:ascii="宋体" w:hAnsi="宋体"/>
              </w:rPr>
              <w:t>二级标准：</w:t>
            </w:r>
            <w:r>
              <w:t>2.0mg/m</w:t>
            </w:r>
            <w:r>
              <w:rPr>
                <w:vertAlign w:val="superscript"/>
              </w:rPr>
              <w:t>3</w:t>
            </w:r>
            <w:r>
              <w:rPr>
                <w:rFonts w:ascii="宋体" w:hAnsi="宋体"/>
              </w:rPr>
              <w:t>。</w:t>
            </w:r>
          </w:p>
          <w:p w14:paraId="42952759">
            <w:pPr>
              <w:ind w:firstLine="482"/>
              <w:rPr>
                <w:b/>
                <w:bCs/>
              </w:rPr>
            </w:pPr>
            <w:r>
              <w:rPr>
                <w:rFonts w:hint="eastAsia"/>
                <w:b/>
                <w:bCs/>
              </w:rPr>
              <w:t>二、</w:t>
            </w:r>
            <w:r>
              <w:rPr>
                <w:b/>
                <w:bCs/>
              </w:rPr>
              <w:t>声环境</w:t>
            </w:r>
          </w:p>
          <w:p w14:paraId="22050D78">
            <w:pPr>
              <w:ind w:firstLine="480"/>
            </w:pPr>
            <w:r>
              <w:t>本项目周边50m范围内无声环境保护目标，声环境质量较好。</w:t>
            </w:r>
          </w:p>
          <w:p w14:paraId="3ACFAC4C">
            <w:pPr>
              <w:ind w:firstLine="482"/>
              <w:rPr>
                <w:b/>
                <w:bCs/>
              </w:rPr>
            </w:pPr>
            <w:r>
              <w:rPr>
                <w:rFonts w:hint="eastAsia"/>
                <w:b/>
                <w:bCs/>
              </w:rPr>
              <w:t>三</w:t>
            </w:r>
            <w:r>
              <w:rPr>
                <w:b/>
                <w:bCs/>
              </w:rPr>
              <w:t>、地表水</w:t>
            </w:r>
          </w:p>
          <w:p w14:paraId="64BB507B">
            <w:pPr>
              <w:pStyle w:val="43"/>
              <w:snapToGrid/>
              <w:ind w:firstLine="480"/>
              <w:textAlignment w:val="auto"/>
              <w:rPr>
                <w:rFonts w:eastAsia="宋体"/>
                <w:bCs/>
                <w:kern w:val="2"/>
                <w:szCs w:val="24"/>
              </w:rPr>
            </w:pPr>
            <w:r>
              <w:rPr>
                <w:rFonts w:eastAsia="宋体"/>
                <w:bCs/>
                <w:kern w:val="2"/>
                <w:szCs w:val="24"/>
              </w:rPr>
              <w:t>项目所在区域</w:t>
            </w:r>
            <w:r>
              <w:rPr>
                <w:rFonts w:hint="eastAsia" w:eastAsia="宋体"/>
                <w:bCs/>
                <w:kern w:val="2"/>
                <w:szCs w:val="24"/>
              </w:rPr>
              <w:t>地表水环境</w:t>
            </w:r>
            <w:r>
              <w:rPr>
                <w:rFonts w:eastAsia="宋体"/>
                <w:bCs/>
                <w:kern w:val="2"/>
                <w:szCs w:val="24"/>
              </w:rPr>
              <w:t>质量现状数据采用唐山市生态环境局公开发布的</w:t>
            </w:r>
            <w:r>
              <w:rPr>
                <w:rFonts w:eastAsia="宋体"/>
                <w:bCs/>
                <w:kern w:val="2"/>
                <w:szCs w:val="24"/>
                <w:lang w:val="zh-CN"/>
              </w:rPr>
              <w:t>《20</w:t>
            </w:r>
            <w:r>
              <w:rPr>
                <w:rFonts w:hint="eastAsia" w:eastAsia="宋体"/>
                <w:bCs/>
                <w:kern w:val="2"/>
                <w:szCs w:val="24"/>
              </w:rPr>
              <w:t>20</w:t>
            </w:r>
            <w:r>
              <w:rPr>
                <w:rFonts w:eastAsia="宋体"/>
                <w:bCs/>
                <w:kern w:val="2"/>
                <w:szCs w:val="24"/>
                <w:lang w:val="zh-CN"/>
              </w:rPr>
              <w:t>年唐山市环境状况公报》中</w:t>
            </w:r>
            <w:r>
              <w:rPr>
                <w:rFonts w:hint="eastAsia" w:eastAsia="宋体"/>
                <w:bCs/>
                <w:kern w:val="2"/>
                <w:szCs w:val="24"/>
              </w:rPr>
              <w:t>地表水环境</w:t>
            </w:r>
            <w:r>
              <w:rPr>
                <w:rFonts w:eastAsia="宋体"/>
                <w:bCs/>
                <w:kern w:val="2"/>
                <w:szCs w:val="24"/>
                <w:lang w:val="zh-CN"/>
              </w:rPr>
              <w:t>质量数据</w:t>
            </w:r>
            <w:r>
              <w:rPr>
                <w:rFonts w:hint="eastAsia"/>
                <w:bCs/>
                <w:kern w:val="2"/>
                <w:szCs w:val="24"/>
                <w:lang w:val="zh-CN"/>
              </w:rPr>
              <w:t>。</w:t>
            </w:r>
          </w:p>
          <w:p w14:paraId="1E5D723C">
            <w:pPr>
              <w:pStyle w:val="20"/>
              <w:spacing w:before="0" w:beforeAutospacing="0" w:after="0" w:afterAutospacing="0"/>
              <w:ind w:firstLine="480"/>
              <w:rPr>
                <w:rFonts w:ascii="Times New Roman" w:hAnsi="Times New Roman"/>
                <w:bCs/>
                <w:kern w:val="2"/>
                <w:szCs w:val="24"/>
              </w:rPr>
            </w:pPr>
            <w:r>
              <w:rPr>
                <w:rFonts w:ascii="Times New Roman" w:hAnsi="Times New Roman"/>
                <w:bCs/>
                <w:kern w:val="2"/>
                <w:szCs w:val="24"/>
              </w:rPr>
              <w:t>唐山市境内共有大小河流70余条。其中共有国家和河北省控制河流6条，分别为陡河、滦河、黎河、淋河、沙河、还乡河，共设有（国、省控）河流监测断面</w:t>
            </w:r>
            <w:r>
              <w:rPr>
                <w:rFonts w:hint="eastAsia" w:ascii="Times New Roman" w:hAnsi="Times New Roman"/>
                <w:bCs/>
                <w:kern w:val="2"/>
                <w:szCs w:val="24"/>
              </w:rPr>
              <w:t>9</w:t>
            </w:r>
            <w:r>
              <w:rPr>
                <w:rFonts w:ascii="Times New Roman" w:hAnsi="Times New Roman"/>
                <w:bCs/>
                <w:kern w:val="2"/>
                <w:szCs w:val="24"/>
              </w:rPr>
              <w:t>个。按照《地表水环境质量标准》</w:t>
            </w:r>
            <w:r>
              <w:rPr>
                <w:rFonts w:hint="eastAsia" w:ascii="Times New Roman" w:hAnsi="Times New Roman"/>
                <w:bCs/>
                <w:kern w:val="2"/>
                <w:szCs w:val="24"/>
              </w:rPr>
              <w:t>（</w:t>
            </w:r>
            <w:r>
              <w:rPr>
                <w:rFonts w:ascii="Times New Roman" w:hAnsi="Times New Roman"/>
                <w:bCs/>
                <w:kern w:val="2"/>
                <w:szCs w:val="24"/>
              </w:rPr>
              <w:t>GB3838-2002）进行监测，监测频次每月1次，全年共监测12次，监测项目25项。按照《地表水环境质量标准》（GB3838-2002）进行评价，评价方法采用单因子评价法进行。国控断面采用国家地表水采测分离监测数据进行评价</w:t>
            </w:r>
            <w:r>
              <w:rPr>
                <w:rFonts w:hint="eastAsia" w:ascii="Times New Roman" w:hAnsi="Times New Roman"/>
                <w:bCs/>
                <w:kern w:val="2"/>
                <w:szCs w:val="24"/>
              </w:rPr>
              <w:t>；</w:t>
            </w:r>
            <w:r>
              <w:rPr>
                <w:rFonts w:ascii="Times New Roman" w:hAnsi="Times New Roman"/>
                <w:bCs/>
                <w:kern w:val="2"/>
                <w:szCs w:val="24"/>
              </w:rPr>
              <w:t>省控断面采用河北省唐山生态环境监测中心监测数据进行评价。</w:t>
            </w:r>
          </w:p>
          <w:p w14:paraId="05F12ACC">
            <w:pPr>
              <w:pStyle w:val="20"/>
              <w:spacing w:before="0" w:beforeAutospacing="0" w:after="0" w:afterAutospacing="0"/>
              <w:ind w:firstLine="480"/>
              <w:rPr>
                <w:rFonts w:ascii="Times New Roman" w:hAnsi="Times New Roman"/>
                <w:bCs/>
                <w:kern w:val="2"/>
                <w:szCs w:val="24"/>
              </w:rPr>
            </w:pPr>
            <w:r>
              <w:rPr>
                <w:rFonts w:hint="eastAsia" w:ascii="Times New Roman" w:hAnsi="Times New Roman"/>
                <w:bCs/>
                <w:kern w:val="2"/>
                <w:szCs w:val="24"/>
              </w:rPr>
              <w:t>陡河设置一个监测断面为涧河口，还乡河设置一个监测断面为丰北闸，全年各断面水质监测结果见下表。</w:t>
            </w:r>
          </w:p>
          <w:p w14:paraId="07EE1FD1">
            <w:pPr>
              <w:spacing w:line="360" w:lineRule="auto"/>
              <w:ind w:firstLine="0" w:firstLineChars="0"/>
              <w:jc w:val="center"/>
              <w:rPr>
                <w:b/>
                <w:bCs/>
                <w:sz w:val="21"/>
                <w:szCs w:val="21"/>
              </w:rPr>
            </w:pPr>
            <w:r>
              <w:rPr>
                <w:b/>
                <w:bCs/>
                <w:sz w:val="21"/>
                <w:szCs w:val="21"/>
              </w:rPr>
              <w:t>表</w:t>
            </w:r>
            <w:r>
              <w:rPr>
                <w:rFonts w:hint="eastAsia"/>
                <w:b/>
                <w:bCs/>
                <w:sz w:val="21"/>
                <w:szCs w:val="21"/>
              </w:rPr>
              <w:t xml:space="preserve">3-4  </w:t>
            </w:r>
            <w:r>
              <w:rPr>
                <w:b/>
                <w:bCs/>
                <w:sz w:val="21"/>
                <w:szCs w:val="21"/>
              </w:rPr>
              <w:t>还乡河及陡河各监测断面水质类别</w:t>
            </w:r>
            <w:r>
              <w:rPr>
                <w:rFonts w:hint="eastAsia"/>
                <w:b/>
                <w:bCs/>
                <w:sz w:val="21"/>
                <w:szCs w:val="21"/>
              </w:rPr>
              <w:t>一览表</w:t>
            </w:r>
          </w:p>
          <w:tbl>
            <w:tblPr>
              <w:tblStyle w:val="22"/>
              <w:tblW w:w="83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27"/>
              <w:gridCol w:w="785"/>
              <w:gridCol w:w="488"/>
              <w:gridCol w:w="488"/>
              <w:gridCol w:w="488"/>
              <w:gridCol w:w="488"/>
              <w:gridCol w:w="488"/>
              <w:gridCol w:w="488"/>
              <w:gridCol w:w="488"/>
              <w:gridCol w:w="488"/>
              <w:gridCol w:w="488"/>
              <w:gridCol w:w="488"/>
              <w:gridCol w:w="488"/>
              <w:gridCol w:w="488"/>
              <w:gridCol w:w="488"/>
              <w:gridCol w:w="488"/>
            </w:tblGrid>
            <w:tr w14:paraId="71144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512" w:type="dxa"/>
                  <w:gridSpan w:val="2"/>
                  <w:tcBorders>
                    <w:bottom w:val="single" w:color="auto" w:sz="4" w:space="0"/>
                    <w:right w:val="single" w:color="auto" w:sz="4" w:space="0"/>
                    <w:tl2br w:val="single" w:color="auto" w:sz="4" w:space="0"/>
                  </w:tcBorders>
                  <w:vAlign w:val="center"/>
                </w:tcPr>
                <w:p w14:paraId="159410FA">
                  <w:pPr>
                    <w:pStyle w:val="8"/>
                    <w:spacing w:line="240" w:lineRule="auto"/>
                    <w:ind w:firstLine="0" w:firstLineChars="0"/>
                    <w:jc w:val="right"/>
                    <w:rPr>
                      <w:sz w:val="21"/>
                      <w:szCs w:val="21"/>
                    </w:rPr>
                  </w:pPr>
                  <w:r>
                    <w:rPr>
                      <w:sz w:val="21"/>
                      <w:szCs w:val="21"/>
                    </w:rPr>
                    <w:t>月份</w:t>
                  </w:r>
                </w:p>
                <w:p w14:paraId="6FE50B7F">
                  <w:pPr>
                    <w:pStyle w:val="8"/>
                    <w:spacing w:line="240" w:lineRule="auto"/>
                    <w:ind w:firstLine="0" w:firstLineChars="0"/>
                    <w:rPr>
                      <w:sz w:val="21"/>
                      <w:szCs w:val="21"/>
                    </w:rPr>
                  </w:pPr>
                  <w:r>
                    <w:rPr>
                      <w:sz w:val="21"/>
                      <w:szCs w:val="21"/>
                    </w:rPr>
                    <w:t>断面</w:t>
                  </w:r>
                </w:p>
              </w:tc>
              <w:tc>
                <w:tcPr>
                  <w:tcW w:w="488" w:type="dxa"/>
                  <w:tcBorders>
                    <w:left w:val="single" w:color="auto" w:sz="4" w:space="0"/>
                  </w:tcBorders>
                  <w:vAlign w:val="center"/>
                </w:tcPr>
                <w:p w14:paraId="3699B85E">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1月</w:t>
                  </w:r>
                </w:p>
              </w:tc>
              <w:tc>
                <w:tcPr>
                  <w:tcW w:w="488" w:type="dxa"/>
                  <w:vAlign w:val="center"/>
                </w:tcPr>
                <w:p w14:paraId="34B7178C">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2月</w:t>
                  </w:r>
                </w:p>
              </w:tc>
              <w:tc>
                <w:tcPr>
                  <w:tcW w:w="488" w:type="dxa"/>
                  <w:vAlign w:val="center"/>
                </w:tcPr>
                <w:p w14:paraId="671F00CC">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3月</w:t>
                  </w:r>
                </w:p>
              </w:tc>
              <w:tc>
                <w:tcPr>
                  <w:tcW w:w="488" w:type="dxa"/>
                  <w:vAlign w:val="center"/>
                </w:tcPr>
                <w:p w14:paraId="4200F494">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4月</w:t>
                  </w:r>
                </w:p>
              </w:tc>
              <w:tc>
                <w:tcPr>
                  <w:tcW w:w="488" w:type="dxa"/>
                  <w:vAlign w:val="center"/>
                </w:tcPr>
                <w:p w14:paraId="1BAA9083">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5月</w:t>
                  </w:r>
                </w:p>
              </w:tc>
              <w:tc>
                <w:tcPr>
                  <w:tcW w:w="488" w:type="dxa"/>
                  <w:vAlign w:val="center"/>
                </w:tcPr>
                <w:p w14:paraId="1CA19635">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6月</w:t>
                  </w:r>
                </w:p>
              </w:tc>
              <w:tc>
                <w:tcPr>
                  <w:tcW w:w="488" w:type="dxa"/>
                  <w:vAlign w:val="center"/>
                </w:tcPr>
                <w:p w14:paraId="4B5734C0">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7月</w:t>
                  </w:r>
                </w:p>
              </w:tc>
              <w:tc>
                <w:tcPr>
                  <w:tcW w:w="488" w:type="dxa"/>
                  <w:vAlign w:val="center"/>
                </w:tcPr>
                <w:p w14:paraId="1ECB0CAC">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8月</w:t>
                  </w:r>
                </w:p>
              </w:tc>
              <w:tc>
                <w:tcPr>
                  <w:tcW w:w="488" w:type="dxa"/>
                  <w:vAlign w:val="center"/>
                </w:tcPr>
                <w:p w14:paraId="22A62CDF">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9月</w:t>
                  </w:r>
                </w:p>
              </w:tc>
              <w:tc>
                <w:tcPr>
                  <w:tcW w:w="488" w:type="dxa"/>
                  <w:vAlign w:val="center"/>
                </w:tcPr>
                <w:p w14:paraId="2F9010FE">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10月</w:t>
                  </w:r>
                </w:p>
              </w:tc>
              <w:tc>
                <w:tcPr>
                  <w:tcW w:w="488" w:type="dxa"/>
                  <w:vAlign w:val="center"/>
                </w:tcPr>
                <w:p w14:paraId="19250FAA">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11月</w:t>
                  </w:r>
                </w:p>
              </w:tc>
              <w:tc>
                <w:tcPr>
                  <w:tcW w:w="488" w:type="dxa"/>
                  <w:vAlign w:val="center"/>
                </w:tcPr>
                <w:p w14:paraId="349E6D8F">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12月</w:t>
                  </w:r>
                </w:p>
              </w:tc>
              <w:tc>
                <w:tcPr>
                  <w:tcW w:w="488" w:type="dxa"/>
                  <w:vAlign w:val="center"/>
                </w:tcPr>
                <w:p w14:paraId="4DDF988F">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年均</w:t>
                  </w:r>
                </w:p>
              </w:tc>
              <w:tc>
                <w:tcPr>
                  <w:tcW w:w="488" w:type="dxa"/>
                  <w:vAlign w:val="center"/>
                </w:tcPr>
                <w:p w14:paraId="1EC2F1A4">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水质目标</w:t>
                  </w:r>
                </w:p>
              </w:tc>
            </w:tr>
            <w:tr w14:paraId="79A01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27" w:type="dxa"/>
                  <w:tcBorders>
                    <w:top w:val="single" w:color="auto" w:sz="4" w:space="0"/>
                    <w:bottom w:val="single" w:color="auto" w:sz="4" w:space="0"/>
                    <w:right w:val="single" w:color="auto" w:sz="4" w:space="0"/>
                  </w:tcBorders>
                  <w:vAlign w:val="center"/>
                </w:tcPr>
                <w:p w14:paraId="5CCF9261">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陡河</w:t>
                  </w:r>
                </w:p>
              </w:tc>
              <w:tc>
                <w:tcPr>
                  <w:tcW w:w="785" w:type="dxa"/>
                  <w:tcBorders>
                    <w:top w:val="single" w:color="auto" w:sz="4" w:space="0"/>
                    <w:left w:val="single" w:color="auto" w:sz="4" w:space="0"/>
                    <w:bottom w:val="single" w:color="auto" w:sz="4" w:space="0"/>
                  </w:tcBorders>
                  <w:vAlign w:val="center"/>
                </w:tcPr>
                <w:p w14:paraId="753B6D79">
                  <w:pPr>
                    <w:autoSpaceDE w:val="0"/>
                    <w:autoSpaceDN w:val="0"/>
                    <w:adjustRightInd w:val="0"/>
                    <w:spacing w:line="240" w:lineRule="auto"/>
                    <w:ind w:firstLine="0" w:firstLineChars="0"/>
                    <w:jc w:val="center"/>
                    <w:rPr>
                      <w:snapToGrid w:val="0"/>
                      <w:kern w:val="0"/>
                      <w:sz w:val="21"/>
                      <w:szCs w:val="21"/>
                    </w:rPr>
                  </w:pPr>
                  <w:r>
                    <w:rPr>
                      <w:rFonts w:hint="eastAsia"/>
                      <w:snapToGrid w:val="0"/>
                      <w:kern w:val="0"/>
                      <w:sz w:val="21"/>
                      <w:szCs w:val="21"/>
                    </w:rPr>
                    <w:t>涧河口</w:t>
                  </w:r>
                </w:p>
              </w:tc>
              <w:tc>
                <w:tcPr>
                  <w:tcW w:w="488" w:type="dxa"/>
                  <w:vAlign w:val="center"/>
                </w:tcPr>
                <w:p w14:paraId="28709EB0">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0FB7192F">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5709046D">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4C682757">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Ⅴ</w:t>
                  </w:r>
                </w:p>
              </w:tc>
              <w:tc>
                <w:tcPr>
                  <w:tcW w:w="488" w:type="dxa"/>
                  <w:vAlign w:val="center"/>
                </w:tcPr>
                <w:p w14:paraId="6C734CF9">
                  <w:pPr>
                    <w:widowControl/>
                    <w:spacing w:line="240" w:lineRule="auto"/>
                    <w:ind w:firstLine="0" w:firstLineChars="0"/>
                    <w:jc w:val="center"/>
                    <w:rPr>
                      <w:snapToGrid w:val="0"/>
                      <w:kern w:val="0"/>
                      <w:sz w:val="21"/>
                      <w:szCs w:val="21"/>
                    </w:rPr>
                  </w:pPr>
                  <w:r>
                    <w:rPr>
                      <w:sz w:val="21"/>
                      <w:szCs w:val="21"/>
                    </w:rPr>
                    <w:t>Ⅳ</w:t>
                  </w:r>
                </w:p>
              </w:tc>
              <w:tc>
                <w:tcPr>
                  <w:tcW w:w="488" w:type="dxa"/>
                  <w:vAlign w:val="center"/>
                </w:tcPr>
                <w:p w14:paraId="37FA5E2A">
                  <w:pPr>
                    <w:widowControl/>
                    <w:spacing w:line="240" w:lineRule="auto"/>
                    <w:ind w:firstLine="0" w:firstLineChars="0"/>
                    <w:jc w:val="center"/>
                    <w:rPr>
                      <w:snapToGrid w:val="0"/>
                      <w:kern w:val="0"/>
                      <w:sz w:val="21"/>
                      <w:szCs w:val="21"/>
                    </w:rPr>
                  </w:pPr>
                  <w:r>
                    <w:rPr>
                      <w:sz w:val="21"/>
                      <w:szCs w:val="21"/>
                    </w:rPr>
                    <w:t>Ⅳ</w:t>
                  </w:r>
                </w:p>
              </w:tc>
              <w:tc>
                <w:tcPr>
                  <w:tcW w:w="488" w:type="dxa"/>
                  <w:vAlign w:val="center"/>
                </w:tcPr>
                <w:p w14:paraId="35EF5FFA">
                  <w:pPr>
                    <w:widowControl/>
                    <w:spacing w:line="240" w:lineRule="auto"/>
                    <w:ind w:firstLine="0" w:firstLineChars="0"/>
                    <w:jc w:val="center"/>
                    <w:rPr>
                      <w:snapToGrid w:val="0"/>
                      <w:kern w:val="0"/>
                      <w:sz w:val="21"/>
                      <w:szCs w:val="21"/>
                    </w:rPr>
                  </w:pPr>
                  <w:r>
                    <w:rPr>
                      <w:sz w:val="21"/>
                      <w:szCs w:val="21"/>
                    </w:rPr>
                    <w:t>Ⅳ</w:t>
                  </w:r>
                </w:p>
              </w:tc>
              <w:tc>
                <w:tcPr>
                  <w:tcW w:w="488" w:type="dxa"/>
                  <w:vAlign w:val="center"/>
                </w:tcPr>
                <w:p w14:paraId="3B124108">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Ⅲ</w:t>
                  </w:r>
                </w:p>
              </w:tc>
              <w:tc>
                <w:tcPr>
                  <w:tcW w:w="488" w:type="dxa"/>
                  <w:vAlign w:val="center"/>
                </w:tcPr>
                <w:p w14:paraId="12AAB469">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73D02F15">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1FF4E390">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Ⅴ</w:t>
                  </w:r>
                </w:p>
              </w:tc>
              <w:tc>
                <w:tcPr>
                  <w:tcW w:w="488" w:type="dxa"/>
                  <w:vAlign w:val="center"/>
                </w:tcPr>
                <w:p w14:paraId="627DB1B0">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61365BC4">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7A944A3C">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r>
            <w:tr w14:paraId="41FC7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27" w:type="dxa"/>
                  <w:tcBorders>
                    <w:top w:val="single" w:color="auto" w:sz="4" w:space="0"/>
                    <w:right w:val="single" w:color="auto" w:sz="4" w:space="0"/>
                  </w:tcBorders>
                  <w:vAlign w:val="center"/>
                </w:tcPr>
                <w:p w14:paraId="0FED1F91">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还乡河</w:t>
                  </w:r>
                </w:p>
              </w:tc>
              <w:tc>
                <w:tcPr>
                  <w:tcW w:w="785" w:type="dxa"/>
                  <w:tcBorders>
                    <w:top w:val="single" w:color="auto" w:sz="4" w:space="0"/>
                    <w:left w:val="single" w:color="auto" w:sz="4" w:space="0"/>
                  </w:tcBorders>
                  <w:vAlign w:val="center"/>
                </w:tcPr>
                <w:p w14:paraId="3008B018">
                  <w:pPr>
                    <w:autoSpaceDE w:val="0"/>
                    <w:autoSpaceDN w:val="0"/>
                    <w:adjustRightInd w:val="0"/>
                    <w:spacing w:line="240" w:lineRule="auto"/>
                    <w:ind w:firstLine="0" w:firstLineChars="0"/>
                    <w:jc w:val="center"/>
                    <w:rPr>
                      <w:snapToGrid w:val="0"/>
                      <w:kern w:val="0"/>
                      <w:sz w:val="21"/>
                      <w:szCs w:val="21"/>
                    </w:rPr>
                  </w:pPr>
                  <w:r>
                    <w:rPr>
                      <w:snapToGrid w:val="0"/>
                      <w:kern w:val="0"/>
                      <w:sz w:val="21"/>
                      <w:szCs w:val="21"/>
                    </w:rPr>
                    <w:t>丰北闸</w:t>
                  </w:r>
                </w:p>
              </w:tc>
              <w:tc>
                <w:tcPr>
                  <w:tcW w:w="488" w:type="dxa"/>
                  <w:vAlign w:val="center"/>
                </w:tcPr>
                <w:p w14:paraId="7DB6B998">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Ⅲ</w:t>
                  </w:r>
                </w:p>
              </w:tc>
              <w:tc>
                <w:tcPr>
                  <w:tcW w:w="488" w:type="dxa"/>
                  <w:vAlign w:val="center"/>
                </w:tcPr>
                <w:p w14:paraId="1B2AB3D4">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5F05B4B0">
                  <w:pPr>
                    <w:widowControl/>
                    <w:spacing w:line="240" w:lineRule="auto"/>
                    <w:ind w:firstLine="0" w:firstLineChars="0"/>
                    <w:jc w:val="center"/>
                    <w:rPr>
                      <w:snapToGrid w:val="0"/>
                      <w:kern w:val="0"/>
                      <w:sz w:val="21"/>
                      <w:szCs w:val="21"/>
                    </w:rPr>
                  </w:pPr>
                  <w:r>
                    <w:rPr>
                      <w:sz w:val="21"/>
                      <w:szCs w:val="21"/>
                    </w:rPr>
                    <w:t>Ⅴ</w:t>
                  </w:r>
                </w:p>
              </w:tc>
              <w:tc>
                <w:tcPr>
                  <w:tcW w:w="488" w:type="dxa"/>
                  <w:vAlign w:val="center"/>
                </w:tcPr>
                <w:p w14:paraId="459DD40A">
                  <w:pPr>
                    <w:widowControl/>
                    <w:spacing w:line="240" w:lineRule="auto"/>
                    <w:ind w:firstLine="0" w:firstLineChars="0"/>
                    <w:jc w:val="center"/>
                    <w:rPr>
                      <w:snapToGrid w:val="0"/>
                      <w:kern w:val="0"/>
                      <w:sz w:val="21"/>
                      <w:szCs w:val="21"/>
                    </w:rPr>
                  </w:pPr>
                  <w:r>
                    <w:rPr>
                      <w:sz w:val="21"/>
                      <w:szCs w:val="21"/>
                    </w:rPr>
                    <w:t>Ⅴ</w:t>
                  </w:r>
                </w:p>
              </w:tc>
              <w:tc>
                <w:tcPr>
                  <w:tcW w:w="488" w:type="dxa"/>
                  <w:vAlign w:val="center"/>
                </w:tcPr>
                <w:p w14:paraId="2F600E76">
                  <w:pPr>
                    <w:widowControl/>
                    <w:spacing w:line="240" w:lineRule="auto"/>
                    <w:ind w:firstLine="0" w:firstLineChars="0"/>
                    <w:jc w:val="center"/>
                    <w:rPr>
                      <w:snapToGrid w:val="0"/>
                      <w:kern w:val="0"/>
                      <w:sz w:val="21"/>
                      <w:szCs w:val="21"/>
                    </w:rPr>
                  </w:pPr>
                  <w:r>
                    <w:rPr>
                      <w:sz w:val="21"/>
                      <w:szCs w:val="21"/>
                    </w:rPr>
                    <w:t>Ⅴ</w:t>
                  </w:r>
                </w:p>
              </w:tc>
              <w:tc>
                <w:tcPr>
                  <w:tcW w:w="488" w:type="dxa"/>
                  <w:vAlign w:val="center"/>
                </w:tcPr>
                <w:p w14:paraId="24979593">
                  <w:pPr>
                    <w:widowControl/>
                    <w:spacing w:line="240" w:lineRule="auto"/>
                    <w:ind w:firstLine="0" w:firstLineChars="0"/>
                    <w:jc w:val="center"/>
                    <w:rPr>
                      <w:snapToGrid w:val="0"/>
                      <w:kern w:val="0"/>
                      <w:sz w:val="21"/>
                      <w:szCs w:val="21"/>
                    </w:rPr>
                  </w:pPr>
                  <w:r>
                    <w:rPr>
                      <w:sz w:val="21"/>
                      <w:szCs w:val="21"/>
                    </w:rPr>
                    <w:t>Ⅴ</w:t>
                  </w:r>
                </w:p>
              </w:tc>
              <w:tc>
                <w:tcPr>
                  <w:tcW w:w="488" w:type="dxa"/>
                  <w:vAlign w:val="center"/>
                </w:tcPr>
                <w:p w14:paraId="35EE404D">
                  <w:pPr>
                    <w:widowControl/>
                    <w:spacing w:line="240" w:lineRule="auto"/>
                    <w:ind w:firstLine="0" w:firstLineChars="0"/>
                    <w:jc w:val="center"/>
                    <w:rPr>
                      <w:snapToGrid w:val="0"/>
                      <w:kern w:val="0"/>
                      <w:sz w:val="21"/>
                      <w:szCs w:val="21"/>
                    </w:rPr>
                  </w:pPr>
                  <w:r>
                    <w:rPr>
                      <w:sz w:val="21"/>
                      <w:szCs w:val="21"/>
                    </w:rPr>
                    <w:t>Ⅴ</w:t>
                  </w:r>
                </w:p>
              </w:tc>
              <w:tc>
                <w:tcPr>
                  <w:tcW w:w="488" w:type="dxa"/>
                  <w:vAlign w:val="center"/>
                </w:tcPr>
                <w:p w14:paraId="10AE7C55">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hint="eastAsia" w:ascii="Times New Roman" w:hAnsi="Times New Roman"/>
                      <w:sz w:val="21"/>
                      <w:szCs w:val="21"/>
                    </w:rPr>
                    <w:t>-</w:t>
                  </w:r>
                </w:p>
              </w:tc>
              <w:tc>
                <w:tcPr>
                  <w:tcW w:w="488" w:type="dxa"/>
                  <w:vAlign w:val="center"/>
                </w:tcPr>
                <w:p w14:paraId="52EBF417">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hint="eastAsia" w:ascii="Times New Roman" w:hAnsi="Times New Roman"/>
                      <w:sz w:val="21"/>
                      <w:szCs w:val="21"/>
                    </w:rPr>
                    <w:t>劣</w:t>
                  </w:r>
                  <w:r>
                    <w:rPr>
                      <w:rFonts w:ascii="Times New Roman" w:hAnsi="Times New Roman"/>
                      <w:sz w:val="21"/>
                      <w:szCs w:val="21"/>
                    </w:rPr>
                    <w:t>Ⅴ</w:t>
                  </w:r>
                </w:p>
              </w:tc>
              <w:tc>
                <w:tcPr>
                  <w:tcW w:w="488" w:type="dxa"/>
                  <w:vAlign w:val="center"/>
                </w:tcPr>
                <w:p w14:paraId="01D346DC">
                  <w:pPr>
                    <w:widowControl/>
                    <w:spacing w:line="240" w:lineRule="auto"/>
                    <w:ind w:firstLine="0" w:firstLineChars="0"/>
                    <w:jc w:val="center"/>
                    <w:rPr>
                      <w:snapToGrid w:val="0"/>
                      <w:kern w:val="0"/>
                      <w:sz w:val="21"/>
                      <w:szCs w:val="21"/>
                    </w:rPr>
                  </w:pPr>
                  <w:r>
                    <w:rPr>
                      <w:sz w:val="21"/>
                      <w:szCs w:val="21"/>
                    </w:rPr>
                    <w:t>Ⅳ</w:t>
                  </w:r>
                </w:p>
              </w:tc>
              <w:tc>
                <w:tcPr>
                  <w:tcW w:w="488" w:type="dxa"/>
                  <w:vAlign w:val="center"/>
                </w:tcPr>
                <w:p w14:paraId="375DE67E">
                  <w:pPr>
                    <w:widowControl/>
                    <w:spacing w:line="240" w:lineRule="auto"/>
                    <w:ind w:firstLine="0" w:firstLineChars="0"/>
                    <w:jc w:val="center"/>
                    <w:rPr>
                      <w:snapToGrid w:val="0"/>
                      <w:kern w:val="0"/>
                      <w:sz w:val="21"/>
                      <w:szCs w:val="21"/>
                    </w:rPr>
                  </w:pPr>
                  <w:r>
                    <w:rPr>
                      <w:sz w:val="21"/>
                      <w:szCs w:val="21"/>
                    </w:rPr>
                    <w:t>Ⅳ</w:t>
                  </w:r>
                </w:p>
              </w:tc>
              <w:tc>
                <w:tcPr>
                  <w:tcW w:w="488" w:type="dxa"/>
                  <w:vAlign w:val="center"/>
                </w:tcPr>
                <w:p w14:paraId="1C2E92B1">
                  <w:pPr>
                    <w:widowControl/>
                    <w:spacing w:line="240" w:lineRule="auto"/>
                    <w:ind w:firstLine="0" w:firstLineChars="0"/>
                    <w:jc w:val="center"/>
                    <w:rPr>
                      <w:snapToGrid w:val="0"/>
                      <w:kern w:val="0"/>
                      <w:sz w:val="21"/>
                      <w:szCs w:val="21"/>
                    </w:rPr>
                  </w:pPr>
                  <w:r>
                    <w:rPr>
                      <w:sz w:val="21"/>
                      <w:szCs w:val="21"/>
                    </w:rPr>
                    <w:t>Ⅳ</w:t>
                  </w:r>
                </w:p>
              </w:tc>
              <w:tc>
                <w:tcPr>
                  <w:tcW w:w="488" w:type="dxa"/>
                  <w:vAlign w:val="center"/>
                </w:tcPr>
                <w:p w14:paraId="54B39E58">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Ⅳ</w:t>
                  </w:r>
                </w:p>
              </w:tc>
              <w:tc>
                <w:tcPr>
                  <w:tcW w:w="488" w:type="dxa"/>
                  <w:vAlign w:val="center"/>
                </w:tcPr>
                <w:p w14:paraId="2D07E729">
                  <w:pPr>
                    <w:pStyle w:val="20"/>
                    <w:spacing w:before="0" w:beforeAutospacing="0" w:after="0" w:afterAutospacing="0" w:line="240" w:lineRule="auto"/>
                    <w:ind w:firstLine="0" w:firstLineChars="0"/>
                    <w:jc w:val="center"/>
                    <w:rPr>
                      <w:rFonts w:ascii="Times New Roman" w:hAnsi="Times New Roman"/>
                      <w:snapToGrid w:val="0"/>
                      <w:sz w:val="21"/>
                      <w:szCs w:val="21"/>
                    </w:rPr>
                  </w:pPr>
                  <w:r>
                    <w:rPr>
                      <w:rFonts w:ascii="Times New Roman" w:hAnsi="Times New Roman"/>
                      <w:sz w:val="21"/>
                      <w:szCs w:val="21"/>
                    </w:rPr>
                    <w:t>Ⅴ</w:t>
                  </w:r>
                </w:p>
              </w:tc>
            </w:tr>
          </w:tbl>
          <w:p w14:paraId="31034AE6">
            <w:pPr>
              <w:pStyle w:val="13"/>
              <w:ind w:left="0" w:leftChars="0" w:right="0" w:rightChars="0" w:firstLine="480"/>
              <w:rPr>
                <w:color w:val="0070C0"/>
              </w:rPr>
            </w:pPr>
            <w:r>
              <w:rPr>
                <w:bCs/>
              </w:rPr>
              <w:t>由上表可知，</w:t>
            </w:r>
            <w:r>
              <w:rPr>
                <w:rFonts w:hint="eastAsia"/>
                <w:bCs/>
              </w:rPr>
              <w:t>监测断面</w:t>
            </w:r>
            <w:r>
              <w:rPr>
                <w:bCs/>
              </w:rPr>
              <w:t>丰北闸年均水质为Ⅳ类水质，达到</w:t>
            </w:r>
            <w:r>
              <w:rPr>
                <w:rFonts w:hint="eastAsia"/>
                <w:bCs/>
              </w:rPr>
              <w:t>还乡河</w:t>
            </w:r>
            <w:r>
              <w:rPr>
                <w:bCs/>
              </w:rPr>
              <w:t>目标水质要求；涧河口年均水质为Ⅳ类水质，达到</w:t>
            </w:r>
            <w:r>
              <w:rPr>
                <w:rFonts w:hint="eastAsia"/>
                <w:bCs/>
              </w:rPr>
              <w:t>陡河</w:t>
            </w:r>
            <w:r>
              <w:rPr>
                <w:bCs/>
              </w:rPr>
              <w:t>目标水质要求。</w:t>
            </w:r>
          </w:p>
          <w:p w14:paraId="51EBB351">
            <w:pPr>
              <w:ind w:firstLine="482"/>
              <w:rPr>
                <w:b/>
                <w:bCs/>
              </w:rPr>
            </w:pPr>
            <w:r>
              <w:rPr>
                <w:rFonts w:hint="eastAsia"/>
                <w:b/>
                <w:bCs/>
              </w:rPr>
              <w:t>四</w:t>
            </w:r>
            <w:r>
              <w:rPr>
                <w:b/>
                <w:bCs/>
              </w:rPr>
              <w:t>、生态</w:t>
            </w:r>
            <w:r>
              <w:rPr>
                <w:rFonts w:hint="eastAsia"/>
                <w:b/>
                <w:bCs/>
              </w:rPr>
              <w:t>环境</w:t>
            </w:r>
          </w:p>
          <w:p w14:paraId="717DF1D0">
            <w:pPr>
              <w:autoSpaceDE w:val="0"/>
              <w:autoSpaceDN w:val="0"/>
              <w:adjustRightInd w:val="0"/>
              <w:snapToGrid w:val="0"/>
              <w:ind w:firstLine="480"/>
              <w:outlineLvl w:val="1"/>
            </w:pPr>
            <w:r>
              <w:rPr>
                <w:rFonts w:hint="eastAsia"/>
              </w:rPr>
              <w:t>本项目在京唐智慧港园区内建设，不需要进行生态现状调查。</w:t>
            </w:r>
          </w:p>
        </w:tc>
      </w:tr>
      <w:tr w14:paraId="4C095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8" w:hRule="atLeast"/>
          <w:jc w:val="center"/>
        </w:trPr>
        <w:tc>
          <w:tcPr>
            <w:tcW w:w="800" w:type="dxa"/>
            <w:vAlign w:val="center"/>
          </w:tcPr>
          <w:p w14:paraId="0D32D6AB">
            <w:pPr>
              <w:pStyle w:val="31"/>
            </w:pPr>
            <w:r>
              <w:rPr>
                <w:rFonts w:hint="eastAsia"/>
              </w:rPr>
              <w:t>环境</w:t>
            </w:r>
          </w:p>
          <w:p w14:paraId="5CC3374F">
            <w:pPr>
              <w:pStyle w:val="31"/>
            </w:pPr>
            <w:r>
              <w:rPr>
                <w:rFonts w:hint="eastAsia"/>
              </w:rPr>
              <w:t>保护</w:t>
            </w:r>
          </w:p>
          <w:p w14:paraId="3FF7E4C4">
            <w:pPr>
              <w:pStyle w:val="31"/>
            </w:pPr>
            <w:r>
              <w:rPr>
                <w:rFonts w:hint="eastAsia"/>
              </w:rPr>
              <w:t>目标</w:t>
            </w:r>
          </w:p>
        </w:tc>
        <w:tc>
          <w:tcPr>
            <w:tcW w:w="8510" w:type="dxa"/>
          </w:tcPr>
          <w:p w14:paraId="32C5A788">
            <w:pPr>
              <w:ind w:firstLine="480"/>
            </w:pPr>
            <w:r>
              <w:t>1</w:t>
            </w:r>
            <w:r>
              <w:rPr>
                <w:rFonts w:hint="eastAsia"/>
              </w:rPr>
              <w:t>、</w:t>
            </w:r>
            <w:r>
              <w:t>大气环境</w:t>
            </w:r>
          </w:p>
          <w:p w14:paraId="6C2B9E61">
            <w:pPr>
              <w:spacing w:line="360" w:lineRule="auto"/>
              <w:ind w:firstLine="0" w:firstLineChars="0"/>
              <w:jc w:val="center"/>
              <w:rPr>
                <w:b/>
                <w:bCs/>
                <w:sz w:val="21"/>
                <w:szCs w:val="21"/>
              </w:rPr>
            </w:pPr>
            <w:r>
              <w:rPr>
                <w:rFonts w:hint="eastAsia"/>
                <w:b/>
                <w:bCs/>
                <w:sz w:val="21"/>
                <w:szCs w:val="21"/>
              </w:rPr>
              <w:t>表3-5  环境保护目标一览表</w:t>
            </w:r>
          </w:p>
          <w:tbl>
            <w:tblPr>
              <w:tblStyle w:val="22"/>
              <w:tblW w:w="4999"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34"/>
              <w:gridCol w:w="795"/>
              <w:gridCol w:w="805"/>
              <w:gridCol w:w="896"/>
              <w:gridCol w:w="1000"/>
              <w:gridCol w:w="1140"/>
              <w:gridCol w:w="1170"/>
              <w:gridCol w:w="1122"/>
            </w:tblGrid>
            <w:tr w14:paraId="448CEA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07" w:type="pct"/>
                  <w:vMerge w:val="restart"/>
                  <w:tcBorders>
                    <w:top w:val="single" w:color="auto" w:sz="12" w:space="0"/>
                    <w:bottom w:val="single" w:color="auto" w:sz="4" w:space="0"/>
                    <w:right w:val="single" w:color="auto" w:sz="4" w:space="0"/>
                  </w:tcBorders>
                  <w:vAlign w:val="center"/>
                </w:tcPr>
                <w:p w14:paraId="335A1713">
                  <w:pPr>
                    <w:widowControl/>
                    <w:spacing w:line="240" w:lineRule="auto"/>
                    <w:ind w:firstLine="0" w:firstLineChars="0"/>
                    <w:jc w:val="center"/>
                    <w:rPr>
                      <w:sz w:val="21"/>
                      <w:szCs w:val="21"/>
                    </w:rPr>
                  </w:pPr>
                  <w:r>
                    <w:rPr>
                      <w:rFonts w:hint="eastAsia"/>
                      <w:sz w:val="21"/>
                      <w:szCs w:val="21"/>
                    </w:rPr>
                    <w:t>名称</w:t>
                  </w:r>
                </w:p>
              </w:tc>
              <w:tc>
                <w:tcPr>
                  <w:tcW w:w="968" w:type="pct"/>
                  <w:gridSpan w:val="2"/>
                  <w:tcBorders>
                    <w:top w:val="single" w:color="auto" w:sz="12" w:space="0"/>
                    <w:left w:val="single" w:color="auto" w:sz="4" w:space="0"/>
                    <w:bottom w:val="single" w:color="auto" w:sz="4" w:space="0"/>
                    <w:right w:val="single" w:color="auto" w:sz="4" w:space="0"/>
                  </w:tcBorders>
                  <w:vAlign w:val="center"/>
                </w:tcPr>
                <w:p w14:paraId="5071673E">
                  <w:pPr>
                    <w:widowControl/>
                    <w:spacing w:line="240" w:lineRule="auto"/>
                    <w:ind w:firstLine="0" w:firstLineChars="0"/>
                    <w:jc w:val="center"/>
                    <w:rPr>
                      <w:sz w:val="21"/>
                      <w:szCs w:val="21"/>
                    </w:rPr>
                  </w:pPr>
                  <w:r>
                    <w:rPr>
                      <w:rFonts w:hint="eastAsia"/>
                      <w:sz w:val="21"/>
                      <w:szCs w:val="21"/>
                    </w:rPr>
                    <w:t>坐标/m</w:t>
                  </w:r>
                </w:p>
              </w:tc>
              <w:tc>
                <w:tcPr>
                  <w:tcW w:w="542" w:type="pct"/>
                  <w:vMerge w:val="restart"/>
                  <w:tcBorders>
                    <w:top w:val="single" w:color="auto" w:sz="12" w:space="0"/>
                    <w:left w:val="single" w:color="auto" w:sz="4" w:space="0"/>
                    <w:bottom w:val="single" w:color="auto" w:sz="4" w:space="0"/>
                    <w:right w:val="single" w:color="auto" w:sz="4" w:space="0"/>
                  </w:tcBorders>
                  <w:vAlign w:val="center"/>
                </w:tcPr>
                <w:p w14:paraId="33A7568C">
                  <w:pPr>
                    <w:widowControl/>
                    <w:spacing w:line="240" w:lineRule="auto"/>
                    <w:ind w:firstLine="0" w:firstLineChars="0"/>
                    <w:jc w:val="center"/>
                    <w:rPr>
                      <w:sz w:val="21"/>
                      <w:szCs w:val="21"/>
                    </w:rPr>
                  </w:pPr>
                  <w:r>
                    <w:rPr>
                      <w:rFonts w:hint="eastAsia"/>
                      <w:sz w:val="21"/>
                      <w:szCs w:val="21"/>
                    </w:rPr>
                    <w:t>保护对象</w:t>
                  </w:r>
                </w:p>
              </w:tc>
              <w:tc>
                <w:tcPr>
                  <w:tcW w:w="605" w:type="pct"/>
                  <w:vMerge w:val="restart"/>
                  <w:tcBorders>
                    <w:top w:val="single" w:color="auto" w:sz="12" w:space="0"/>
                    <w:left w:val="single" w:color="auto" w:sz="4" w:space="0"/>
                    <w:bottom w:val="single" w:color="auto" w:sz="4" w:space="0"/>
                    <w:right w:val="single" w:color="auto" w:sz="4" w:space="0"/>
                  </w:tcBorders>
                  <w:vAlign w:val="center"/>
                </w:tcPr>
                <w:p w14:paraId="2F65CD59">
                  <w:pPr>
                    <w:widowControl/>
                    <w:spacing w:line="240" w:lineRule="auto"/>
                    <w:ind w:firstLine="0" w:firstLineChars="0"/>
                    <w:jc w:val="center"/>
                    <w:rPr>
                      <w:sz w:val="21"/>
                      <w:szCs w:val="21"/>
                    </w:rPr>
                  </w:pPr>
                  <w:r>
                    <w:rPr>
                      <w:rFonts w:hint="eastAsia"/>
                      <w:sz w:val="21"/>
                      <w:szCs w:val="21"/>
                    </w:rPr>
                    <w:t>人口数/人</w:t>
                  </w:r>
                </w:p>
              </w:tc>
              <w:tc>
                <w:tcPr>
                  <w:tcW w:w="689" w:type="pct"/>
                  <w:vMerge w:val="restart"/>
                  <w:tcBorders>
                    <w:top w:val="single" w:color="auto" w:sz="12" w:space="0"/>
                    <w:left w:val="single" w:color="auto" w:sz="4" w:space="0"/>
                    <w:bottom w:val="single" w:color="auto" w:sz="4" w:space="0"/>
                    <w:right w:val="single" w:color="auto" w:sz="4" w:space="0"/>
                  </w:tcBorders>
                  <w:vAlign w:val="center"/>
                </w:tcPr>
                <w:p w14:paraId="0F67D4A8">
                  <w:pPr>
                    <w:widowControl/>
                    <w:spacing w:line="240" w:lineRule="auto"/>
                    <w:ind w:firstLine="0" w:firstLineChars="0"/>
                    <w:jc w:val="center"/>
                    <w:rPr>
                      <w:sz w:val="21"/>
                      <w:szCs w:val="21"/>
                    </w:rPr>
                  </w:pPr>
                  <w:r>
                    <w:rPr>
                      <w:rFonts w:hint="eastAsia"/>
                      <w:sz w:val="21"/>
                      <w:szCs w:val="21"/>
                    </w:rPr>
                    <w:t>环境功能区</w:t>
                  </w:r>
                </w:p>
              </w:tc>
              <w:tc>
                <w:tcPr>
                  <w:tcW w:w="707" w:type="pct"/>
                  <w:vMerge w:val="restart"/>
                  <w:tcBorders>
                    <w:top w:val="single" w:color="auto" w:sz="12" w:space="0"/>
                    <w:left w:val="single" w:color="auto" w:sz="4" w:space="0"/>
                    <w:bottom w:val="single" w:color="auto" w:sz="4" w:space="0"/>
                    <w:right w:val="single" w:color="auto" w:sz="4" w:space="0"/>
                  </w:tcBorders>
                  <w:vAlign w:val="center"/>
                </w:tcPr>
                <w:p w14:paraId="6008D5AE">
                  <w:pPr>
                    <w:widowControl/>
                    <w:spacing w:line="240" w:lineRule="auto"/>
                    <w:ind w:firstLine="0" w:firstLineChars="0"/>
                    <w:jc w:val="center"/>
                    <w:rPr>
                      <w:sz w:val="21"/>
                      <w:szCs w:val="21"/>
                    </w:rPr>
                  </w:pPr>
                  <w:r>
                    <w:rPr>
                      <w:rFonts w:hint="eastAsia"/>
                      <w:sz w:val="21"/>
                      <w:szCs w:val="21"/>
                    </w:rPr>
                    <w:t>相对厂址方位</w:t>
                  </w:r>
                </w:p>
              </w:tc>
              <w:tc>
                <w:tcPr>
                  <w:tcW w:w="678" w:type="pct"/>
                  <w:vMerge w:val="restart"/>
                  <w:tcBorders>
                    <w:top w:val="single" w:color="auto" w:sz="12" w:space="0"/>
                    <w:left w:val="single" w:color="auto" w:sz="4" w:space="0"/>
                    <w:bottom w:val="single" w:color="auto" w:sz="4" w:space="0"/>
                    <w:right w:val="single" w:color="auto" w:sz="12" w:space="0"/>
                  </w:tcBorders>
                  <w:vAlign w:val="center"/>
                </w:tcPr>
                <w:p w14:paraId="23A30218">
                  <w:pPr>
                    <w:widowControl/>
                    <w:spacing w:line="240" w:lineRule="auto"/>
                    <w:ind w:firstLine="0" w:firstLineChars="0"/>
                    <w:jc w:val="center"/>
                    <w:rPr>
                      <w:sz w:val="21"/>
                      <w:szCs w:val="21"/>
                    </w:rPr>
                  </w:pPr>
                  <w:r>
                    <w:rPr>
                      <w:rFonts w:hint="eastAsia"/>
                      <w:sz w:val="21"/>
                      <w:szCs w:val="21"/>
                    </w:rPr>
                    <w:t>相对厂界距离/m</w:t>
                  </w:r>
                </w:p>
              </w:tc>
            </w:tr>
            <w:tr w14:paraId="760238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07" w:type="pct"/>
                  <w:vMerge w:val="continue"/>
                  <w:tcBorders>
                    <w:top w:val="single" w:color="auto" w:sz="4" w:space="0"/>
                    <w:left w:val="single" w:color="auto" w:sz="12" w:space="0"/>
                    <w:bottom w:val="single" w:color="auto" w:sz="4" w:space="0"/>
                    <w:right w:val="single" w:color="auto" w:sz="4" w:space="0"/>
                  </w:tcBorders>
                  <w:vAlign w:val="center"/>
                </w:tcPr>
                <w:p w14:paraId="7A57EE44">
                  <w:pPr>
                    <w:widowControl/>
                    <w:spacing w:line="240" w:lineRule="auto"/>
                    <w:ind w:firstLine="0" w:firstLineChars="0"/>
                    <w:jc w:val="center"/>
                    <w:rPr>
                      <w:sz w:val="21"/>
                      <w:szCs w:val="21"/>
                    </w:rPr>
                  </w:pPr>
                </w:p>
              </w:tc>
              <w:tc>
                <w:tcPr>
                  <w:tcW w:w="481" w:type="pct"/>
                  <w:tcBorders>
                    <w:top w:val="single" w:color="auto" w:sz="4" w:space="0"/>
                    <w:left w:val="single" w:color="auto" w:sz="4" w:space="0"/>
                    <w:bottom w:val="single" w:color="auto" w:sz="4" w:space="0"/>
                    <w:right w:val="single" w:color="auto" w:sz="4" w:space="0"/>
                  </w:tcBorders>
                  <w:vAlign w:val="center"/>
                </w:tcPr>
                <w:p w14:paraId="6C4C47A5">
                  <w:pPr>
                    <w:widowControl/>
                    <w:spacing w:line="240" w:lineRule="auto"/>
                    <w:ind w:firstLine="0" w:firstLineChars="0"/>
                    <w:jc w:val="center"/>
                    <w:rPr>
                      <w:sz w:val="21"/>
                      <w:szCs w:val="21"/>
                    </w:rPr>
                  </w:pPr>
                  <w:r>
                    <w:rPr>
                      <w:rFonts w:hint="eastAsia"/>
                      <w:sz w:val="21"/>
                      <w:szCs w:val="21"/>
                    </w:rPr>
                    <w:t>X</w:t>
                  </w:r>
                </w:p>
              </w:tc>
              <w:tc>
                <w:tcPr>
                  <w:tcW w:w="487" w:type="pct"/>
                  <w:tcBorders>
                    <w:top w:val="single" w:color="auto" w:sz="4" w:space="0"/>
                    <w:left w:val="single" w:color="auto" w:sz="4" w:space="0"/>
                    <w:bottom w:val="single" w:color="auto" w:sz="4" w:space="0"/>
                    <w:right w:val="single" w:color="auto" w:sz="4" w:space="0"/>
                  </w:tcBorders>
                  <w:vAlign w:val="center"/>
                </w:tcPr>
                <w:p w14:paraId="03049FE0">
                  <w:pPr>
                    <w:widowControl/>
                    <w:spacing w:line="240" w:lineRule="auto"/>
                    <w:ind w:firstLine="0" w:firstLineChars="0"/>
                    <w:jc w:val="center"/>
                    <w:rPr>
                      <w:sz w:val="21"/>
                      <w:szCs w:val="21"/>
                    </w:rPr>
                  </w:pPr>
                  <w:r>
                    <w:rPr>
                      <w:rFonts w:hint="eastAsia"/>
                      <w:sz w:val="21"/>
                      <w:szCs w:val="21"/>
                    </w:rPr>
                    <w:t>Y</w:t>
                  </w:r>
                </w:p>
              </w:tc>
              <w:tc>
                <w:tcPr>
                  <w:tcW w:w="542" w:type="pct"/>
                  <w:vMerge w:val="continue"/>
                  <w:tcBorders>
                    <w:top w:val="single" w:color="auto" w:sz="4" w:space="0"/>
                    <w:left w:val="single" w:color="auto" w:sz="4" w:space="0"/>
                    <w:bottom w:val="single" w:color="auto" w:sz="4" w:space="0"/>
                    <w:right w:val="single" w:color="auto" w:sz="4" w:space="0"/>
                  </w:tcBorders>
                  <w:vAlign w:val="center"/>
                </w:tcPr>
                <w:p w14:paraId="7C688059">
                  <w:pPr>
                    <w:widowControl/>
                    <w:spacing w:line="240" w:lineRule="auto"/>
                    <w:ind w:firstLine="0" w:firstLineChars="0"/>
                    <w:jc w:val="center"/>
                    <w:rPr>
                      <w:sz w:val="21"/>
                      <w:szCs w:val="21"/>
                    </w:rPr>
                  </w:pPr>
                </w:p>
              </w:tc>
              <w:tc>
                <w:tcPr>
                  <w:tcW w:w="605" w:type="pct"/>
                  <w:vMerge w:val="continue"/>
                  <w:tcBorders>
                    <w:top w:val="single" w:color="auto" w:sz="4" w:space="0"/>
                    <w:left w:val="single" w:color="auto" w:sz="4" w:space="0"/>
                    <w:bottom w:val="single" w:color="auto" w:sz="4" w:space="0"/>
                    <w:right w:val="single" w:color="auto" w:sz="4" w:space="0"/>
                  </w:tcBorders>
                  <w:vAlign w:val="center"/>
                </w:tcPr>
                <w:p w14:paraId="13C71E4F">
                  <w:pPr>
                    <w:widowControl/>
                    <w:spacing w:line="240" w:lineRule="auto"/>
                    <w:ind w:firstLine="0" w:firstLineChars="0"/>
                    <w:jc w:val="center"/>
                    <w:rPr>
                      <w:sz w:val="21"/>
                      <w:szCs w:val="21"/>
                    </w:rPr>
                  </w:pPr>
                </w:p>
              </w:tc>
              <w:tc>
                <w:tcPr>
                  <w:tcW w:w="689" w:type="pct"/>
                  <w:vMerge w:val="continue"/>
                  <w:tcBorders>
                    <w:top w:val="single" w:color="auto" w:sz="4" w:space="0"/>
                    <w:left w:val="single" w:color="auto" w:sz="4" w:space="0"/>
                    <w:bottom w:val="single" w:color="auto" w:sz="4" w:space="0"/>
                    <w:right w:val="single" w:color="auto" w:sz="4" w:space="0"/>
                  </w:tcBorders>
                  <w:vAlign w:val="center"/>
                </w:tcPr>
                <w:p w14:paraId="7B6B5F30">
                  <w:pPr>
                    <w:widowControl/>
                    <w:spacing w:line="240" w:lineRule="auto"/>
                    <w:ind w:firstLine="0" w:firstLineChars="0"/>
                    <w:jc w:val="center"/>
                    <w:rPr>
                      <w:sz w:val="21"/>
                      <w:szCs w:val="21"/>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609B7B4F">
                  <w:pPr>
                    <w:widowControl/>
                    <w:spacing w:line="240" w:lineRule="auto"/>
                    <w:ind w:firstLine="0" w:firstLineChars="0"/>
                    <w:jc w:val="center"/>
                    <w:rPr>
                      <w:sz w:val="21"/>
                      <w:szCs w:val="21"/>
                    </w:rPr>
                  </w:pPr>
                </w:p>
              </w:tc>
              <w:tc>
                <w:tcPr>
                  <w:tcW w:w="678" w:type="pct"/>
                  <w:vMerge w:val="continue"/>
                  <w:tcBorders>
                    <w:top w:val="single" w:color="auto" w:sz="4" w:space="0"/>
                    <w:left w:val="single" w:color="auto" w:sz="4" w:space="0"/>
                    <w:bottom w:val="single" w:color="auto" w:sz="4" w:space="0"/>
                    <w:right w:val="single" w:color="auto" w:sz="12" w:space="0"/>
                  </w:tcBorders>
                  <w:vAlign w:val="center"/>
                </w:tcPr>
                <w:p w14:paraId="6F5283EF">
                  <w:pPr>
                    <w:widowControl/>
                    <w:spacing w:line="240" w:lineRule="auto"/>
                    <w:ind w:firstLine="0" w:firstLineChars="0"/>
                    <w:jc w:val="center"/>
                    <w:rPr>
                      <w:sz w:val="21"/>
                      <w:szCs w:val="21"/>
                    </w:rPr>
                  </w:pPr>
                </w:p>
              </w:tc>
            </w:tr>
            <w:tr w14:paraId="754C2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trPr>
              <w:tc>
                <w:tcPr>
                  <w:tcW w:w="807" w:type="pct"/>
                  <w:tcBorders>
                    <w:top w:val="single" w:color="auto" w:sz="4" w:space="0"/>
                    <w:left w:val="single" w:color="auto" w:sz="12" w:space="0"/>
                    <w:bottom w:val="single" w:color="auto" w:sz="12" w:space="0"/>
                    <w:right w:val="single" w:color="auto" w:sz="4" w:space="0"/>
                  </w:tcBorders>
                  <w:vAlign w:val="center"/>
                </w:tcPr>
                <w:p w14:paraId="02873FDA">
                  <w:pPr>
                    <w:widowControl/>
                    <w:spacing w:line="240" w:lineRule="auto"/>
                    <w:ind w:firstLine="0" w:firstLineChars="0"/>
                    <w:jc w:val="center"/>
                    <w:rPr>
                      <w:sz w:val="21"/>
                      <w:szCs w:val="21"/>
                    </w:rPr>
                  </w:pPr>
                  <w:r>
                    <w:rPr>
                      <w:rFonts w:hint="eastAsia"/>
                      <w:sz w:val="21"/>
                      <w:szCs w:val="21"/>
                    </w:rPr>
                    <w:t>毛家坨</w:t>
                  </w:r>
                </w:p>
              </w:tc>
              <w:tc>
                <w:tcPr>
                  <w:tcW w:w="481" w:type="pct"/>
                  <w:tcBorders>
                    <w:top w:val="single" w:color="auto" w:sz="4" w:space="0"/>
                    <w:left w:val="single" w:color="auto" w:sz="4" w:space="0"/>
                    <w:bottom w:val="single" w:color="auto" w:sz="12" w:space="0"/>
                    <w:right w:val="single" w:color="auto" w:sz="4" w:space="0"/>
                  </w:tcBorders>
                  <w:vAlign w:val="center"/>
                </w:tcPr>
                <w:p w14:paraId="269EEE3F">
                  <w:pPr>
                    <w:widowControl/>
                    <w:spacing w:line="240" w:lineRule="auto"/>
                    <w:ind w:firstLine="0" w:firstLineChars="0"/>
                    <w:jc w:val="center"/>
                    <w:rPr>
                      <w:sz w:val="21"/>
                      <w:szCs w:val="21"/>
                    </w:rPr>
                  </w:pPr>
                  <w:r>
                    <w:rPr>
                      <w:rFonts w:hint="eastAsia"/>
                      <w:sz w:val="21"/>
                      <w:szCs w:val="21"/>
                    </w:rPr>
                    <w:t>0</w:t>
                  </w:r>
                </w:p>
              </w:tc>
              <w:tc>
                <w:tcPr>
                  <w:tcW w:w="487" w:type="pct"/>
                  <w:tcBorders>
                    <w:top w:val="single" w:color="auto" w:sz="4" w:space="0"/>
                    <w:left w:val="single" w:color="auto" w:sz="4" w:space="0"/>
                    <w:bottom w:val="single" w:color="auto" w:sz="12" w:space="0"/>
                    <w:right w:val="single" w:color="auto" w:sz="4" w:space="0"/>
                  </w:tcBorders>
                  <w:vAlign w:val="center"/>
                </w:tcPr>
                <w:p w14:paraId="5A9EEB1B">
                  <w:pPr>
                    <w:widowControl/>
                    <w:spacing w:line="240" w:lineRule="auto"/>
                    <w:ind w:firstLine="0" w:firstLineChars="0"/>
                    <w:jc w:val="center"/>
                    <w:rPr>
                      <w:sz w:val="21"/>
                      <w:szCs w:val="21"/>
                    </w:rPr>
                  </w:pPr>
                  <w:r>
                    <w:rPr>
                      <w:rFonts w:hint="eastAsia"/>
                      <w:sz w:val="21"/>
                      <w:szCs w:val="21"/>
                    </w:rPr>
                    <w:t>320</w:t>
                  </w:r>
                </w:p>
              </w:tc>
              <w:tc>
                <w:tcPr>
                  <w:tcW w:w="542" w:type="pct"/>
                  <w:tcBorders>
                    <w:top w:val="single" w:color="auto" w:sz="4" w:space="0"/>
                    <w:left w:val="single" w:color="auto" w:sz="4" w:space="0"/>
                    <w:bottom w:val="single" w:color="auto" w:sz="12" w:space="0"/>
                    <w:right w:val="single" w:color="auto" w:sz="4" w:space="0"/>
                  </w:tcBorders>
                  <w:vAlign w:val="center"/>
                </w:tcPr>
                <w:p w14:paraId="6FBA8114">
                  <w:pPr>
                    <w:widowControl/>
                    <w:spacing w:line="240" w:lineRule="auto"/>
                    <w:ind w:firstLine="0" w:firstLineChars="0"/>
                    <w:jc w:val="center"/>
                    <w:rPr>
                      <w:sz w:val="21"/>
                      <w:szCs w:val="21"/>
                    </w:rPr>
                  </w:pPr>
                  <w:r>
                    <w:rPr>
                      <w:rFonts w:hint="eastAsia"/>
                      <w:sz w:val="21"/>
                      <w:szCs w:val="21"/>
                    </w:rPr>
                    <w:t>居住区</w:t>
                  </w:r>
                </w:p>
              </w:tc>
              <w:tc>
                <w:tcPr>
                  <w:tcW w:w="605" w:type="pct"/>
                  <w:tcBorders>
                    <w:top w:val="single" w:color="auto" w:sz="4" w:space="0"/>
                    <w:left w:val="single" w:color="auto" w:sz="4" w:space="0"/>
                    <w:bottom w:val="single" w:color="auto" w:sz="12" w:space="0"/>
                    <w:right w:val="single" w:color="auto" w:sz="4" w:space="0"/>
                  </w:tcBorders>
                  <w:vAlign w:val="center"/>
                </w:tcPr>
                <w:p w14:paraId="3F21B245">
                  <w:pPr>
                    <w:widowControl/>
                    <w:spacing w:line="240" w:lineRule="auto"/>
                    <w:ind w:firstLine="0" w:firstLineChars="0"/>
                    <w:jc w:val="center"/>
                    <w:rPr>
                      <w:sz w:val="21"/>
                      <w:szCs w:val="21"/>
                    </w:rPr>
                  </w:pPr>
                  <w:r>
                    <w:rPr>
                      <w:rFonts w:hint="eastAsia"/>
                      <w:sz w:val="21"/>
                      <w:szCs w:val="21"/>
                    </w:rPr>
                    <w:t>4500</w:t>
                  </w:r>
                </w:p>
              </w:tc>
              <w:tc>
                <w:tcPr>
                  <w:tcW w:w="689" w:type="pct"/>
                  <w:tcBorders>
                    <w:top w:val="single" w:color="auto" w:sz="4" w:space="0"/>
                    <w:left w:val="single" w:color="auto" w:sz="4" w:space="0"/>
                    <w:bottom w:val="single" w:color="auto" w:sz="12" w:space="0"/>
                    <w:right w:val="single" w:color="auto" w:sz="4" w:space="0"/>
                  </w:tcBorders>
                  <w:vAlign w:val="center"/>
                </w:tcPr>
                <w:p w14:paraId="7CFB3743">
                  <w:pPr>
                    <w:widowControl/>
                    <w:spacing w:line="240" w:lineRule="auto"/>
                    <w:ind w:firstLine="0" w:firstLineChars="0"/>
                    <w:jc w:val="center"/>
                    <w:rPr>
                      <w:sz w:val="21"/>
                      <w:szCs w:val="21"/>
                    </w:rPr>
                  </w:pPr>
                  <w:r>
                    <w:rPr>
                      <w:rFonts w:hint="eastAsia"/>
                      <w:sz w:val="21"/>
                      <w:szCs w:val="21"/>
                    </w:rPr>
                    <w:t>2类区</w:t>
                  </w:r>
                </w:p>
              </w:tc>
              <w:tc>
                <w:tcPr>
                  <w:tcW w:w="707" w:type="pct"/>
                  <w:tcBorders>
                    <w:top w:val="single" w:color="auto" w:sz="4" w:space="0"/>
                    <w:left w:val="single" w:color="auto" w:sz="4" w:space="0"/>
                    <w:bottom w:val="single" w:color="auto" w:sz="12" w:space="0"/>
                    <w:right w:val="single" w:color="auto" w:sz="4" w:space="0"/>
                  </w:tcBorders>
                  <w:vAlign w:val="center"/>
                </w:tcPr>
                <w:p w14:paraId="20FDE539">
                  <w:pPr>
                    <w:widowControl/>
                    <w:spacing w:line="240" w:lineRule="auto"/>
                    <w:ind w:firstLine="0" w:firstLineChars="0"/>
                    <w:jc w:val="center"/>
                    <w:rPr>
                      <w:sz w:val="21"/>
                      <w:szCs w:val="21"/>
                    </w:rPr>
                  </w:pPr>
                  <w:r>
                    <w:rPr>
                      <w:rFonts w:hint="eastAsia"/>
                      <w:sz w:val="21"/>
                      <w:szCs w:val="21"/>
                    </w:rPr>
                    <w:t>S</w:t>
                  </w:r>
                </w:p>
              </w:tc>
              <w:tc>
                <w:tcPr>
                  <w:tcW w:w="678" w:type="pct"/>
                  <w:tcBorders>
                    <w:top w:val="single" w:color="auto" w:sz="4" w:space="0"/>
                    <w:left w:val="single" w:color="auto" w:sz="4" w:space="0"/>
                    <w:bottom w:val="single" w:color="auto" w:sz="12" w:space="0"/>
                    <w:right w:val="single" w:color="auto" w:sz="12" w:space="0"/>
                  </w:tcBorders>
                  <w:vAlign w:val="center"/>
                </w:tcPr>
                <w:p w14:paraId="1C1CD405">
                  <w:pPr>
                    <w:widowControl/>
                    <w:spacing w:line="240" w:lineRule="auto"/>
                    <w:ind w:firstLine="0" w:firstLineChars="0"/>
                    <w:jc w:val="center"/>
                    <w:rPr>
                      <w:sz w:val="21"/>
                      <w:szCs w:val="21"/>
                    </w:rPr>
                  </w:pPr>
                  <w:r>
                    <w:rPr>
                      <w:rFonts w:hint="eastAsia"/>
                      <w:sz w:val="21"/>
                      <w:szCs w:val="21"/>
                    </w:rPr>
                    <w:t>320</w:t>
                  </w:r>
                </w:p>
              </w:tc>
            </w:tr>
          </w:tbl>
          <w:p w14:paraId="5088616C">
            <w:pPr>
              <w:autoSpaceDE w:val="0"/>
              <w:autoSpaceDN w:val="0"/>
              <w:adjustRightInd w:val="0"/>
              <w:snapToGrid w:val="0"/>
              <w:ind w:firstLine="480"/>
              <w:outlineLvl w:val="1"/>
            </w:pPr>
            <w:r>
              <w:rPr>
                <w:rFonts w:hint="eastAsia"/>
              </w:rPr>
              <w:t>2、声环境：本项厂界外50米范围内无声环境保护目标。</w:t>
            </w:r>
          </w:p>
          <w:p w14:paraId="696DE075">
            <w:pPr>
              <w:adjustRightInd w:val="0"/>
              <w:snapToGrid w:val="0"/>
              <w:ind w:firstLine="480"/>
            </w:pPr>
            <w:r>
              <w:rPr>
                <w:rFonts w:hint="eastAsia"/>
              </w:rPr>
              <w:t>3、地下水环境：厂界外500m范围内无地下水集中式饮用水水源和热水、矿泉水、温泉等特殊地下水资源。</w:t>
            </w:r>
          </w:p>
          <w:p w14:paraId="243611DC">
            <w:pPr>
              <w:pStyle w:val="13"/>
              <w:ind w:left="0" w:leftChars="0" w:right="132" w:rightChars="55" w:firstLine="480"/>
            </w:pPr>
            <w:r>
              <w:rPr>
                <w:rFonts w:hint="eastAsia"/>
              </w:rPr>
              <w:t>4、生态环境：本项目在京唐智慧港园区内建设，不涉及生态保护目标。</w:t>
            </w:r>
          </w:p>
          <w:p w14:paraId="3DE8A0EB">
            <w:pPr>
              <w:ind w:firstLine="0" w:firstLineChars="0"/>
              <w:rPr>
                <w:sz w:val="21"/>
                <w:szCs w:val="21"/>
              </w:rPr>
            </w:pPr>
          </w:p>
        </w:tc>
      </w:tr>
      <w:tr w14:paraId="60A5D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0" w:type="dxa"/>
            <w:vAlign w:val="center"/>
          </w:tcPr>
          <w:p w14:paraId="37B75B6C">
            <w:pPr>
              <w:pStyle w:val="31"/>
            </w:pPr>
            <w:r>
              <w:rPr>
                <w:rFonts w:hint="eastAsia"/>
              </w:rPr>
              <w:t>污染</w:t>
            </w:r>
          </w:p>
          <w:p w14:paraId="51563C3B">
            <w:pPr>
              <w:pStyle w:val="31"/>
            </w:pPr>
            <w:r>
              <w:rPr>
                <w:rFonts w:hint="eastAsia"/>
              </w:rPr>
              <w:t>物排</w:t>
            </w:r>
          </w:p>
          <w:p w14:paraId="6716DF6C">
            <w:pPr>
              <w:pStyle w:val="31"/>
            </w:pPr>
            <w:r>
              <w:rPr>
                <w:rFonts w:hint="eastAsia"/>
              </w:rPr>
              <w:t>放控</w:t>
            </w:r>
          </w:p>
          <w:p w14:paraId="09162FD5">
            <w:pPr>
              <w:pStyle w:val="31"/>
            </w:pPr>
            <w:r>
              <w:rPr>
                <w:rFonts w:hint="eastAsia"/>
              </w:rPr>
              <w:t>制标</w:t>
            </w:r>
          </w:p>
          <w:p w14:paraId="1AB12893">
            <w:pPr>
              <w:pStyle w:val="31"/>
              <w:rPr>
                <w:color w:val="FF0000"/>
              </w:rPr>
            </w:pPr>
            <w:r>
              <w:rPr>
                <w:rFonts w:hint="eastAsia"/>
              </w:rPr>
              <w:t>准</w:t>
            </w:r>
          </w:p>
        </w:tc>
        <w:tc>
          <w:tcPr>
            <w:tcW w:w="8510" w:type="dxa"/>
            <w:vAlign w:val="center"/>
          </w:tcPr>
          <w:p w14:paraId="5DB1A249">
            <w:pPr>
              <w:numPr>
                <w:ilvl w:val="0"/>
                <w:numId w:val="13"/>
              </w:numPr>
              <w:spacing w:line="480" w:lineRule="atLeast"/>
              <w:ind w:firstLine="0" w:firstLineChars="0"/>
            </w:pPr>
            <w:r>
              <w:rPr>
                <w:rFonts w:hint="eastAsia"/>
              </w:rPr>
              <w:t>废气</w:t>
            </w:r>
          </w:p>
          <w:p w14:paraId="62375127">
            <w:pPr>
              <w:spacing w:line="480" w:lineRule="atLeast"/>
              <w:ind w:firstLine="480"/>
              <w:outlineLvl w:val="1"/>
            </w:pPr>
            <w:r>
              <w:rPr>
                <w:rFonts w:hint="eastAsia"/>
              </w:rPr>
              <w:t>1、施工期</w:t>
            </w:r>
          </w:p>
          <w:p w14:paraId="3F5020D4">
            <w:pPr>
              <w:spacing w:line="480" w:lineRule="atLeast"/>
              <w:ind w:firstLine="480"/>
              <w:outlineLvl w:val="1"/>
            </w:pPr>
            <w:r>
              <w:rPr>
                <w:rFonts w:hint="eastAsia"/>
              </w:rPr>
              <w:t>本项目施工期废气执行《施工场地扬尘排放标准》（DB13/2934-2019）扬尘标准要求：PM10监测点浓度限值为80ug/m</w:t>
            </w:r>
            <w:r>
              <w:rPr>
                <w:rFonts w:hint="eastAsia"/>
                <w:vertAlign w:val="superscript"/>
              </w:rPr>
              <w:t>3</w:t>
            </w:r>
            <w:r>
              <w:rPr>
                <w:rFonts w:hint="eastAsia"/>
              </w:rPr>
              <w:t>（小时平均浓度实测值与同时段所属县（市、区）PM10小时平均浓度的差值。当县（市、区）PM10小时平均浓度值大于150ug/m</w:t>
            </w:r>
            <w:r>
              <w:rPr>
                <w:rFonts w:hint="eastAsia"/>
                <w:vertAlign w:val="superscript"/>
              </w:rPr>
              <w:t>3</w:t>
            </w:r>
            <w:r>
              <w:rPr>
                <w:rFonts w:hint="eastAsia"/>
              </w:rPr>
              <w:t>时，以150ug/m</w:t>
            </w:r>
            <w:r>
              <w:rPr>
                <w:rFonts w:hint="eastAsia"/>
                <w:vertAlign w:val="superscript"/>
              </w:rPr>
              <w:t>3</w:t>
            </w:r>
            <w:r>
              <w:rPr>
                <w:rFonts w:hint="eastAsia"/>
              </w:rPr>
              <w:t>计）；本项目占地面积为13548.62m</w:t>
            </w:r>
            <w:r>
              <w:rPr>
                <w:rFonts w:hint="eastAsia"/>
                <w:vertAlign w:val="superscript"/>
              </w:rPr>
              <w:t>3</w:t>
            </w:r>
            <w:r>
              <w:rPr>
                <w:rFonts w:hint="eastAsia"/>
              </w:rPr>
              <w:t>，监测点数量≥4个。</w:t>
            </w:r>
          </w:p>
          <w:p w14:paraId="75430EAB">
            <w:pPr>
              <w:spacing w:line="480" w:lineRule="atLeast"/>
              <w:ind w:firstLine="480"/>
              <w:outlineLvl w:val="1"/>
            </w:pPr>
            <w:r>
              <w:rPr>
                <w:rFonts w:hint="eastAsia"/>
              </w:rPr>
              <w:t>2、运营期</w:t>
            </w:r>
          </w:p>
          <w:p w14:paraId="542B6D8E">
            <w:pPr>
              <w:spacing w:line="480" w:lineRule="atLeast"/>
              <w:ind w:firstLine="480"/>
            </w:pPr>
            <w:r>
              <w:rPr>
                <w:rFonts w:hint="eastAsia"/>
              </w:rPr>
              <w:t>有组织</w:t>
            </w:r>
          </w:p>
          <w:p w14:paraId="35BD7B7B">
            <w:pPr>
              <w:numPr>
                <w:ilvl w:val="0"/>
                <w:numId w:val="14"/>
              </w:numPr>
              <w:spacing w:line="480" w:lineRule="atLeast"/>
              <w:ind w:firstLine="480"/>
            </w:pPr>
            <w:r>
              <w:rPr>
                <w:rFonts w:hint="eastAsia"/>
              </w:rPr>
              <w:t>颗粒物有组织排放浓度执行《钢铁工业大气污染物超低排放标准》（DB13/2169-2018）表1颗粒物排放限值：10mg/m</w:t>
            </w:r>
            <w:r>
              <w:rPr>
                <w:rFonts w:hint="eastAsia"/>
                <w:vertAlign w:val="superscript"/>
              </w:rPr>
              <w:t>3</w:t>
            </w:r>
            <w:r>
              <w:rPr>
                <w:rFonts w:hint="eastAsia"/>
              </w:rPr>
              <w:t>。</w:t>
            </w:r>
          </w:p>
          <w:p w14:paraId="64C13821">
            <w:pPr>
              <w:pStyle w:val="11"/>
              <w:ind w:firstLine="480"/>
            </w:pPr>
            <w:r>
              <w:rPr>
                <w:rFonts w:hint="eastAsia"/>
              </w:rPr>
              <w:t>（2）油雾，执行油雾外排浓度</w:t>
            </w:r>
            <w:r>
              <w:t>《</w:t>
            </w:r>
            <w:r>
              <w:rPr>
                <w:rFonts w:hint="eastAsia"/>
              </w:rPr>
              <w:t>钢铁</w:t>
            </w:r>
            <w:r>
              <w:t>工业大气污染物超低排放标准》（DB</w:t>
            </w:r>
            <w:r>
              <w:rPr>
                <w:rFonts w:hint="eastAsia"/>
              </w:rPr>
              <w:t>1312169</w:t>
            </w:r>
            <w:r>
              <w:t>-201</w:t>
            </w:r>
            <w:r>
              <w:rPr>
                <w:rFonts w:hint="eastAsia"/>
              </w:rPr>
              <w:t>8</w:t>
            </w:r>
            <w:r>
              <w:t>）</w:t>
            </w:r>
            <w:r>
              <w:rPr>
                <w:rFonts w:hint="eastAsia"/>
              </w:rPr>
              <w:t>表4油雾排放限值：20mg/m</w:t>
            </w:r>
            <w:r>
              <w:rPr>
                <w:rFonts w:hint="eastAsia"/>
                <w:vertAlign w:val="superscript"/>
              </w:rPr>
              <w:t>3</w:t>
            </w:r>
          </w:p>
          <w:p w14:paraId="108B75DD">
            <w:pPr>
              <w:spacing w:line="480" w:lineRule="atLeast"/>
              <w:ind w:firstLine="480"/>
            </w:pPr>
            <w:r>
              <w:rPr>
                <w:rFonts w:hint="eastAsia"/>
              </w:rPr>
              <w:t>（3）非甲烷总烃排放标准执行《工业企业挥发性有机物排放控制标准》（DB13/2322-2016）表1中交通运输设备制造业（其他企业有机废气排放口）非甲烷总烃最高允许有组织排放浓度70mg/m</w:t>
            </w:r>
            <w:r>
              <w:rPr>
                <w:rFonts w:hint="eastAsia"/>
                <w:vertAlign w:val="superscript"/>
              </w:rPr>
              <w:t>3</w:t>
            </w:r>
            <w:r>
              <w:rPr>
                <w:rFonts w:hint="eastAsia"/>
              </w:rPr>
              <w:t>，</w:t>
            </w:r>
            <w:r>
              <w:rPr>
                <w:rFonts w:hint="eastAsia"/>
                <w:highlight w:val="none"/>
              </w:rPr>
              <w:t>最低去除率70%，排气</w:t>
            </w:r>
            <w:r>
              <w:rPr>
                <w:rFonts w:hint="eastAsia"/>
              </w:rPr>
              <w:t>筒高度不低于15m，且高于周边200m范围内最高建筑物5m的要求。</w:t>
            </w:r>
          </w:p>
          <w:p w14:paraId="2F5F4B7F">
            <w:pPr>
              <w:spacing w:line="480" w:lineRule="atLeast"/>
              <w:ind w:firstLine="480"/>
            </w:pPr>
            <w:r>
              <w:rPr>
                <w:rFonts w:hint="eastAsia"/>
              </w:rPr>
              <w:t>（4）食堂油烟排放标准执行《饮食业油烟排放标准》（GB18483-2001)(试行）表1、2中型规模：油烟：2.0mg/m</w:t>
            </w:r>
            <w:r>
              <w:rPr>
                <w:rFonts w:hint="eastAsia"/>
                <w:vertAlign w:val="superscript"/>
              </w:rPr>
              <w:t>3</w:t>
            </w:r>
            <w:r>
              <w:rPr>
                <w:rFonts w:hint="eastAsia"/>
              </w:rPr>
              <w:t>，净化设施最低去除效率75%的要求。同时满足《中共唐山市委办公室 唐山市人民政府办公室关于印发2019年“十项重点工作”工作方案的通知》（唐办发（2019)3号）中油烟排放浓度不超过1.0mg/m</w:t>
            </w:r>
            <w:r>
              <w:rPr>
                <w:rFonts w:hint="eastAsia"/>
                <w:vertAlign w:val="superscript"/>
              </w:rPr>
              <w:t>3</w:t>
            </w:r>
            <w:r>
              <w:rPr>
                <w:rFonts w:hint="eastAsia"/>
              </w:rPr>
              <w:t>的限值要求。</w:t>
            </w:r>
          </w:p>
          <w:p w14:paraId="3029082C">
            <w:pPr>
              <w:spacing w:line="480" w:lineRule="atLeast"/>
              <w:ind w:firstLine="480"/>
            </w:pPr>
            <w:r>
              <w:rPr>
                <w:rFonts w:hint="eastAsia"/>
              </w:rPr>
              <w:t>无组织</w:t>
            </w:r>
          </w:p>
          <w:p w14:paraId="4E33166E">
            <w:pPr>
              <w:spacing w:line="480" w:lineRule="atLeast"/>
              <w:ind w:firstLine="480"/>
              <w:rPr>
                <w:rFonts w:hint="default" w:eastAsia="宋体"/>
                <w:lang w:val="en-US" w:eastAsia="zh-CN"/>
              </w:rPr>
            </w:pPr>
            <w:r>
              <w:rPr>
                <w:rFonts w:hint="eastAsia"/>
              </w:rPr>
              <w:t>（1）颗粒物无组织排放浓度满足《大气污染物综合排放标准》（GB16297-1996）表2中颗粒物无组织排放浓度限值1.0mg/m</w:t>
            </w:r>
            <w:r>
              <w:rPr>
                <w:rFonts w:hint="eastAsia"/>
                <w:vertAlign w:val="superscript"/>
              </w:rPr>
              <w:t>3</w:t>
            </w:r>
            <w:r>
              <w:rPr>
                <w:rFonts w:hint="eastAsia"/>
              </w:rPr>
              <w:t>的要求，车间无组织满足《钢铁工业大气污染物超低排放标准》（DB13/2169-2018）表5企业大气污染物无组织排放浓度限值有厂房车间8mg/m</w:t>
            </w:r>
            <w:r>
              <w:rPr>
                <w:rFonts w:hint="eastAsia"/>
                <w:vertAlign w:val="superscript"/>
              </w:rPr>
              <w:t>3</w:t>
            </w:r>
            <w:r>
              <w:rPr>
                <w:rFonts w:hint="eastAsia"/>
              </w:rPr>
              <w:t>的要求。</w:t>
            </w:r>
          </w:p>
          <w:p w14:paraId="52520042">
            <w:pPr>
              <w:spacing w:line="480" w:lineRule="atLeast"/>
              <w:ind w:firstLine="480"/>
            </w:pPr>
            <w:r>
              <w:rPr>
                <w:rFonts w:hint="eastAsia"/>
              </w:rPr>
              <w:t>（2）非甲烷总烃无组织排放</w:t>
            </w:r>
            <w:r>
              <w:t>执行《工业企业挥发性有机物排放控制标准》（DB13/2322-2016）</w:t>
            </w:r>
            <w:r>
              <w:rPr>
                <w:rFonts w:hint="eastAsia"/>
              </w:rPr>
              <w:t>表</w:t>
            </w:r>
            <w:r>
              <w:t>2</w:t>
            </w:r>
            <w:r>
              <w:rPr>
                <w:rFonts w:hint="eastAsia"/>
              </w:rPr>
              <w:t>企业边界大气污染物浓度限值中其他企业：非甲烷总烃</w:t>
            </w:r>
            <w:r>
              <w:t>2.0mg/m</w:t>
            </w:r>
            <w:r>
              <w:rPr>
                <w:vertAlign w:val="superscript"/>
              </w:rPr>
              <w:t>3</w:t>
            </w:r>
            <w:r>
              <w:rPr>
                <w:rFonts w:hint="eastAsia"/>
              </w:rPr>
              <w:t>，车间界：非甲烷总烃4</w:t>
            </w:r>
            <w:r>
              <w:t>.0mg/m</w:t>
            </w:r>
            <w:r>
              <w:rPr>
                <w:rFonts w:hint="eastAsia"/>
                <w:vertAlign w:val="superscript"/>
              </w:rPr>
              <w:t>3</w:t>
            </w:r>
            <w:r>
              <w:rPr>
                <w:rFonts w:hint="eastAsia"/>
              </w:rPr>
              <w:t>的要求，同时满足《挥发性有机物无组织排放控制标准》（GB37822-2019）附录A表A.1厂区内VOC</w:t>
            </w:r>
            <w:r>
              <w:rPr>
                <w:rFonts w:hint="eastAsia"/>
                <w:vertAlign w:val="subscript"/>
              </w:rPr>
              <w:t>S</w:t>
            </w:r>
            <w:r>
              <w:rPr>
                <w:rFonts w:hint="eastAsia"/>
              </w:rPr>
              <w:t>无组织排放限值中厂房外监控点1h平均浓度限值：非甲烷总烃6mg</w:t>
            </w:r>
            <w:r>
              <w:t>/m</w:t>
            </w:r>
            <w:r>
              <w:rPr>
                <w:rFonts w:hint="eastAsia"/>
                <w:vertAlign w:val="superscript"/>
              </w:rPr>
              <w:t>3</w:t>
            </w:r>
            <w:r>
              <w:rPr>
                <w:rFonts w:hint="eastAsia"/>
              </w:rPr>
              <w:t>，任意一次浓度限值：非甲烷总烃20mg</w:t>
            </w:r>
            <w:r>
              <w:t>/m</w:t>
            </w:r>
            <w:r>
              <w:rPr>
                <w:rFonts w:hint="eastAsia"/>
                <w:vertAlign w:val="superscript"/>
              </w:rPr>
              <w:t>3</w:t>
            </w:r>
            <w:r>
              <w:rPr>
                <w:rFonts w:hint="eastAsia"/>
              </w:rPr>
              <w:t>的要求。</w:t>
            </w:r>
          </w:p>
          <w:p w14:paraId="2159DDAE">
            <w:pPr>
              <w:spacing w:line="480" w:lineRule="atLeast"/>
              <w:ind w:firstLine="0" w:firstLineChars="0"/>
            </w:pPr>
            <w:r>
              <w:rPr>
                <w:rFonts w:hint="eastAsia"/>
              </w:rPr>
              <w:t>二、废水</w:t>
            </w:r>
          </w:p>
          <w:p w14:paraId="78B85B75">
            <w:pPr>
              <w:pStyle w:val="13"/>
              <w:keepNext w:val="0"/>
              <w:keepLines w:val="0"/>
              <w:pageBreakBefore w:val="0"/>
              <w:widowControl w:val="0"/>
              <w:kinsoku/>
              <w:wordWrap/>
              <w:overflowPunct/>
              <w:topLinePunct w:val="0"/>
              <w:autoSpaceDE/>
              <w:autoSpaceDN/>
              <w:bidi w:val="0"/>
              <w:adjustRightInd/>
              <w:snapToGrid/>
              <w:spacing w:after="0" w:line="480" w:lineRule="atLeast"/>
              <w:ind w:left="0" w:leftChars="0" w:right="0" w:rightChars="0" w:firstLine="480"/>
              <w:textAlignment w:val="auto"/>
            </w:pPr>
            <w:r>
              <w:rPr>
                <w:rFonts w:hint="eastAsia"/>
              </w:rPr>
              <w:t>厂区污水总排放口废水排放执行《污水综合排放标准》（</w:t>
            </w:r>
            <w:r>
              <w:t>GB8978-1996</w:t>
            </w:r>
            <w:r>
              <w:rPr>
                <w:rFonts w:hint="eastAsia"/>
              </w:rPr>
              <w:t>）表4中</w:t>
            </w:r>
            <w:r>
              <w:rPr>
                <w:rFonts w:hint="eastAsia"/>
                <w:lang w:eastAsia="zh-CN"/>
              </w:rPr>
              <w:t>三级标</w:t>
            </w:r>
            <w:r>
              <w:rPr>
                <w:rFonts w:hint="eastAsia"/>
              </w:rPr>
              <w:t>准，氨氮执行《污水排入城镇下水道水质标准》（GB/T31962-2015）中A级标准。排水水质同时满足园区污水处理厂进水水质要求。</w:t>
            </w:r>
          </w:p>
          <w:p w14:paraId="3BB7812B">
            <w:pPr>
              <w:spacing w:line="360" w:lineRule="auto"/>
              <w:ind w:firstLine="480"/>
              <w:jc w:val="center"/>
              <w:rPr>
                <w:b/>
                <w:bCs/>
                <w:sz w:val="21"/>
                <w:szCs w:val="21"/>
              </w:rPr>
            </w:pPr>
            <w:r>
              <w:rPr>
                <w:rFonts w:hint="eastAsia"/>
                <w:b/>
                <w:bCs/>
                <w:sz w:val="21"/>
                <w:szCs w:val="21"/>
              </w:rPr>
              <w:t>表3-6  废水排放标准</w:t>
            </w:r>
          </w:p>
          <w:tbl>
            <w:tblPr>
              <w:tblStyle w:val="23"/>
              <w:tblW w:w="829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195"/>
              <w:gridCol w:w="3889"/>
            </w:tblGrid>
            <w:tr w14:paraId="32570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666B89A1">
                  <w:pPr>
                    <w:widowControl/>
                    <w:spacing w:line="240" w:lineRule="auto"/>
                    <w:ind w:firstLine="0" w:firstLineChars="0"/>
                    <w:jc w:val="center"/>
                    <w:rPr>
                      <w:sz w:val="21"/>
                      <w:szCs w:val="21"/>
                    </w:rPr>
                  </w:pPr>
                  <w:r>
                    <w:rPr>
                      <w:rFonts w:hint="eastAsia"/>
                      <w:sz w:val="21"/>
                      <w:szCs w:val="21"/>
                    </w:rPr>
                    <w:t>污染物项目</w:t>
                  </w:r>
                </w:p>
              </w:tc>
              <w:tc>
                <w:tcPr>
                  <w:tcW w:w="2195" w:type="dxa"/>
                  <w:tcBorders>
                    <w:tl2br w:val="nil"/>
                    <w:tr2bl w:val="nil"/>
                  </w:tcBorders>
                  <w:vAlign w:val="center"/>
                </w:tcPr>
                <w:p w14:paraId="0FF1C91C">
                  <w:pPr>
                    <w:widowControl/>
                    <w:spacing w:line="240" w:lineRule="auto"/>
                    <w:ind w:firstLine="0" w:firstLineChars="0"/>
                    <w:jc w:val="center"/>
                    <w:rPr>
                      <w:sz w:val="21"/>
                      <w:szCs w:val="21"/>
                    </w:rPr>
                  </w:pPr>
                  <w:r>
                    <w:rPr>
                      <w:rFonts w:hint="eastAsia"/>
                      <w:sz w:val="21"/>
                      <w:szCs w:val="21"/>
                    </w:rPr>
                    <w:t>执行标准（mg/L）</w:t>
                  </w:r>
                </w:p>
              </w:tc>
              <w:tc>
                <w:tcPr>
                  <w:tcW w:w="3889" w:type="dxa"/>
                  <w:tcBorders>
                    <w:tl2br w:val="nil"/>
                    <w:tr2bl w:val="nil"/>
                  </w:tcBorders>
                  <w:vAlign w:val="center"/>
                </w:tcPr>
                <w:p w14:paraId="094DC078">
                  <w:pPr>
                    <w:widowControl/>
                    <w:spacing w:line="240" w:lineRule="auto"/>
                    <w:ind w:firstLine="0" w:firstLineChars="0"/>
                    <w:jc w:val="center"/>
                    <w:rPr>
                      <w:sz w:val="21"/>
                      <w:szCs w:val="21"/>
                    </w:rPr>
                  </w:pPr>
                  <w:r>
                    <w:rPr>
                      <w:rFonts w:hint="eastAsia"/>
                      <w:sz w:val="21"/>
                      <w:szCs w:val="21"/>
                    </w:rPr>
                    <w:t>标准来源</w:t>
                  </w:r>
                </w:p>
              </w:tc>
            </w:tr>
            <w:tr w14:paraId="610DA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1234ECF4">
                  <w:pPr>
                    <w:widowControl/>
                    <w:spacing w:line="240" w:lineRule="auto"/>
                    <w:ind w:firstLine="0" w:firstLineChars="0"/>
                    <w:jc w:val="center"/>
                    <w:rPr>
                      <w:sz w:val="21"/>
                      <w:szCs w:val="21"/>
                    </w:rPr>
                  </w:pPr>
                  <w:r>
                    <w:rPr>
                      <w:rFonts w:hint="eastAsia"/>
                      <w:sz w:val="21"/>
                      <w:szCs w:val="21"/>
                    </w:rPr>
                    <w:t>pH</w:t>
                  </w:r>
                </w:p>
              </w:tc>
              <w:tc>
                <w:tcPr>
                  <w:tcW w:w="2195" w:type="dxa"/>
                  <w:tcBorders>
                    <w:tl2br w:val="nil"/>
                    <w:tr2bl w:val="nil"/>
                  </w:tcBorders>
                  <w:vAlign w:val="center"/>
                </w:tcPr>
                <w:p w14:paraId="1E9B297C">
                  <w:pPr>
                    <w:widowControl/>
                    <w:spacing w:line="240" w:lineRule="auto"/>
                    <w:ind w:firstLine="0" w:firstLineChars="0"/>
                    <w:jc w:val="center"/>
                    <w:rPr>
                      <w:sz w:val="21"/>
                      <w:szCs w:val="21"/>
                    </w:rPr>
                  </w:pPr>
                  <w:r>
                    <w:rPr>
                      <w:rFonts w:hint="eastAsia"/>
                      <w:sz w:val="21"/>
                      <w:szCs w:val="21"/>
                    </w:rPr>
                    <w:t>6-9</w:t>
                  </w:r>
                </w:p>
              </w:tc>
              <w:tc>
                <w:tcPr>
                  <w:tcW w:w="3889" w:type="dxa"/>
                  <w:vMerge w:val="restart"/>
                  <w:tcBorders>
                    <w:tl2br w:val="nil"/>
                    <w:tr2bl w:val="nil"/>
                  </w:tcBorders>
                  <w:vAlign w:val="center"/>
                </w:tcPr>
                <w:p w14:paraId="00BC76E5">
                  <w:pPr>
                    <w:widowControl/>
                    <w:spacing w:line="240" w:lineRule="auto"/>
                    <w:ind w:firstLine="0" w:firstLineChars="0"/>
                    <w:jc w:val="center"/>
                    <w:rPr>
                      <w:sz w:val="21"/>
                      <w:szCs w:val="21"/>
                    </w:rPr>
                  </w:pPr>
                  <w:r>
                    <w:rPr>
                      <w:rFonts w:hint="eastAsia"/>
                      <w:sz w:val="21"/>
                      <w:szCs w:val="21"/>
                    </w:rPr>
                    <w:t>满足《污水综合排放标准》（</w:t>
                  </w:r>
                  <w:r>
                    <w:rPr>
                      <w:sz w:val="21"/>
                      <w:szCs w:val="21"/>
                    </w:rPr>
                    <w:t>GB8978-1996</w:t>
                  </w:r>
                  <w:r>
                    <w:rPr>
                      <w:rFonts w:hint="eastAsia"/>
                      <w:sz w:val="21"/>
                      <w:szCs w:val="21"/>
                    </w:rPr>
                    <w:t>）表4中三级标准</w:t>
                  </w:r>
                </w:p>
              </w:tc>
            </w:tr>
            <w:tr w14:paraId="1E72B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0454B38B">
                  <w:pPr>
                    <w:widowControl/>
                    <w:spacing w:line="240" w:lineRule="auto"/>
                    <w:ind w:firstLine="0" w:firstLineChars="0"/>
                    <w:jc w:val="center"/>
                    <w:rPr>
                      <w:sz w:val="21"/>
                      <w:szCs w:val="21"/>
                    </w:rPr>
                  </w:pPr>
                  <w:r>
                    <w:rPr>
                      <w:rFonts w:hint="eastAsia"/>
                      <w:sz w:val="21"/>
                      <w:szCs w:val="21"/>
                    </w:rPr>
                    <w:t>COD</w:t>
                  </w:r>
                </w:p>
              </w:tc>
              <w:tc>
                <w:tcPr>
                  <w:tcW w:w="2195" w:type="dxa"/>
                  <w:tcBorders>
                    <w:tl2br w:val="nil"/>
                    <w:tr2bl w:val="nil"/>
                  </w:tcBorders>
                  <w:vAlign w:val="center"/>
                </w:tcPr>
                <w:p w14:paraId="6F07E50C">
                  <w:pPr>
                    <w:widowControl/>
                    <w:spacing w:line="240" w:lineRule="auto"/>
                    <w:ind w:firstLine="0" w:firstLineChars="0"/>
                    <w:jc w:val="center"/>
                    <w:rPr>
                      <w:sz w:val="21"/>
                      <w:szCs w:val="21"/>
                    </w:rPr>
                  </w:pPr>
                  <w:r>
                    <w:rPr>
                      <w:rFonts w:hint="eastAsia"/>
                      <w:sz w:val="21"/>
                      <w:szCs w:val="21"/>
                    </w:rPr>
                    <w:t>500</w:t>
                  </w:r>
                </w:p>
              </w:tc>
              <w:tc>
                <w:tcPr>
                  <w:tcW w:w="3889" w:type="dxa"/>
                  <w:vMerge w:val="continue"/>
                  <w:tcBorders>
                    <w:tl2br w:val="nil"/>
                    <w:tr2bl w:val="nil"/>
                  </w:tcBorders>
                  <w:vAlign w:val="center"/>
                </w:tcPr>
                <w:p w14:paraId="5F1A7200">
                  <w:pPr>
                    <w:widowControl/>
                    <w:spacing w:line="240" w:lineRule="auto"/>
                    <w:ind w:firstLine="0" w:firstLineChars="0"/>
                    <w:jc w:val="center"/>
                    <w:rPr>
                      <w:sz w:val="21"/>
                      <w:szCs w:val="21"/>
                    </w:rPr>
                  </w:pPr>
                </w:p>
              </w:tc>
            </w:tr>
            <w:tr w14:paraId="6A886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2DFA60F7">
                  <w:pPr>
                    <w:widowControl/>
                    <w:spacing w:line="240" w:lineRule="auto"/>
                    <w:ind w:firstLine="0" w:firstLineChars="0"/>
                    <w:jc w:val="center"/>
                    <w:rPr>
                      <w:sz w:val="21"/>
                      <w:szCs w:val="21"/>
                    </w:rPr>
                  </w:pPr>
                  <w:r>
                    <w:rPr>
                      <w:rFonts w:hint="eastAsia"/>
                      <w:sz w:val="21"/>
                      <w:szCs w:val="21"/>
                    </w:rPr>
                    <w:t>SS</w:t>
                  </w:r>
                </w:p>
              </w:tc>
              <w:tc>
                <w:tcPr>
                  <w:tcW w:w="2195" w:type="dxa"/>
                  <w:tcBorders>
                    <w:tl2br w:val="nil"/>
                    <w:tr2bl w:val="nil"/>
                  </w:tcBorders>
                  <w:vAlign w:val="center"/>
                </w:tcPr>
                <w:p w14:paraId="30D83576">
                  <w:pPr>
                    <w:widowControl/>
                    <w:spacing w:line="240" w:lineRule="auto"/>
                    <w:ind w:firstLine="0" w:firstLineChars="0"/>
                    <w:jc w:val="center"/>
                    <w:rPr>
                      <w:sz w:val="21"/>
                      <w:szCs w:val="21"/>
                    </w:rPr>
                  </w:pPr>
                  <w:r>
                    <w:rPr>
                      <w:rFonts w:hint="eastAsia"/>
                      <w:sz w:val="21"/>
                      <w:szCs w:val="21"/>
                    </w:rPr>
                    <w:t>400</w:t>
                  </w:r>
                </w:p>
              </w:tc>
              <w:tc>
                <w:tcPr>
                  <w:tcW w:w="3889" w:type="dxa"/>
                  <w:vMerge w:val="continue"/>
                  <w:tcBorders>
                    <w:tl2br w:val="nil"/>
                    <w:tr2bl w:val="nil"/>
                  </w:tcBorders>
                  <w:vAlign w:val="center"/>
                </w:tcPr>
                <w:p w14:paraId="232A2944">
                  <w:pPr>
                    <w:widowControl/>
                    <w:spacing w:line="240" w:lineRule="auto"/>
                    <w:ind w:firstLine="0" w:firstLineChars="0"/>
                    <w:jc w:val="center"/>
                    <w:rPr>
                      <w:sz w:val="21"/>
                      <w:szCs w:val="21"/>
                    </w:rPr>
                  </w:pPr>
                </w:p>
              </w:tc>
            </w:tr>
            <w:tr w14:paraId="453A2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7BA706EE">
                  <w:pPr>
                    <w:widowControl/>
                    <w:spacing w:line="240" w:lineRule="auto"/>
                    <w:ind w:firstLine="0" w:firstLineChars="0"/>
                    <w:jc w:val="center"/>
                    <w:rPr>
                      <w:sz w:val="21"/>
                      <w:szCs w:val="21"/>
                    </w:rPr>
                  </w:pPr>
                  <w:r>
                    <w:rPr>
                      <w:rFonts w:hint="eastAsia"/>
                      <w:sz w:val="21"/>
                      <w:szCs w:val="21"/>
                    </w:rPr>
                    <w:t>BOD5</w:t>
                  </w:r>
                </w:p>
              </w:tc>
              <w:tc>
                <w:tcPr>
                  <w:tcW w:w="2195" w:type="dxa"/>
                  <w:tcBorders>
                    <w:tl2br w:val="nil"/>
                    <w:tr2bl w:val="nil"/>
                  </w:tcBorders>
                  <w:vAlign w:val="center"/>
                </w:tcPr>
                <w:p w14:paraId="24F87A94">
                  <w:pPr>
                    <w:widowControl/>
                    <w:spacing w:line="240" w:lineRule="auto"/>
                    <w:ind w:firstLine="0" w:firstLineChars="0"/>
                    <w:jc w:val="center"/>
                    <w:rPr>
                      <w:sz w:val="21"/>
                      <w:szCs w:val="21"/>
                    </w:rPr>
                  </w:pPr>
                  <w:r>
                    <w:rPr>
                      <w:rFonts w:hint="eastAsia"/>
                      <w:sz w:val="21"/>
                      <w:szCs w:val="21"/>
                    </w:rPr>
                    <w:t>300</w:t>
                  </w:r>
                </w:p>
              </w:tc>
              <w:tc>
                <w:tcPr>
                  <w:tcW w:w="3889" w:type="dxa"/>
                  <w:vMerge w:val="continue"/>
                  <w:tcBorders>
                    <w:tl2br w:val="nil"/>
                    <w:tr2bl w:val="nil"/>
                  </w:tcBorders>
                  <w:vAlign w:val="center"/>
                </w:tcPr>
                <w:p w14:paraId="69584E99">
                  <w:pPr>
                    <w:widowControl/>
                    <w:spacing w:line="240" w:lineRule="auto"/>
                    <w:ind w:firstLine="0" w:firstLineChars="0"/>
                    <w:jc w:val="center"/>
                    <w:rPr>
                      <w:sz w:val="21"/>
                      <w:szCs w:val="21"/>
                    </w:rPr>
                  </w:pPr>
                </w:p>
              </w:tc>
            </w:tr>
            <w:tr w14:paraId="29333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4637B381">
                  <w:pPr>
                    <w:widowControl/>
                    <w:spacing w:line="240" w:lineRule="auto"/>
                    <w:ind w:firstLine="0" w:firstLineChars="0"/>
                    <w:jc w:val="center"/>
                    <w:rPr>
                      <w:sz w:val="21"/>
                      <w:szCs w:val="21"/>
                    </w:rPr>
                  </w:pPr>
                  <w:r>
                    <w:rPr>
                      <w:rFonts w:hint="eastAsia"/>
                      <w:sz w:val="21"/>
                      <w:szCs w:val="21"/>
                    </w:rPr>
                    <w:t>动植物油</w:t>
                  </w:r>
                </w:p>
              </w:tc>
              <w:tc>
                <w:tcPr>
                  <w:tcW w:w="2195" w:type="dxa"/>
                  <w:tcBorders>
                    <w:tl2br w:val="nil"/>
                    <w:tr2bl w:val="nil"/>
                  </w:tcBorders>
                  <w:vAlign w:val="center"/>
                </w:tcPr>
                <w:p w14:paraId="063E7B89">
                  <w:pPr>
                    <w:widowControl/>
                    <w:spacing w:line="240" w:lineRule="auto"/>
                    <w:ind w:firstLine="0" w:firstLineChars="0"/>
                    <w:jc w:val="center"/>
                    <w:rPr>
                      <w:sz w:val="21"/>
                      <w:szCs w:val="21"/>
                    </w:rPr>
                  </w:pPr>
                  <w:r>
                    <w:rPr>
                      <w:rFonts w:hint="eastAsia"/>
                      <w:sz w:val="21"/>
                      <w:szCs w:val="21"/>
                    </w:rPr>
                    <w:t>100</w:t>
                  </w:r>
                </w:p>
              </w:tc>
              <w:tc>
                <w:tcPr>
                  <w:tcW w:w="3889" w:type="dxa"/>
                  <w:vMerge w:val="continue"/>
                  <w:tcBorders>
                    <w:tl2br w:val="nil"/>
                    <w:tr2bl w:val="nil"/>
                  </w:tcBorders>
                  <w:vAlign w:val="center"/>
                </w:tcPr>
                <w:p w14:paraId="74A21657">
                  <w:pPr>
                    <w:widowControl/>
                    <w:spacing w:line="240" w:lineRule="auto"/>
                    <w:ind w:firstLine="0" w:firstLineChars="0"/>
                    <w:jc w:val="center"/>
                    <w:rPr>
                      <w:sz w:val="21"/>
                      <w:szCs w:val="21"/>
                    </w:rPr>
                  </w:pPr>
                </w:p>
              </w:tc>
            </w:tr>
            <w:tr w14:paraId="634ED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3BF1C73E">
                  <w:pPr>
                    <w:widowControl/>
                    <w:spacing w:line="240" w:lineRule="auto"/>
                    <w:ind w:firstLine="0" w:firstLineChars="0"/>
                    <w:jc w:val="center"/>
                    <w:rPr>
                      <w:rFonts w:hint="eastAsia" w:eastAsia="宋体"/>
                      <w:sz w:val="21"/>
                      <w:szCs w:val="21"/>
                      <w:lang w:val="en-US" w:eastAsia="zh-CN"/>
                    </w:rPr>
                  </w:pPr>
                  <w:r>
                    <w:rPr>
                      <w:rFonts w:hint="eastAsia"/>
                      <w:sz w:val="21"/>
                      <w:szCs w:val="21"/>
                      <w:lang w:val="en-US" w:eastAsia="zh-CN"/>
                    </w:rPr>
                    <w:t>石油类</w:t>
                  </w:r>
                </w:p>
              </w:tc>
              <w:tc>
                <w:tcPr>
                  <w:tcW w:w="2195" w:type="dxa"/>
                  <w:tcBorders>
                    <w:tl2br w:val="nil"/>
                    <w:tr2bl w:val="nil"/>
                  </w:tcBorders>
                  <w:vAlign w:val="center"/>
                </w:tcPr>
                <w:p w14:paraId="1DCDCB0D">
                  <w:pPr>
                    <w:widowControl/>
                    <w:spacing w:line="240" w:lineRule="auto"/>
                    <w:ind w:firstLine="0" w:firstLineChars="0"/>
                    <w:jc w:val="center"/>
                    <w:rPr>
                      <w:rFonts w:hint="default" w:eastAsia="宋体"/>
                      <w:sz w:val="21"/>
                      <w:szCs w:val="21"/>
                      <w:lang w:val="en-US" w:eastAsia="zh-CN"/>
                    </w:rPr>
                  </w:pPr>
                  <w:r>
                    <w:rPr>
                      <w:rFonts w:hint="eastAsia"/>
                      <w:sz w:val="21"/>
                      <w:szCs w:val="21"/>
                      <w:lang w:val="en-US" w:eastAsia="zh-CN"/>
                    </w:rPr>
                    <w:t>30</w:t>
                  </w:r>
                </w:p>
              </w:tc>
              <w:tc>
                <w:tcPr>
                  <w:tcW w:w="3889" w:type="dxa"/>
                  <w:vMerge w:val="continue"/>
                  <w:tcBorders>
                    <w:tl2br w:val="nil"/>
                    <w:tr2bl w:val="nil"/>
                  </w:tcBorders>
                  <w:vAlign w:val="center"/>
                </w:tcPr>
                <w:p w14:paraId="4382F615">
                  <w:pPr>
                    <w:widowControl/>
                    <w:spacing w:line="240" w:lineRule="auto"/>
                    <w:ind w:firstLine="0" w:firstLineChars="0"/>
                    <w:jc w:val="center"/>
                    <w:rPr>
                      <w:sz w:val="21"/>
                      <w:szCs w:val="21"/>
                    </w:rPr>
                  </w:pPr>
                </w:p>
              </w:tc>
            </w:tr>
            <w:tr w14:paraId="0E06D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368E46EC">
                  <w:pPr>
                    <w:widowControl/>
                    <w:spacing w:line="240" w:lineRule="auto"/>
                    <w:ind w:firstLine="0" w:firstLineChars="0"/>
                    <w:jc w:val="center"/>
                    <w:rPr>
                      <w:rFonts w:hint="default"/>
                      <w:sz w:val="21"/>
                      <w:szCs w:val="21"/>
                      <w:highlight w:val="none"/>
                      <w:lang w:val="en-US" w:eastAsia="zh-CN"/>
                    </w:rPr>
                  </w:pPr>
                  <w:r>
                    <w:rPr>
                      <w:rFonts w:hint="eastAsia"/>
                      <w:sz w:val="21"/>
                      <w:szCs w:val="21"/>
                      <w:highlight w:val="none"/>
                      <w:lang w:val="en-US" w:eastAsia="zh-CN"/>
                    </w:rPr>
                    <w:t>阴离子表面活性剂</w:t>
                  </w:r>
                </w:p>
              </w:tc>
              <w:tc>
                <w:tcPr>
                  <w:tcW w:w="2195" w:type="dxa"/>
                  <w:tcBorders>
                    <w:tl2br w:val="nil"/>
                    <w:tr2bl w:val="nil"/>
                  </w:tcBorders>
                  <w:vAlign w:val="center"/>
                </w:tcPr>
                <w:p w14:paraId="1A735467">
                  <w:pPr>
                    <w:widowControl/>
                    <w:spacing w:line="240" w:lineRule="auto"/>
                    <w:ind w:firstLine="0" w:firstLineChars="0"/>
                    <w:jc w:val="center"/>
                    <w:rPr>
                      <w:rFonts w:hint="default"/>
                      <w:sz w:val="21"/>
                      <w:szCs w:val="21"/>
                      <w:highlight w:val="none"/>
                      <w:lang w:val="en-US" w:eastAsia="zh-CN"/>
                    </w:rPr>
                  </w:pPr>
                  <w:r>
                    <w:rPr>
                      <w:rFonts w:hint="eastAsia"/>
                      <w:sz w:val="21"/>
                      <w:szCs w:val="21"/>
                      <w:highlight w:val="none"/>
                      <w:lang w:val="en-US" w:eastAsia="zh-CN"/>
                    </w:rPr>
                    <w:t>20</w:t>
                  </w:r>
                </w:p>
              </w:tc>
              <w:tc>
                <w:tcPr>
                  <w:tcW w:w="3889" w:type="dxa"/>
                  <w:vMerge w:val="continue"/>
                  <w:tcBorders>
                    <w:tl2br w:val="nil"/>
                    <w:tr2bl w:val="nil"/>
                  </w:tcBorders>
                  <w:vAlign w:val="center"/>
                </w:tcPr>
                <w:p w14:paraId="4DB3E3A7">
                  <w:pPr>
                    <w:widowControl/>
                    <w:spacing w:line="240" w:lineRule="auto"/>
                    <w:ind w:firstLine="0" w:firstLineChars="0"/>
                    <w:jc w:val="center"/>
                    <w:rPr>
                      <w:sz w:val="21"/>
                      <w:szCs w:val="21"/>
                    </w:rPr>
                  </w:pPr>
                </w:p>
              </w:tc>
            </w:tr>
            <w:tr w14:paraId="3BBF7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14C35B94">
                  <w:pPr>
                    <w:widowControl/>
                    <w:spacing w:line="240" w:lineRule="auto"/>
                    <w:ind w:firstLine="0" w:firstLineChars="0"/>
                    <w:jc w:val="center"/>
                    <w:rPr>
                      <w:sz w:val="21"/>
                      <w:szCs w:val="21"/>
                      <w:highlight w:val="none"/>
                    </w:rPr>
                  </w:pPr>
                  <w:r>
                    <w:rPr>
                      <w:rFonts w:hint="eastAsia"/>
                      <w:sz w:val="21"/>
                      <w:szCs w:val="21"/>
                      <w:highlight w:val="none"/>
                    </w:rPr>
                    <w:t>氨氮</w:t>
                  </w:r>
                </w:p>
              </w:tc>
              <w:tc>
                <w:tcPr>
                  <w:tcW w:w="2195" w:type="dxa"/>
                  <w:tcBorders>
                    <w:tl2br w:val="nil"/>
                    <w:tr2bl w:val="nil"/>
                  </w:tcBorders>
                  <w:vAlign w:val="center"/>
                </w:tcPr>
                <w:p w14:paraId="2D5503B7">
                  <w:pPr>
                    <w:widowControl/>
                    <w:spacing w:line="240" w:lineRule="auto"/>
                    <w:ind w:firstLine="0" w:firstLineChars="0"/>
                    <w:jc w:val="center"/>
                    <w:rPr>
                      <w:sz w:val="21"/>
                      <w:szCs w:val="21"/>
                      <w:highlight w:val="none"/>
                    </w:rPr>
                  </w:pPr>
                  <w:r>
                    <w:rPr>
                      <w:rFonts w:hint="eastAsia"/>
                      <w:sz w:val="21"/>
                      <w:szCs w:val="21"/>
                      <w:highlight w:val="none"/>
                    </w:rPr>
                    <w:t>45</w:t>
                  </w:r>
                </w:p>
              </w:tc>
              <w:tc>
                <w:tcPr>
                  <w:tcW w:w="3889" w:type="dxa"/>
                  <w:tcBorders>
                    <w:tl2br w:val="nil"/>
                    <w:tr2bl w:val="nil"/>
                  </w:tcBorders>
                  <w:vAlign w:val="center"/>
                </w:tcPr>
                <w:p w14:paraId="07921C20">
                  <w:pPr>
                    <w:widowControl/>
                    <w:spacing w:line="240" w:lineRule="auto"/>
                    <w:ind w:firstLine="0" w:firstLineChars="0"/>
                    <w:jc w:val="center"/>
                    <w:rPr>
                      <w:sz w:val="21"/>
                      <w:szCs w:val="21"/>
                    </w:rPr>
                  </w:pPr>
                  <w:r>
                    <w:rPr>
                      <w:rFonts w:hint="eastAsia"/>
                      <w:sz w:val="21"/>
                      <w:szCs w:val="21"/>
                    </w:rPr>
                    <w:t>《污水排入城镇下水道水质标准》（GB/T31962-2015）中A级标准</w:t>
                  </w:r>
                </w:p>
              </w:tc>
            </w:tr>
            <w:tr w14:paraId="37309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vAlign w:val="center"/>
                </w:tcPr>
                <w:p w14:paraId="4FAB9D15">
                  <w:pPr>
                    <w:widowControl/>
                    <w:spacing w:line="240" w:lineRule="auto"/>
                    <w:ind w:firstLine="0" w:firstLineChars="0"/>
                    <w:jc w:val="center"/>
                    <w:rPr>
                      <w:sz w:val="21"/>
                      <w:szCs w:val="21"/>
                    </w:rPr>
                  </w:pPr>
                  <w:r>
                    <w:rPr>
                      <w:rFonts w:hint="eastAsia"/>
                      <w:sz w:val="21"/>
                      <w:szCs w:val="21"/>
                    </w:rPr>
                    <w:t>pH</w:t>
                  </w:r>
                </w:p>
              </w:tc>
              <w:tc>
                <w:tcPr>
                  <w:tcW w:w="2195" w:type="dxa"/>
                  <w:tcBorders>
                    <w:tl2br w:val="nil"/>
                    <w:tr2bl w:val="nil"/>
                  </w:tcBorders>
                  <w:vAlign w:val="center"/>
                </w:tcPr>
                <w:p w14:paraId="63FD03DA">
                  <w:pPr>
                    <w:widowControl/>
                    <w:spacing w:line="240" w:lineRule="auto"/>
                    <w:ind w:firstLine="0" w:firstLineChars="0"/>
                    <w:jc w:val="center"/>
                    <w:rPr>
                      <w:sz w:val="21"/>
                      <w:szCs w:val="21"/>
                    </w:rPr>
                  </w:pPr>
                  <w:r>
                    <w:rPr>
                      <w:rFonts w:hint="eastAsia"/>
                      <w:sz w:val="21"/>
                      <w:szCs w:val="21"/>
                    </w:rPr>
                    <w:t>6.5-8.5</w:t>
                  </w:r>
                </w:p>
              </w:tc>
              <w:tc>
                <w:tcPr>
                  <w:tcW w:w="3889" w:type="dxa"/>
                  <w:vMerge w:val="restart"/>
                  <w:tcBorders>
                    <w:tl2br w:val="nil"/>
                    <w:tr2bl w:val="nil"/>
                  </w:tcBorders>
                  <w:vAlign w:val="center"/>
                </w:tcPr>
                <w:p w14:paraId="69A716DD">
                  <w:pPr>
                    <w:widowControl/>
                    <w:spacing w:line="240" w:lineRule="auto"/>
                    <w:ind w:firstLine="0" w:firstLineChars="0"/>
                    <w:jc w:val="center"/>
                    <w:rPr>
                      <w:sz w:val="21"/>
                      <w:szCs w:val="21"/>
                    </w:rPr>
                  </w:pPr>
                  <w:r>
                    <w:rPr>
                      <w:rFonts w:hint="eastAsia"/>
                      <w:sz w:val="21"/>
                      <w:szCs w:val="21"/>
                    </w:rPr>
                    <w:t>园区污水处理厂进水水质要求</w:t>
                  </w:r>
                </w:p>
              </w:tc>
            </w:tr>
            <w:tr w14:paraId="1808C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tcPr>
                <w:p w14:paraId="6C1DABDF">
                  <w:pPr>
                    <w:widowControl/>
                    <w:spacing w:line="240" w:lineRule="auto"/>
                    <w:ind w:firstLine="0" w:firstLineChars="0"/>
                    <w:jc w:val="center"/>
                    <w:rPr>
                      <w:sz w:val="21"/>
                      <w:szCs w:val="21"/>
                    </w:rPr>
                  </w:pPr>
                  <w:r>
                    <w:rPr>
                      <w:rFonts w:hint="eastAsia"/>
                      <w:sz w:val="21"/>
                      <w:szCs w:val="21"/>
                    </w:rPr>
                    <w:t>COD</w:t>
                  </w:r>
                </w:p>
              </w:tc>
              <w:tc>
                <w:tcPr>
                  <w:tcW w:w="2195" w:type="dxa"/>
                  <w:tcBorders>
                    <w:tl2br w:val="nil"/>
                    <w:tr2bl w:val="nil"/>
                  </w:tcBorders>
                </w:tcPr>
                <w:p w14:paraId="3B07980F">
                  <w:pPr>
                    <w:widowControl/>
                    <w:spacing w:line="240" w:lineRule="auto"/>
                    <w:ind w:firstLine="0" w:firstLineChars="0"/>
                    <w:jc w:val="center"/>
                    <w:rPr>
                      <w:sz w:val="21"/>
                      <w:szCs w:val="21"/>
                    </w:rPr>
                  </w:pPr>
                  <w:r>
                    <w:rPr>
                      <w:rFonts w:hint="eastAsia"/>
                      <w:sz w:val="21"/>
                      <w:szCs w:val="21"/>
                    </w:rPr>
                    <w:t>350</w:t>
                  </w:r>
                </w:p>
              </w:tc>
              <w:tc>
                <w:tcPr>
                  <w:tcW w:w="3889" w:type="dxa"/>
                  <w:vMerge w:val="continue"/>
                  <w:tcBorders>
                    <w:tl2br w:val="nil"/>
                    <w:tr2bl w:val="nil"/>
                  </w:tcBorders>
                </w:tcPr>
                <w:p w14:paraId="1E53A93B">
                  <w:pPr>
                    <w:widowControl/>
                    <w:spacing w:line="240" w:lineRule="auto"/>
                    <w:ind w:firstLine="0" w:firstLineChars="0"/>
                    <w:jc w:val="center"/>
                  </w:pPr>
                </w:p>
              </w:tc>
            </w:tr>
            <w:tr w14:paraId="198D2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tcPr>
                <w:p w14:paraId="3A83674E">
                  <w:pPr>
                    <w:widowControl/>
                    <w:spacing w:line="240" w:lineRule="auto"/>
                    <w:ind w:firstLine="0" w:firstLineChars="0"/>
                    <w:jc w:val="center"/>
                    <w:rPr>
                      <w:sz w:val="21"/>
                      <w:szCs w:val="21"/>
                    </w:rPr>
                  </w:pPr>
                  <w:r>
                    <w:rPr>
                      <w:rFonts w:hint="eastAsia"/>
                      <w:sz w:val="21"/>
                      <w:szCs w:val="21"/>
                    </w:rPr>
                    <w:t>SS</w:t>
                  </w:r>
                </w:p>
              </w:tc>
              <w:tc>
                <w:tcPr>
                  <w:tcW w:w="2195" w:type="dxa"/>
                  <w:tcBorders>
                    <w:tl2br w:val="nil"/>
                    <w:tr2bl w:val="nil"/>
                  </w:tcBorders>
                </w:tcPr>
                <w:p w14:paraId="12945E36">
                  <w:pPr>
                    <w:widowControl/>
                    <w:spacing w:line="240" w:lineRule="auto"/>
                    <w:ind w:firstLine="0" w:firstLineChars="0"/>
                    <w:jc w:val="center"/>
                    <w:rPr>
                      <w:sz w:val="21"/>
                      <w:szCs w:val="21"/>
                    </w:rPr>
                  </w:pPr>
                  <w:r>
                    <w:rPr>
                      <w:rFonts w:hint="eastAsia"/>
                      <w:sz w:val="21"/>
                      <w:szCs w:val="21"/>
                    </w:rPr>
                    <w:t>250</w:t>
                  </w:r>
                </w:p>
              </w:tc>
              <w:tc>
                <w:tcPr>
                  <w:tcW w:w="3889" w:type="dxa"/>
                  <w:vMerge w:val="continue"/>
                  <w:tcBorders>
                    <w:tl2br w:val="nil"/>
                    <w:tr2bl w:val="nil"/>
                  </w:tcBorders>
                </w:tcPr>
                <w:p w14:paraId="0A527535">
                  <w:pPr>
                    <w:widowControl/>
                    <w:spacing w:line="240" w:lineRule="auto"/>
                    <w:ind w:firstLine="0" w:firstLineChars="0"/>
                    <w:jc w:val="center"/>
                  </w:pPr>
                </w:p>
              </w:tc>
            </w:tr>
            <w:tr w14:paraId="3B5C7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tcPr>
                <w:p w14:paraId="5768CF54">
                  <w:pPr>
                    <w:widowControl/>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2195" w:type="dxa"/>
                  <w:tcBorders>
                    <w:tl2br w:val="nil"/>
                    <w:tr2bl w:val="nil"/>
                  </w:tcBorders>
                </w:tcPr>
                <w:p w14:paraId="1C5F72D1">
                  <w:pPr>
                    <w:widowControl/>
                    <w:spacing w:line="240" w:lineRule="auto"/>
                    <w:ind w:firstLine="0" w:firstLineChars="0"/>
                    <w:jc w:val="center"/>
                    <w:rPr>
                      <w:sz w:val="21"/>
                      <w:szCs w:val="21"/>
                    </w:rPr>
                  </w:pPr>
                  <w:r>
                    <w:rPr>
                      <w:rFonts w:hint="eastAsia"/>
                      <w:sz w:val="21"/>
                      <w:szCs w:val="21"/>
                    </w:rPr>
                    <w:t>200</w:t>
                  </w:r>
                </w:p>
              </w:tc>
              <w:tc>
                <w:tcPr>
                  <w:tcW w:w="3889" w:type="dxa"/>
                  <w:vMerge w:val="continue"/>
                  <w:tcBorders>
                    <w:tl2br w:val="nil"/>
                    <w:tr2bl w:val="nil"/>
                  </w:tcBorders>
                </w:tcPr>
                <w:p w14:paraId="48BD782F">
                  <w:pPr>
                    <w:widowControl/>
                    <w:spacing w:line="240" w:lineRule="auto"/>
                    <w:ind w:firstLine="0" w:firstLineChars="0"/>
                    <w:jc w:val="center"/>
                  </w:pPr>
                </w:p>
              </w:tc>
            </w:tr>
            <w:tr w14:paraId="1EC4F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0" w:type="dxa"/>
                  <w:tcBorders>
                    <w:tl2br w:val="nil"/>
                    <w:tr2bl w:val="nil"/>
                  </w:tcBorders>
                </w:tcPr>
                <w:p w14:paraId="04F21603">
                  <w:pPr>
                    <w:widowControl/>
                    <w:spacing w:line="240" w:lineRule="auto"/>
                    <w:ind w:firstLine="0" w:firstLineChars="0"/>
                    <w:jc w:val="center"/>
                    <w:rPr>
                      <w:sz w:val="21"/>
                      <w:szCs w:val="21"/>
                    </w:rPr>
                  </w:pPr>
                  <w:r>
                    <w:rPr>
                      <w:rFonts w:hint="eastAsia"/>
                      <w:sz w:val="21"/>
                      <w:szCs w:val="21"/>
                    </w:rPr>
                    <w:t>氨氮</w:t>
                  </w:r>
                </w:p>
              </w:tc>
              <w:tc>
                <w:tcPr>
                  <w:tcW w:w="2195" w:type="dxa"/>
                  <w:tcBorders>
                    <w:tl2br w:val="nil"/>
                    <w:tr2bl w:val="nil"/>
                  </w:tcBorders>
                </w:tcPr>
                <w:p w14:paraId="13766F48">
                  <w:pPr>
                    <w:widowControl/>
                    <w:spacing w:line="240" w:lineRule="auto"/>
                    <w:ind w:firstLine="0" w:firstLineChars="0"/>
                    <w:jc w:val="center"/>
                    <w:rPr>
                      <w:sz w:val="21"/>
                      <w:szCs w:val="21"/>
                    </w:rPr>
                  </w:pPr>
                  <w:r>
                    <w:rPr>
                      <w:rFonts w:hint="eastAsia"/>
                      <w:sz w:val="21"/>
                      <w:szCs w:val="21"/>
                    </w:rPr>
                    <w:t>35</w:t>
                  </w:r>
                </w:p>
              </w:tc>
              <w:tc>
                <w:tcPr>
                  <w:tcW w:w="3889" w:type="dxa"/>
                  <w:vMerge w:val="continue"/>
                  <w:tcBorders>
                    <w:tl2br w:val="nil"/>
                    <w:tr2bl w:val="nil"/>
                  </w:tcBorders>
                </w:tcPr>
                <w:p w14:paraId="67073D09">
                  <w:pPr>
                    <w:widowControl/>
                    <w:spacing w:line="240" w:lineRule="auto"/>
                    <w:ind w:firstLine="0" w:firstLineChars="0"/>
                    <w:jc w:val="center"/>
                  </w:pPr>
                </w:p>
              </w:tc>
            </w:tr>
          </w:tbl>
          <w:p w14:paraId="10649DAC">
            <w:pPr>
              <w:pStyle w:val="13"/>
              <w:keepNext w:val="0"/>
              <w:keepLines w:val="0"/>
              <w:pageBreakBefore w:val="0"/>
              <w:widowControl w:val="0"/>
              <w:kinsoku/>
              <w:wordWrap/>
              <w:overflowPunct/>
              <w:topLinePunct w:val="0"/>
              <w:autoSpaceDE/>
              <w:autoSpaceDN/>
              <w:bidi w:val="0"/>
              <w:adjustRightInd/>
              <w:snapToGrid/>
              <w:spacing w:after="0"/>
              <w:ind w:left="0" w:leftChars="0" w:right="0" w:rightChars="0" w:firstLine="480"/>
              <w:textAlignment w:val="auto"/>
            </w:pPr>
            <w:r>
              <w:rPr>
                <w:rFonts w:hint="eastAsia"/>
              </w:rPr>
              <w:t>综上，本项目废水排放标准如下：</w:t>
            </w:r>
          </w:p>
          <w:p w14:paraId="0877C990">
            <w:pPr>
              <w:spacing w:line="360" w:lineRule="auto"/>
              <w:ind w:firstLine="480"/>
              <w:jc w:val="center"/>
              <w:rPr>
                <w:b/>
                <w:bCs/>
                <w:sz w:val="21"/>
                <w:szCs w:val="21"/>
              </w:rPr>
            </w:pPr>
            <w:r>
              <w:rPr>
                <w:rFonts w:hint="eastAsia"/>
                <w:b/>
                <w:bCs/>
                <w:sz w:val="21"/>
                <w:szCs w:val="21"/>
              </w:rPr>
              <w:t>表3-7  本项目排放标准</w:t>
            </w:r>
          </w:p>
          <w:tbl>
            <w:tblPr>
              <w:tblStyle w:val="23"/>
              <w:tblW w:w="825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95"/>
              <w:gridCol w:w="4260"/>
            </w:tblGrid>
            <w:tr w14:paraId="00165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vAlign w:val="center"/>
                </w:tcPr>
                <w:p w14:paraId="0855C23C">
                  <w:pPr>
                    <w:widowControl/>
                    <w:spacing w:line="240" w:lineRule="auto"/>
                    <w:ind w:firstLine="0" w:firstLineChars="0"/>
                    <w:jc w:val="center"/>
                    <w:rPr>
                      <w:sz w:val="21"/>
                      <w:szCs w:val="21"/>
                    </w:rPr>
                  </w:pPr>
                  <w:r>
                    <w:rPr>
                      <w:rFonts w:hint="eastAsia"/>
                      <w:sz w:val="21"/>
                      <w:szCs w:val="21"/>
                    </w:rPr>
                    <w:t>污染物项目</w:t>
                  </w:r>
                </w:p>
              </w:tc>
              <w:tc>
                <w:tcPr>
                  <w:tcW w:w="4260" w:type="dxa"/>
                  <w:tcBorders>
                    <w:tl2br w:val="nil"/>
                    <w:tr2bl w:val="nil"/>
                  </w:tcBorders>
                  <w:vAlign w:val="center"/>
                </w:tcPr>
                <w:p w14:paraId="3319C9A2">
                  <w:pPr>
                    <w:widowControl/>
                    <w:spacing w:line="240" w:lineRule="auto"/>
                    <w:ind w:firstLine="0" w:firstLineChars="0"/>
                    <w:jc w:val="center"/>
                    <w:rPr>
                      <w:sz w:val="21"/>
                      <w:szCs w:val="21"/>
                    </w:rPr>
                  </w:pPr>
                  <w:r>
                    <w:rPr>
                      <w:rFonts w:hint="eastAsia"/>
                      <w:sz w:val="21"/>
                      <w:szCs w:val="21"/>
                    </w:rPr>
                    <w:t>执行标准（mg/L）</w:t>
                  </w:r>
                </w:p>
              </w:tc>
            </w:tr>
            <w:tr w14:paraId="1382B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vAlign w:val="center"/>
                </w:tcPr>
                <w:p w14:paraId="3455BAA7">
                  <w:pPr>
                    <w:widowControl/>
                    <w:spacing w:line="240" w:lineRule="auto"/>
                    <w:ind w:firstLine="0" w:firstLineChars="0"/>
                    <w:jc w:val="center"/>
                    <w:rPr>
                      <w:sz w:val="21"/>
                      <w:szCs w:val="21"/>
                    </w:rPr>
                  </w:pPr>
                  <w:r>
                    <w:rPr>
                      <w:rFonts w:hint="eastAsia"/>
                      <w:sz w:val="21"/>
                      <w:szCs w:val="21"/>
                    </w:rPr>
                    <w:t>pH</w:t>
                  </w:r>
                </w:p>
              </w:tc>
              <w:tc>
                <w:tcPr>
                  <w:tcW w:w="4260" w:type="dxa"/>
                  <w:tcBorders>
                    <w:tl2br w:val="nil"/>
                    <w:tr2bl w:val="nil"/>
                  </w:tcBorders>
                  <w:vAlign w:val="center"/>
                </w:tcPr>
                <w:p w14:paraId="7891E7BD">
                  <w:pPr>
                    <w:widowControl/>
                    <w:spacing w:line="240" w:lineRule="auto"/>
                    <w:ind w:firstLine="0" w:firstLineChars="0"/>
                    <w:jc w:val="center"/>
                    <w:rPr>
                      <w:sz w:val="21"/>
                      <w:szCs w:val="21"/>
                    </w:rPr>
                  </w:pPr>
                  <w:r>
                    <w:rPr>
                      <w:rFonts w:hint="eastAsia"/>
                      <w:sz w:val="21"/>
                      <w:szCs w:val="21"/>
                    </w:rPr>
                    <w:t>6.5-8.5</w:t>
                  </w:r>
                </w:p>
              </w:tc>
            </w:tr>
            <w:tr w14:paraId="47D3A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tcPr>
                <w:p w14:paraId="7D9619CF">
                  <w:pPr>
                    <w:widowControl/>
                    <w:spacing w:line="240" w:lineRule="auto"/>
                    <w:ind w:firstLine="0" w:firstLineChars="0"/>
                    <w:jc w:val="center"/>
                    <w:rPr>
                      <w:sz w:val="21"/>
                      <w:szCs w:val="21"/>
                    </w:rPr>
                  </w:pPr>
                  <w:r>
                    <w:rPr>
                      <w:rFonts w:hint="eastAsia"/>
                      <w:sz w:val="21"/>
                      <w:szCs w:val="21"/>
                    </w:rPr>
                    <w:t>COD</w:t>
                  </w:r>
                </w:p>
              </w:tc>
              <w:tc>
                <w:tcPr>
                  <w:tcW w:w="4260" w:type="dxa"/>
                  <w:tcBorders>
                    <w:tl2br w:val="nil"/>
                    <w:tr2bl w:val="nil"/>
                  </w:tcBorders>
                </w:tcPr>
                <w:p w14:paraId="2A16B6FE">
                  <w:pPr>
                    <w:widowControl/>
                    <w:spacing w:line="240" w:lineRule="auto"/>
                    <w:ind w:firstLine="0" w:firstLineChars="0"/>
                    <w:jc w:val="center"/>
                    <w:rPr>
                      <w:sz w:val="21"/>
                      <w:szCs w:val="21"/>
                    </w:rPr>
                  </w:pPr>
                  <w:r>
                    <w:rPr>
                      <w:rFonts w:hint="eastAsia"/>
                      <w:sz w:val="21"/>
                      <w:szCs w:val="21"/>
                    </w:rPr>
                    <w:t>350</w:t>
                  </w:r>
                </w:p>
              </w:tc>
            </w:tr>
            <w:tr w14:paraId="24226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tcPr>
                <w:p w14:paraId="7456B3FB">
                  <w:pPr>
                    <w:widowControl/>
                    <w:spacing w:line="240" w:lineRule="auto"/>
                    <w:ind w:firstLine="0" w:firstLineChars="0"/>
                    <w:jc w:val="center"/>
                    <w:rPr>
                      <w:sz w:val="21"/>
                      <w:szCs w:val="21"/>
                    </w:rPr>
                  </w:pPr>
                  <w:r>
                    <w:rPr>
                      <w:rFonts w:hint="eastAsia"/>
                      <w:sz w:val="21"/>
                      <w:szCs w:val="21"/>
                    </w:rPr>
                    <w:t>SS</w:t>
                  </w:r>
                </w:p>
              </w:tc>
              <w:tc>
                <w:tcPr>
                  <w:tcW w:w="4260" w:type="dxa"/>
                  <w:tcBorders>
                    <w:tl2br w:val="nil"/>
                    <w:tr2bl w:val="nil"/>
                  </w:tcBorders>
                </w:tcPr>
                <w:p w14:paraId="0570E747">
                  <w:pPr>
                    <w:widowControl/>
                    <w:spacing w:line="240" w:lineRule="auto"/>
                    <w:ind w:firstLine="0" w:firstLineChars="0"/>
                    <w:jc w:val="center"/>
                    <w:rPr>
                      <w:sz w:val="21"/>
                      <w:szCs w:val="21"/>
                    </w:rPr>
                  </w:pPr>
                  <w:r>
                    <w:rPr>
                      <w:rFonts w:hint="eastAsia"/>
                      <w:sz w:val="21"/>
                      <w:szCs w:val="21"/>
                    </w:rPr>
                    <w:t>250</w:t>
                  </w:r>
                </w:p>
              </w:tc>
            </w:tr>
            <w:tr w14:paraId="4ADD4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tcPr>
                <w:p w14:paraId="0947010F">
                  <w:pPr>
                    <w:widowControl/>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4260" w:type="dxa"/>
                  <w:tcBorders>
                    <w:tl2br w:val="nil"/>
                    <w:tr2bl w:val="nil"/>
                  </w:tcBorders>
                </w:tcPr>
                <w:p w14:paraId="7B7DB3BC">
                  <w:pPr>
                    <w:widowControl/>
                    <w:spacing w:line="240" w:lineRule="auto"/>
                    <w:ind w:firstLine="0" w:firstLineChars="0"/>
                    <w:jc w:val="center"/>
                    <w:rPr>
                      <w:sz w:val="21"/>
                      <w:szCs w:val="21"/>
                    </w:rPr>
                  </w:pPr>
                  <w:r>
                    <w:rPr>
                      <w:rFonts w:hint="eastAsia"/>
                      <w:sz w:val="21"/>
                      <w:szCs w:val="21"/>
                    </w:rPr>
                    <w:t>200</w:t>
                  </w:r>
                </w:p>
              </w:tc>
            </w:tr>
            <w:tr w14:paraId="1F9E1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vAlign w:val="center"/>
                </w:tcPr>
                <w:p w14:paraId="65E03DE3">
                  <w:pPr>
                    <w:widowControl/>
                    <w:spacing w:line="240" w:lineRule="auto"/>
                    <w:ind w:firstLine="0" w:firstLineChars="0"/>
                    <w:jc w:val="center"/>
                    <w:rPr>
                      <w:sz w:val="21"/>
                      <w:szCs w:val="21"/>
                    </w:rPr>
                  </w:pPr>
                  <w:r>
                    <w:rPr>
                      <w:rFonts w:hint="eastAsia"/>
                      <w:sz w:val="21"/>
                      <w:szCs w:val="21"/>
                    </w:rPr>
                    <w:t>动植物油</w:t>
                  </w:r>
                </w:p>
              </w:tc>
              <w:tc>
                <w:tcPr>
                  <w:tcW w:w="4260" w:type="dxa"/>
                  <w:tcBorders>
                    <w:tl2br w:val="nil"/>
                    <w:tr2bl w:val="nil"/>
                  </w:tcBorders>
                  <w:vAlign w:val="center"/>
                </w:tcPr>
                <w:p w14:paraId="7A13C691">
                  <w:pPr>
                    <w:widowControl/>
                    <w:spacing w:line="240" w:lineRule="auto"/>
                    <w:ind w:firstLine="0" w:firstLineChars="0"/>
                    <w:jc w:val="center"/>
                    <w:rPr>
                      <w:sz w:val="21"/>
                      <w:szCs w:val="21"/>
                    </w:rPr>
                  </w:pPr>
                  <w:r>
                    <w:rPr>
                      <w:rFonts w:hint="eastAsia"/>
                      <w:sz w:val="21"/>
                      <w:szCs w:val="21"/>
                    </w:rPr>
                    <w:t>100</w:t>
                  </w:r>
                </w:p>
              </w:tc>
            </w:tr>
            <w:tr w14:paraId="6138D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vAlign w:val="center"/>
                </w:tcPr>
                <w:p w14:paraId="22A0463F">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石油类</w:t>
                  </w:r>
                </w:p>
              </w:tc>
              <w:tc>
                <w:tcPr>
                  <w:tcW w:w="4260" w:type="dxa"/>
                  <w:tcBorders>
                    <w:tl2br w:val="nil"/>
                    <w:tr2bl w:val="nil"/>
                  </w:tcBorders>
                  <w:vAlign w:val="center"/>
                </w:tcPr>
                <w:p w14:paraId="5DE869F3">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30</w:t>
                  </w:r>
                </w:p>
              </w:tc>
            </w:tr>
            <w:tr w14:paraId="14CAB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tcPr>
                <w:p w14:paraId="47DDF0A0">
                  <w:pPr>
                    <w:widowControl/>
                    <w:spacing w:line="240" w:lineRule="auto"/>
                    <w:ind w:firstLine="0" w:firstLineChars="0"/>
                    <w:jc w:val="center"/>
                    <w:rPr>
                      <w:sz w:val="21"/>
                      <w:szCs w:val="21"/>
                    </w:rPr>
                  </w:pPr>
                  <w:r>
                    <w:rPr>
                      <w:rFonts w:hint="eastAsia"/>
                      <w:sz w:val="21"/>
                      <w:szCs w:val="21"/>
                    </w:rPr>
                    <w:t>氨氮</w:t>
                  </w:r>
                </w:p>
              </w:tc>
              <w:tc>
                <w:tcPr>
                  <w:tcW w:w="4260" w:type="dxa"/>
                  <w:tcBorders>
                    <w:tl2br w:val="nil"/>
                    <w:tr2bl w:val="nil"/>
                  </w:tcBorders>
                </w:tcPr>
                <w:p w14:paraId="239E8BF9">
                  <w:pPr>
                    <w:widowControl/>
                    <w:spacing w:line="240" w:lineRule="auto"/>
                    <w:ind w:firstLine="0" w:firstLineChars="0"/>
                    <w:jc w:val="center"/>
                    <w:rPr>
                      <w:sz w:val="21"/>
                      <w:szCs w:val="21"/>
                    </w:rPr>
                  </w:pPr>
                  <w:r>
                    <w:rPr>
                      <w:rFonts w:hint="eastAsia"/>
                      <w:sz w:val="21"/>
                      <w:szCs w:val="21"/>
                    </w:rPr>
                    <w:t>35</w:t>
                  </w:r>
                </w:p>
              </w:tc>
            </w:tr>
            <w:tr w14:paraId="05E4A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5" w:type="dxa"/>
                  <w:tcBorders>
                    <w:tl2br w:val="nil"/>
                    <w:tr2bl w:val="nil"/>
                  </w:tcBorders>
                  <w:vAlign w:val="center"/>
                </w:tcPr>
                <w:p w14:paraId="6D87E723">
                  <w:pPr>
                    <w:widowControl/>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阴离子表面活性剂</w:t>
                  </w:r>
                </w:p>
              </w:tc>
              <w:tc>
                <w:tcPr>
                  <w:tcW w:w="4260" w:type="dxa"/>
                  <w:tcBorders>
                    <w:tl2br w:val="nil"/>
                    <w:tr2bl w:val="nil"/>
                  </w:tcBorders>
                  <w:vAlign w:val="center"/>
                </w:tcPr>
                <w:p w14:paraId="4A10607B">
                  <w:pPr>
                    <w:widowControl/>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20</w:t>
                  </w:r>
                </w:p>
              </w:tc>
            </w:tr>
          </w:tbl>
          <w:p w14:paraId="1BA4D4E6">
            <w:pPr>
              <w:spacing w:line="480" w:lineRule="atLeast"/>
              <w:ind w:firstLine="0" w:firstLineChars="0"/>
            </w:pPr>
            <w:r>
              <w:rPr>
                <w:rFonts w:hint="eastAsia"/>
              </w:rPr>
              <w:t>三、噪声</w:t>
            </w:r>
          </w:p>
          <w:p w14:paraId="29E7261E">
            <w:pPr>
              <w:spacing w:line="480" w:lineRule="atLeast"/>
              <w:ind w:firstLine="480"/>
            </w:pPr>
            <w:r>
              <w:rPr>
                <w:rFonts w:hint="eastAsia"/>
              </w:rPr>
              <w:t>（1）本项目北侧为纬二路，东侧为经十五路</w:t>
            </w:r>
            <w:r>
              <w:t>厂界噪声执行《工业企业厂界环境噪声排放标准》（GB12348-2008）</w:t>
            </w:r>
            <w:r>
              <w:rPr>
                <w:rFonts w:hint="eastAsia"/>
              </w:rPr>
              <w:t>4</w:t>
            </w:r>
            <w:r>
              <w:t>类标准</w:t>
            </w:r>
            <w:r>
              <w:rPr>
                <w:rFonts w:hint="eastAsia"/>
              </w:rPr>
              <w:t>：昼间70dB（A），夜间55dB（A），西厂界、南</w:t>
            </w:r>
            <w:r>
              <w:t>厂界噪声执行《工业企业厂界环境噪声排放标准》（GB12348-2008）</w:t>
            </w:r>
            <w:r>
              <w:rPr>
                <w:rFonts w:hint="eastAsia"/>
              </w:rPr>
              <w:t>3</w:t>
            </w:r>
            <w:r>
              <w:t>类标准</w:t>
            </w:r>
            <w:r>
              <w:rPr>
                <w:rFonts w:hint="eastAsia"/>
              </w:rPr>
              <w:t>：昼间65dB（A），夜间55dB（A）。</w:t>
            </w:r>
          </w:p>
          <w:p w14:paraId="7ED5146A">
            <w:pPr>
              <w:pStyle w:val="13"/>
              <w:spacing w:after="0" w:line="480" w:lineRule="atLeast"/>
              <w:ind w:left="0" w:leftChars="0" w:right="0" w:rightChars="0" w:firstLine="480"/>
            </w:pPr>
            <w:r>
              <w:rPr>
                <w:rFonts w:hint="eastAsia"/>
              </w:rPr>
              <w:t>（2）施工期噪声执行《建筑施工场界环境噪声排放标准》(GB12523-2011)的</w:t>
            </w:r>
            <w:r>
              <w:t>标准</w:t>
            </w:r>
            <w:r>
              <w:rPr>
                <w:rFonts w:hint="eastAsia"/>
              </w:rPr>
              <w:t>：昼间70dB（A），夜间55dB（A）。</w:t>
            </w:r>
          </w:p>
        </w:tc>
      </w:tr>
      <w:tr w14:paraId="30AE6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0" w:type="dxa"/>
            <w:vAlign w:val="center"/>
          </w:tcPr>
          <w:p w14:paraId="5D599733">
            <w:pPr>
              <w:pStyle w:val="31"/>
            </w:pPr>
          </w:p>
        </w:tc>
        <w:tc>
          <w:tcPr>
            <w:tcW w:w="8510" w:type="dxa"/>
            <w:vAlign w:val="center"/>
          </w:tcPr>
          <w:p w14:paraId="7145288A">
            <w:pPr>
              <w:pStyle w:val="13"/>
              <w:spacing w:after="0" w:line="480" w:lineRule="atLeast"/>
              <w:ind w:left="0" w:leftChars="0" w:right="0" w:rightChars="0" w:firstLine="480"/>
            </w:pPr>
            <w:r>
              <w:rPr>
                <w:rFonts w:hint="eastAsia"/>
              </w:rPr>
              <w:t>总量控制计算：</w:t>
            </w:r>
          </w:p>
          <w:p w14:paraId="269DDB7B">
            <w:pPr>
              <w:pStyle w:val="13"/>
              <w:spacing w:after="0" w:line="480" w:lineRule="atLeast"/>
              <w:ind w:left="0" w:leftChars="0" w:right="0" w:rightChars="0" w:firstLine="480"/>
            </w:pPr>
            <w:r>
              <w:rPr>
                <w:rFonts w:hint="eastAsia"/>
              </w:rPr>
              <w:t>根据环境保护部《关于印发&lt;建设项目主要污染物排放总量指标审核及管理暂行办法&gt;的通知》（环发[2014]197号）的相关要求，总量核算以污染物排放标准中的排放浓度限值为基准。</w:t>
            </w:r>
          </w:p>
          <w:p w14:paraId="0E67CB75">
            <w:pPr>
              <w:pStyle w:val="13"/>
              <w:numPr>
                <w:ilvl w:val="0"/>
                <w:numId w:val="15"/>
              </w:numPr>
              <w:spacing w:after="0" w:line="480" w:lineRule="atLeast"/>
              <w:ind w:left="0" w:leftChars="0" w:right="0" w:rightChars="0" w:firstLine="480"/>
              <w:rPr>
                <w:highlight w:val="none"/>
              </w:rPr>
            </w:pPr>
            <w:r>
              <w:rPr>
                <w:rFonts w:hint="eastAsia"/>
                <w:highlight w:val="none"/>
              </w:rPr>
              <w:t>废水污染物总量控制目标值确定</w:t>
            </w:r>
          </w:p>
          <w:p w14:paraId="6E07820F">
            <w:pPr>
              <w:pStyle w:val="13"/>
              <w:spacing w:after="0" w:line="480" w:lineRule="atLeast"/>
              <w:ind w:left="0" w:leftChars="0" w:right="0" w:rightChars="0" w:firstLine="480"/>
              <w:rPr>
                <w:rFonts w:hint="eastAsia"/>
                <w:highlight w:val="none"/>
              </w:rPr>
            </w:pPr>
            <w:r>
              <w:rPr>
                <w:rFonts w:hint="eastAsia"/>
                <w:highlight w:val="none"/>
                <w:lang w:val="en-US" w:eastAsia="zh-CN"/>
              </w:rPr>
              <w:t>废水</w:t>
            </w:r>
            <w:r>
              <w:rPr>
                <w:rFonts w:hint="eastAsia"/>
                <w:highlight w:val="none"/>
              </w:rPr>
              <w:t>计算结果和计算依据如下：</w:t>
            </w:r>
          </w:p>
          <w:p w14:paraId="0B5E8B33">
            <w:pPr>
              <w:rPr>
                <w:sz w:val="24"/>
                <w:szCs w:val="24"/>
                <w:highlight w:val="none"/>
              </w:rPr>
            </w:pPr>
            <w:r>
              <w:rPr>
                <w:rFonts w:hint="eastAsia"/>
                <w:sz w:val="24"/>
                <w:szCs w:val="24"/>
                <w:highlight w:val="none"/>
              </w:rPr>
              <w:t>COD</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350</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6575</w:t>
            </w:r>
            <w:r>
              <w:rPr>
                <w:sz w:val="24"/>
                <w:szCs w:val="24"/>
                <w:highlight w:val="none"/>
              </w:rPr>
              <w:t>t/a</w:t>
            </w:r>
          </w:p>
          <w:p w14:paraId="7A2B94AC">
            <w:pPr>
              <w:rPr>
                <w:sz w:val="24"/>
                <w:szCs w:val="24"/>
                <w:highlight w:val="none"/>
              </w:rPr>
            </w:pPr>
            <w:r>
              <w:rPr>
                <w:rFonts w:hint="eastAsia"/>
                <w:sz w:val="24"/>
                <w:szCs w:val="24"/>
                <w:highlight w:val="none"/>
              </w:rPr>
              <w:t>SS</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250</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4697</w:t>
            </w:r>
            <w:r>
              <w:rPr>
                <w:sz w:val="24"/>
                <w:szCs w:val="24"/>
                <w:highlight w:val="none"/>
              </w:rPr>
              <w:t>t/a</w:t>
            </w:r>
          </w:p>
          <w:p w14:paraId="1D800633">
            <w:pPr>
              <w:rPr>
                <w:rFonts w:hint="default"/>
                <w:sz w:val="24"/>
                <w:szCs w:val="24"/>
                <w:highlight w:val="none"/>
                <w:lang w:val="en-US"/>
              </w:rPr>
            </w:pPr>
            <w:r>
              <w:rPr>
                <w:rFonts w:hint="eastAsia"/>
                <w:sz w:val="21"/>
                <w:szCs w:val="21"/>
                <w:highlight w:val="none"/>
              </w:rPr>
              <w:t>BOD</w:t>
            </w:r>
            <w:r>
              <w:rPr>
                <w:rFonts w:hint="eastAsia"/>
                <w:sz w:val="21"/>
                <w:szCs w:val="21"/>
                <w:highlight w:val="none"/>
                <w:vertAlign w:val="subscript"/>
              </w:rPr>
              <w:t>5</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200</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3757</w:t>
            </w:r>
            <w:r>
              <w:rPr>
                <w:sz w:val="24"/>
                <w:szCs w:val="24"/>
                <w:highlight w:val="none"/>
              </w:rPr>
              <w:t>t/a</w:t>
            </w:r>
          </w:p>
          <w:p w14:paraId="06D22045">
            <w:pPr>
              <w:rPr>
                <w:rFonts w:hint="default" w:eastAsia="宋体"/>
                <w:sz w:val="24"/>
                <w:szCs w:val="24"/>
                <w:highlight w:val="none"/>
                <w:lang w:val="en-US" w:eastAsia="zh-CN"/>
              </w:rPr>
            </w:pPr>
            <w:r>
              <w:rPr>
                <w:rFonts w:hint="eastAsia"/>
                <w:sz w:val="21"/>
                <w:szCs w:val="21"/>
                <w:highlight w:val="none"/>
              </w:rPr>
              <w:t>动植物油</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100</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1879</w:t>
            </w:r>
            <w:r>
              <w:rPr>
                <w:sz w:val="24"/>
                <w:szCs w:val="24"/>
                <w:highlight w:val="none"/>
              </w:rPr>
              <w:t>t/a</w:t>
            </w:r>
          </w:p>
          <w:p w14:paraId="5984744F">
            <w:pPr>
              <w:rPr>
                <w:rFonts w:hint="default" w:eastAsia="宋体"/>
                <w:sz w:val="24"/>
                <w:szCs w:val="24"/>
                <w:highlight w:val="none"/>
                <w:lang w:val="en-US" w:eastAsia="zh-CN"/>
              </w:rPr>
            </w:pPr>
            <w:r>
              <w:rPr>
                <w:rFonts w:hint="eastAsia"/>
                <w:sz w:val="21"/>
                <w:szCs w:val="21"/>
                <w:highlight w:val="none"/>
                <w:lang w:val="en-US" w:eastAsia="zh-CN"/>
              </w:rPr>
              <w:t>石油类</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30</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0564</w:t>
            </w:r>
            <w:r>
              <w:rPr>
                <w:sz w:val="24"/>
                <w:szCs w:val="24"/>
                <w:highlight w:val="none"/>
              </w:rPr>
              <w:t>t/a</w:t>
            </w:r>
          </w:p>
          <w:p w14:paraId="50E5E08D">
            <w:pPr>
              <w:rPr>
                <w:rFonts w:hint="default" w:eastAsia="宋体"/>
                <w:sz w:val="24"/>
                <w:szCs w:val="24"/>
                <w:highlight w:val="none"/>
                <w:lang w:val="en-US" w:eastAsia="zh-CN"/>
              </w:rPr>
            </w:pPr>
            <w:r>
              <w:rPr>
                <w:rFonts w:hint="eastAsia"/>
                <w:sz w:val="24"/>
                <w:szCs w:val="24"/>
                <w:highlight w:val="none"/>
                <w:lang w:val="en-US" w:eastAsia="zh-CN"/>
              </w:rPr>
              <w:t>氨氮</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35</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0658</w:t>
            </w:r>
            <w:r>
              <w:rPr>
                <w:sz w:val="24"/>
                <w:szCs w:val="24"/>
                <w:highlight w:val="none"/>
              </w:rPr>
              <w:t>t/a</w:t>
            </w:r>
          </w:p>
          <w:p w14:paraId="0CECDBA3">
            <w:pPr>
              <w:rPr>
                <w:sz w:val="24"/>
                <w:szCs w:val="24"/>
                <w:highlight w:val="none"/>
              </w:rPr>
            </w:pP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816610</wp:posOffset>
                      </wp:positionH>
                      <wp:positionV relativeFrom="paragraph">
                        <wp:posOffset>340995</wp:posOffset>
                      </wp:positionV>
                      <wp:extent cx="3362325" cy="313055"/>
                      <wp:effectExtent l="0" t="0" r="9525" b="10795"/>
                      <wp:wrapNone/>
                      <wp:docPr id="12" name="文本框 12"/>
                      <wp:cNvGraphicFramePr/>
                      <a:graphic xmlns:a="http://schemas.openxmlformats.org/drawingml/2006/main">
                        <a:graphicData uri="http://schemas.microsoft.com/office/word/2010/wordprocessingShape">
                          <wps:wsp>
                            <wps:cNvSpPr txBox="1"/>
                            <wps:spPr>
                              <a:xfrm>
                                <a:off x="2271395" y="8159750"/>
                                <a:ext cx="3362325" cy="3130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7825A4">
                                  <w:pPr>
                                    <w:spacing w:line="360" w:lineRule="auto"/>
                                    <w:ind w:firstLine="0" w:firstLineChars="0"/>
                                    <w:jc w:val="center"/>
                                    <w:rPr>
                                      <w:b/>
                                      <w:sz w:val="21"/>
                                      <w:szCs w:val="21"/>
                                    </w:rPr>
                                  </w:pPr>
                                  <w:r>
                                    <w:rPr>
                                      <w:rFonts w:hint="eastAsia"/>
                                      <w:b/>
                                      <w:sz w:val="21"/>
                                      <w:szCs w:val="21"/>
                                    </w:rPr>
                                    <w:t xml:space="preserve">表3-8  </w:t>
                                  </w:r>
                                  <w:r>
                                    <w:rPr>
                                      <w:rFonts w:hint="eastAsia"/>
                                      <w:b/>
                                      <w:sz w:val="21"/>
                                      <w:szCs w:val="21"/>
                                      <w:lang w:val="en-US" w:eastAsia="zh-CN"/>
                                    </w:rPr>
                                    <w:t>废水</w:t>
                                  </w:r>
                                  <w:r>
                                    <w:rPr>
                                      <w:rFonts w:hint="eastAsia"/>
                                      <w:b/>
                                      <w:sz w:val="21"/>
                                      <w:szCs w:val="21"/>
                                    </w:rPr>
                                    <w:t>污染物总量控制指标核算表</w:t>
                                  </w:r>
                                </w:p>
                                <w:p w14:paraId="019B01F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3pt;margin-top:26.85pt;height:24.65pt;width:264.75pt;z-index:251663360;mso-width-relative:page;mso-height-relative:page;" fillcolor="#FFFFFF [3201]" filled="t" stroked="f" coordsize="21600,21600" o:gfxdata="UEsDBAoAAAAAAIdO4kAAAAAAAAAAAAAAAAAEAAAAZHJzL1BLAwQUAAAACACHTuJAXgYNrNQAAAAK&#10;AQAADwAAAGRycy9kb3ducmV2LnhtbE2Py07DMBBF90j8gzVI7KidloYoxOkCiS0Sfa3deIgj7HEU&#10;u8+vZ1jB8uoe3TnTrC7BixNOaYikoZgpEEhdtAP1Grab96cKRMqGrPGRUMMVE6za+7vG1Dae6RNP&#10;69wLHqFUGw0u57GWMnUOg0mzOCJx9xWnYDLHqZd2MmceD17OlSplMAPxBWdGfHPYfa+PQcO+D7f9&#10;rhgnZ4N/po/bdbONg9aPD4V6BZHxkv9g+NVndWjZ6RCPZJPwnOdVyaiG5eIFBAPlsipAHLhRCwWy&#10;beT/F9ofUEsDBBQAAAAIAIdO4kBR9TUUXAIAAJ0EAAAOAAAAZHJzL2Uyb0RvYy54bWytVM1u2zAM&#10;vg/YOwi6r47tpj9BnSJrkWFAsRbIhp0VWY4FSKImKbG7B9jeoKdddt9z9TlGyU7bdTv0sBwcSvz8&#10;kfxI+uy814rshPMSTEXzgwklwnCopdlU9NPH5ZsTSnxgpmYKjKjorfD0fP761VlnZ6KAFlQtHEES&#10;42edrWgbgp1lmeet0MwfgBUGnQ04zQIe3SarHeuQXausmEyOsg5cbR1w4T3eXg5OOjK6lxBC00gu&#10;LoFvtTBhYHVCsYAl+VZaT+cp26YRPFw3jReBqIpipSE9MQja6/jM5mdstnHMtpKPKbCXpPCsJs2k&#10;waAPVJcsMLJ18i8qLbkDD0044KCzoZCkCFaRT55ps2qZFakWlNrbB9H9/6PlH3Y3jsgaJ6GgxDCN&#10;Hb+/+37/49f9z28E71CgzvoZ4lYWkaF/Cz2C9/ceL2PdfeN0/MeKCPqL4jgvT6eU3Fb0JJ+eHk9H&#10;qUUfCEdAWR4VZYEAjogyLyfTaaTMHpms8+GdAE2iUVGHrUwKs92VDwN0D4mBPShZL6VS6eA26wvl&#10;yI5h25fpN7L/AVOGdBU9KjG5+JaB+P5ArQwmEwsfCoxW6Nf9qMYa6lsUw8EwT97ypcQsr5gPN8zh&#10;AOF44YqFa3w0CjAIjBYlLbiv/7qPeOwreinpcCAr6r9smROUqPcGO36aHx7GCU6Hw+lxgQf31LN+&#10;6jFbfQFYfI7LbHkyIz6ovdk40J9xExcxKrqY4Ri7omFvXoRhTXCTuVgsEghn1rJwZVaWR+pBtMU2&#10;QCNTS6JMgzajeji1qanjhsW1eHpOqMevyv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gYNrNQA&#10;AAAKAQAADwAAAAAAAAABACAAAAAiAAAAZHJzL2Rvd25yZXYueG1sUEsBAhQAFAAAAAgAh07iQFH1&#10;NRRcAgAAnQQAAA4AAAAAAAAAAQAgAAAAIwEAAGRycy9lMm9Eb2MueG1sUEsFBgAAAAAGAAYAWQEA&#10;APEFAAAAAA==&#10;">
                      <v:fill on="t" focussize="0,0"/>
                      <v:stroke on="f" weight="0.5pt"/>
                      <v:imagedata o:title=""/>
                      <o:lock v:ext="edit" aspectratio="f"/>
                      <v:textbox>
                        <w:txbxContent>
                          <w:p w14:paraId="0F7825A4">
                            <w:pPr>
                              <w:spacing w:line="360" w:lineRule="auto"/>
                              <w:ind w:firstLine="0" w:firstLineChars="0"/>
                              <w:jc w:val="center"/>
                              <w:rPr>
                                <w:b/>
                                <w:sz w:val="21"/>
                                <w:szCs w:val="21"/>
                              </w:rPr>
                            </w:pPr>
                            <w:r>
                              <w:rPr>
                                <w:rFonts w:hint="eastAsia"/>
                                <w:b/>
                                <w:sz w:val="21"/>
                                <w:szCs w:val="21"/>
                              </w:rPr>
                              <w:t xml:space="preserve">表3-8  </w:t>
                            </w:r>
                            <w:r>
                              <w:rPr>
                                <w:rFonts w:hint="eastAsia"/>
                                <w:b/>
                                <w:sz w:val="21"/>
                                <w:szCs w:val="21"/>
                                <w:lang w:val="en-US" w:eastAsia="zh-CN"/>
                              </w:rPr>
                              <w:t>废水</w:t>
                            </w:r>
                            <w:r>
                              <w:rPr>
                                <w:rFonts w:hint="eastAsia"/>
                                <w:b/>
                                <w:sz w:val="21"/>
                                <w:szCs w:val="21"/>
                              </w:rPr>
                              <w:t>污染物总量控制指标核算表</w:t>
                            </w:r>
                          </w:p>
                          <w:p w14:paraId="019B01FC"/>
                        </w:txbxContent>
                      </v:textbox>
                    </v:shape>
                  </w:pict>
                </mc:Fallback>
              </mc:AlternateContent>
            </w:r>
            <w:r>
              <w:rPr>
                <w:rFonts w:hint="eastAsia"/>
                <w:sz w:val="21"/>
                <w:szCs w:val="21"/>
                <w:highlight w:val="none"/>
                <w:lang w:val="en-US" w:eastAsia="zh-CN"/>
              </w:rPr>
              <w:t>阴离子表面活性剂</w:t>
            </w:r>
            <w:r>
              <w:rPr>
                <w:rFonts w:hint="eastAsia"/>
                <w:sz w:val="24"/>
                <w:szCs w:val="24"/>
                <w:highlight w:val="none"/>
                <w:lang w:eastAsia="zh-CN"/>
              </w:rPr>
              <w:t>：</w:t>
            </w:r>
            <w:r>
              <w:rPr>
                <w:rFonts w:hint="eastAsia"/>
                <w:highlight w:val="none"/>
                <w:lang w:val="en-US" w:eastAsia="zh-CN"/>
              </w:rPr>
              <w:t>1878.6</w:t>
            </w:r>
            <w:r>
              <w:rPr>
                <w:rFonts w:hint="eastAsia"/>
                <w:sz w:val="24"/>
                <w:szCs w:val="24"/>
                <w:highlight w:val="none"/>
                <w:lang w:val="en-US" w:eastAsia="zh-CN"/>
              </w:rPr>
              <w:t>t/a</w:t>
            </w:r>
            <w:r>
              <w:rPr>
                <w:sz w:val="24"/>
                <w:szCs w:val="24"/>
                <w:highlight w:val="none"/>
              </w:rPr>
              <w:t>×</w:t>
            </w:r>
            <w:r>
              <w:rPr>
                <w:rFonts w:hint="eastAsia"/>
                <w:sz w:val="24"/>
                <w:szCs w:val="24"/>
                <w:highlight w:val="none"/>
                <w:lang w:val="en-US" w:eastAsia="zh-CN"/>
              </w:rPr>
              <w:t>20</w:t>
            </w:r>
            <w:r>
              <w:rPr>
                <w:rFonts w:hint="eastAsia"/>
                <w:sz w:val="24"/>
                <w:szCs w:val="24"/>
                <w:highlight w:val="none"/>
              </w:rPr>
              <w:t>mg/L</w:t>
            </w:r>
            <w:r>
              <w:rPr>
                <w:sz w:val="24"/>
                <w:szCs w:val="24"/>
                <w:highlight w:val="none"/>
              </w:rPr>
              <w:t>÷10</w:t>
            </w:r>
            <w:r>
              <w:rPr>
                <w:rFonts w:hint="eastAsia"/>
                <w:sz w:val="24"/>
                <w:szCs w:val="24"/>
                <w:highlight w:val="none"/>
                <w:vertAlign w:val="superscript"/>
                <w:lang w:val="en-US" w:eastAsia="zh-CN"/>
              </w:rPr>
              <w:t>6</w:t>
            </w:r>
            <w:r>
              <w:rPr>
                <w:sz w:val="24"/>
                <w:szCs w:val="24"/>
                <w:highlight w:val="none"/>
              </w:rPr>
              <w:t>=</w:t>
            </w:r>
            <w:r>
              <w:rPr>
                <w:rFonts w:hint="eastAsia"/>
                <w:sz w:val="24"/>
                <w:szCs w:val="24"/>
                <w:highlight w:val="none"/>
              </w:rPr>
              <w:t>0.</w:t>
            </w:r>
            <w:r>
              <w:rPr>
                <w:rFonts w:hint="eastAsia"/>
                <w:sz w:val="24"/>
                <w:szCs w:val="24"/>
                <w:highlight w:val="none"/>
                <w:lang w:val="en-US" w:eastAsia="zh-CN"/>
              </w:rPr>
              <w:t>0376</w:t>
            </w:r>
            <w:r>
              <w:rPr>
                <w:sz w:val="24"/>
                <w:szCs w:val="24"/>
                <w:highlight w:val="none"/>
              </w:rPr>
              <w:t>t/a</w:t>
            </w:r>
          </w:p>
          <w:tbl>
            <w:tblPr>
              <w:tblStyle w:val="23"/>
              <w:tblpPr w:leftFromText="180" w:rightFromText="180" w:vertAnchor="text" w:horzAnchor="page" w:tblpX="112" w:tblpY="534"/>
              <w:tblOverlap w:val="never"/>
              <w:tblW w:w="81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79"/>
              <w:gridCol w:w="1185"/>
              <w:gridCol w:w="2438"/>
              <w:gridCol w:w="1020"/>
              <w:gridCol w:w="780"/>
              <w:gridCol w:w="1365"/>
            </w:tblGrid>
            <w:tr w14:paraId="5B3D1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6BD91FB1">
                  <w:pPr>
                    <w:widowControl/>
                    <w:spacing w:line="240" w:lineRule="auto"/>
                    <w:ind w:firstLine="0" w:firstLineChars="0"/>
                    <w:jc w:val="center"/>
                    <w:rPr>
                      <w:sz w:val="21"/>
                      <w:szCs w:val="21"/>
                      <w:highlight w:val="none"/>
                    </w:rPr>
                  </w:pPr>
                  <w:r>
                    <w:rPr>
                      <w:rFonts w:hint="eastAsia"/>
                      <w:sz w:val="21"/>
                      <w:szCs w:val="21"/>
                      <w:highlight w:val="none"/>
                    </w:rPr>
                    <w:t>序号</w:t>
                  </w:r>
                </w:p>
              </w:tc>
              <w:tc>
                <w:tcPr>
                  <w:tcW w:w="879" w:type="dxa"/>
                  <w:tcBorders>
                    <w:tl2br w:val="nil"/>
                    <w:tr2bl w:val="nil"/>
                  </w:tcBorders>
                  <w:shd w:val="clear" w:color="auto" w:fill="FFFFFF" w:themeFill="background1"/>
                  <w:vAlign w:val="center"/>
                </w:tcPr>
                <w:p w14:paraId="20184BDA">
                  <w:pPr>
                    <w:widowControl/>
                    <w:spacing w:line="240" w:lineRule="auto"/>
                    <w:ind w:firstLine="0" w:firstLineChars="0"/>
                    <w:jc w:val="center"/>
                    <w:rPr>
                      <w:sz w:val="21"/>
                      <w:szCs w:val="21"/>
                      <w:highlight w:val="none"/>
                    </w:rPr>
                  </w:pPr>
                  <w:r>
                    <w:rPr>
                      <w:rFonts w:hint="eastAsia"/>
                      <w:sz w:val="21"/>
                      <w:szCs w:val="21"/>
                      <w:highlight w:val="none"/>
                      <w:lang w:val="en-US" w:eastAsia="zh-CN"/>
                    </w:rPr>
                    <w:t>排放口</w:t>
                  </w:r>
                  <w:r>
                    <w:rPr>
                      <w:rFonts w:hint="eastAsia"/>
                      <w:sz w:val="21"/>
                      <w:szCs w:val="21"/>
                      <w:highlight w:val="none"/>
                    </w:rPr>
                    <w:t>编号</w:t>
                  </w:r>
                </w:p>
              </w:tc>
              <w:tc>
                <w:tcPr>
                  <w:tcW w:w="1185" w:type="dxa"/>
                  <w:tcBorders>
                    <w:tl2br w:val="nil"/>
                    <w:tr2bl w:val="nil"/>
                  </w:tcBorders>
                  <w:shd w:val="clear" w:color="auto" w:fill="FFFFFF" w:themeFill="background1"/>
                  <w:vAlign w:val="center"/>
                </w:tcPr>
                <w:p w14:paraId="4E9795A1">
                  <w:pPr>
                    <w:widowControl/>
                    <w:spacing w:line="240" w:lineRule="auto"/>
                    <w:ind w:firstLine="0" w:firstLineChars="0"/>
                    <w:jc w:val="center"/>
                    <w:rPr>
                      <w:sz w:val="21"/>
                      <w:szCs w:val="21"/>
                      <w:highlight w:val="none"/>
                    </w:rPr>
                  </w:pPr>
                  <w:r>
                    <w:rPr>
                      <w:rFonts w:hint="eastAsia"/>
                      <w:sz w:val="21"/>
                      <w:szCs w:val="21"/>
                      <w:highlight w:val="none"/>
                    </w:rPr>
                    <w:t>污染物</w:t>
                  </w:r>
                </w:p>
              </w:tc>
              <w:tc>
                <w:tcPr>
                  <w:tcW w:w="2438" w:type="dxa"/>
                  <w:tcBorders>
                    <w:tl2br w:val="nil"/>
                    <w:tr2bl w:val="nil"/>
                  </w:tcBorders>
                  <w:shd w:val="clear" w:color="auto" w:fill="FFFFFF" w:themeFill="background1"/>
                  <w:vAlign w:val="center"/>
                </w:tcPr>
                <w:p w14:paraId="75CDAEEB">
                  <w:pPr>
                    <w:widowControl/>
                    <w:spacing w:line="240" w:lineRule="auto"/>
                    <w:ind w:firstLine="0" w:firstLineChars="0"/>
                    <w:jc w:val="center"/>
                    <w:rPr>
                      <w:sz w:val="21"/>
                      <w:szCs w:val="21"/>
                      <w:highlight w:val="none"/>
                    </w:rPr>
                  </w:pPr>
                  <w:r>
                    <w:rPr>
                      <w:rFonts w:hint="eastAsia"/>
                      <w:sz w:val="21"/>
                      <w:szCs w:val="21"/>
                      <w:highlight w:val="none"/>
                    </w:rPr>
                    <w:t>执行标准</w:t>
                  </w:r>
                </w:p>
              </w:tc>
              <w:tc>
                <w:tcPr>
                  <w:tcW w:w="1020" w:type="dxa"/>
                  <w:tcBorders>
                    <w:tl2br w:val="nil"/>
                    <w:tr2bl w:val="nil"/>
                  </w:tcBorders>
                  <w:shd w:val="clear" w:color="auto" w:fill="FFFFFF" w:themeFill="background1"/>
                  <w:vAlign w:val="center"/>
                </w:tcPr>
                <w:p w14:paraId="0D1F8935">
                  <w:pPr>
                    <w:widowControl/>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rPr>
                    <w:t>标准值</w:t>
                  </w:r>
                </w:p>
              </w:tc>
              <w:tc>
                <w:tcPr>
                  <w:tcW w:w="780" w:type="dxa"/>
                  <w:tcBorders>
                    <w:tl2br w:val="nil"/>
                    <w:tr2bl w:val="nil"/>
                  </w:tcBorders>
                  <w:shd w:val="clear" w:color="auto" w:fill="FFFFFF" w:themeFill="background1"/>
                  <w:vAlign w:val="center"/>
                </w:tcPr>
                <w:p w14:paraId="27B864AF">
                  <w:pPr>
                    <w:widowControl/>
                    <w:spacing w:line="240" w:lineRule="auto"/>
                    <w:ind w:firstLine="0" w:firstLineChars="0"/>
                    <w:jc w:val="center"/>
                    <w:rPr>
                      <w:sz w:val="21"/>
                      <w:szCs w:val="21"/>
                      <w:highlight w:val="none"/>
                    </w:rPr>
                  </w:pPr>
                  <w:r>
                    <w:rPr>
                      <w:rFonts w:hint="eastAsia"/>
                      <w:sz w:val="21"/>
                      <w:szCs w:val="21"/>
                      <w:highlight w:val="none"/>
                    </w:rPr>
                    <w:t>废</w:t>
                  </w:r>
                  <w:r>
                    <w:rPr>
                      <w:rFonts w:hint="eastAsia"/>
                      <w:sz w:val="21"/>
                      <w:szCs w:val="21"/>
                      <w:highlight w:val="none"/>
                      <w:lang w:val="en-US" w:eastAsia="zh-CN"/>
                    </w:rPr>
                    <w:t>水</w:t>
                  </w:r>
                  <w:r>
                    <w:rPr>
                      <w:rFonts w:hint="eastAsia"/>
                      <w:sz w:val="21"/>
                      <w:szCs w:val="21"/>
                      <w:highlight w:val="none"/>
                    </w:rPr>
                    <w:t>量</w:t>
                  </w:r>
                </w:p>
              </w:tc>
              <w:tc>
                <w:tcPr>
                  <w:tcW w:w="1365" w:type="dxa"/>
                  <w:tcBorders>
                    <w:tl2br w:val="nil"/>
                    <w:tr2bl w:val="nil"/>
                  </w:tcBorders>
                  <w:shd w:val="clear" w:color="auto" w:fill="FFFFFF" w:themeFill="background1"/>
                  <w:vAlign w:val="center"/>
                </w:tcPr>
                <w:p w14:paraId="340D2BEE">
                  <w:pPr>
                    <w:widowControl/>
                    <w:spacing w:line="240" w:lineRule="auto"/>
                    <w:ind w:firstLine="0" w:firstLineChars="0"/>
                    <w:jc w:val="center"/>
                    <w:rPr>
                      <w:sz w:val="21"/>
                      <w:szCs w:val="21"/>
                      <w:highlight w:val="none"/>
                    </w:rPr>
                  </w:pPr>
                  <w:r>
                    <w:rPr>
                      <w:rFonts w:hint="eastAsia"/>
                      <w:sz w:val="21"/>
                      <w:szCs w:val="21"/>
                      <w:highlight w:val="none"/>
                    </w:rPr>
                    <w:t>总量指标</w:t>
                  </w:r>
                </w:p>
              </w:tc>
            </w:tr>
            <w:tr w14:paraId="43D30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5260D4D4">
                  <w:pPr>
                    <w:widowControl/>
                    <w:spacing w:line="240" w:lineRule="auto"/>
                    <w:ind w:firstLine="0" w:firstLineChars="0"/>
                    <w:jc w:val="center"/>
                    <w:rPr>
                      <w:sz w:val="21"/>
                      <w:szCs w:val="21"/>
                      <w:highlight w:val="none"/>
                    </w:rPr>
                  </w:pPr>
                  <w:r>
                    <w:rPr>
                      <w:rFonts w:hint="eastAsia"/>
                      <w:sz w:val="21"/>
                      <w:szCs w:val="21"/>
                      <w:highlight w:val="none"/>
                    </w:rPr>
                    <w:t>1</w:t>
                  </w:r>
                </w:p>
              </w:tc>
              <w:tc>
                <w:tcPr>
                  <w:tcW w:w="879" w:type="dxa"/>
                  <w:vMerge w:val="restart"/>
                  <w:tcBorders>
                    <w:tl2br w:val="nil"/>
                    <w:tr2bl w:val="nil"/>
                  </w:tcBorders>
                  <w:shd w:val="clear" w:color="auto" w:fill="FFFFFF" w:themeFill="background1"/>
                  <w:vAlign w:val="center"/>
                </w:tcPr>
                <w:p w14:paraId="11CF27EB">
                  <w:pPr>
                    <w:widowControl/>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1#</w:t>
                  </w:r>
                </w:p>
              </w:tc>
              <w:tc>
                <w:tcPr>
                  <w:tcW w:w="1185" w:type="dxa"/>
                  <w:tcBorders>
                    <w:tl2br w:val="nil"/>
                    <w:tr2bl w:val="nil"/>
                  </w:tcBorders>
                  <w:shd w:val="clear" w:color="auto" w:fill="FFFFFF" w:themeFill="background1"/>
                  <w:vAlign w:val="center"/>
                </w:tcPr>
                <w:p w14:paraId="21B0B241">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pH</w:t>
                  </w:r>
                </w:p>
              </w:tc>
              <w:tc>
                <w:tcPr>
                  <w:tcW w:w="2438" w:type="dxa"/>
                  <w:vMerge w:val="restart"/>
                  <w:tcBorders>
                    <w:tl2br w:val="nil"/>
                    <w:tr2bl w:val="nil"/>
                  </w:tcBorders>
                  <w:shd w:val="clear" w:color="auto" w:fill="FFFFFF" w:themeFill="background1"/>
                  <w:vAlign w:val="center"/>
                </w:tcPr>
                <w:p w14:paraId="73C81A20">
                  <w:pPr>
                    <w:widowControl/>
                    <w:spacing w:line="240" w:lineRule="auto"/>
                    <w:ind w:firstLine="0" w:firstLineChars="0"/>
                    <w:jc w:val="center"/>
                    <w:rPr>
                      <w:sz w:val="21"/>
                      <w:szCs w:val="21"/>
                      <w:highlight w:val="none"/>
                    </w:rPr>
                  </w:pPr>
                  <w:r>
                    <w:rPr>
                      <w:rFonts w:hint="eastAsia"/>
                      <w:bCs/>
                      <w:sz w:val="21"/>
                      <w:szCs w:val="21"/>
                      <w:highlight w:val="none"/>
                    </w:rPr>
                    <w:t>同时满足《污水综合排放标准》（</w:t>
                  </w:r>
                  <w:r>
                    <w:rPr>
                      <w:bCs/>
                      <w:sz w:val="21"/>
                      <w:szCs w:val="21"/>
                      <w:highlight w:val="none"/>
                    </w:rPr>
                    <w:t>GB8978-1996</w:t>
                  </w:r>
                  <w:r>
                    <w:rPr>
                      <w:rFonts w:hint="eastAsia"/>
                      <w:bCs/>
                      <w:sz w:val="21"/>
                      <w:szCs w:val="21"/>
                      <w:highlight w:val="none"/>
                    </w:rPr>
                    <w:t>）表4中三级限值、《污水排入城镇下水道水质标准》（</w:t>
                  </w:r>
                  <w:r>
                    <w:rPr>
                      <w:bCs/>
                      <w:sz w:val="21"/>
                      <w:szCs w:val="21"/>
                      <w:highlight w:val="none"/>
                    </w:rPr>
                    <w:t>GB/T31962-2015</w:t>
                  </w:r>
                  <w:r>
                    <w:rPr>
                      <w:rFonts w:hint="eastAsia"/>
                      <w:bCs/>
                      <w:sz w:val="21"/>
                      <w:szCs w:val="21"/>
                      <w:highlight w:val="none"/>
                    </w:rPr>
                    <w:t>）A级水质要求和园区污水处理厂进水水质要求</w:t>
                  </w:r>
                </w:p>
              </w:tc>
              <w:tc>
                <w:tcPr>
                  <w:tcW w:w="1020" w:type="dxa"/>
                  <w:tcBorders>
                    <w:tl2br w:val="nil"/>
                    <w:tr2bl w:val="nil"/>
                  </w:tcBorders>
                  <w:shd w:val="clear" w:color="auto" w:fill="FFFFFF" w:themeFill="background1"/>
                  <w:vAlign w:val="center"/>
                </w:tcPr>
                <w:p w14:paraId="45CB1F51">
                  <w:pPr>
                    <w:widowControl/>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rPr>
                    <w:t>6.5-8.5</w:t>
                  </w:r>
                </w:p>
              </w:tc>
              <w:tc>
                <w:tcPr>
                  <w:tcW w:w="780" w:type="dxa"/>
                  <w:vMerge w:val="restart"/>
                  <w:tcBorders>
                    <w:tl2br w:val="nil"/>
                    <w:tr2bl w:val="nil"/>
                  </w:tcBorders>
                  <w:shd w:val="clear" w:color="auto" w:fill="FFFFFF" w:themeFill="background1"/>
                  <w:vAlign w:val="center"/>
                </w:tcPr>
                <w:p w14:paraId="35F1AE5C">
                  <w:pPr>
                    <w:widowControl/>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1878.6t/a</w:t>
                  </w:r>
                </w:p>
              </w:tc>
              <w:tc>
                <w:tcPr>
                  <w:tcW w:w="1365" w:type="dxa"/>
                  <w:tcBorders>
                    <w:tl2br w:val="nil"/>
                    <w:tr2bl w:val="nil"/>
                  </w:tcBorders>
                  <w:shd w:val="clear" w:color="auto" w:fill="FFFFFF" w:themeFill="background1"/>
                  <w:vAlign w:val="center"/>
                </w:tcPr>
                <w:p w14:paraId="4B7BD89F">
                  <w:pPr>
                    <w:widowControl/>
                    <w:spacing w:line="240" w:lineRule="auto"/>
                    <w:ind w:firstLine="0" w:firstLineChars="0"/>
                    <w:jc w:val="center"/>
                    <w:rPr>
                      <w:sz w:val="21"/>
                      <w:szCs w:val="21"/>
                      <w:highlight w:val="none"/>
                    </w:rPr>
                  </w:pPr>
                  <w:r>
                    <w:rPr>
                      <w:rFonts w:hint="eastAsia"/>
                      <w:sz w:val="21"/>
                      <w:szCs w:val="21"/>
                      <w:highlight w:val="none"/>
                    </w:rPr>
                    <w:t>6.5-8.5</w:t>
                  </w:r>
                </w:p>
              </w:tc>
            </w:tr>
            <w:tr w14:paraId="44071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vMerge w:val="restart"/>
                  <w:tcBorders>
                    <w:tl2br w:val="nil"/>
                    <w:tr2bl w:val="nil"/>
                  </w:tcBorders>
                  <w:shd w:val="clear" w:color="auto" w:fill="FFFFFF" w:themeFill="background1"/>
                  <w:vAlign w:val="center"/>
                </w:tcPr>
                <w:p w14:paraId="2ED3990C">
                  <w:pPr>
                    <w:widowControl/>
                    <w:spacing w:line="240" w:lineRule="auto"/>
                    <w:ind w:firstLine="0" w:firstLineChars="0"/>
                    <w:jc w:val="center"/>
                    <w:rPr>
                      <w:sz w:val="21"/>
                      <w:szCs w:val="21"/>
                      <w:highlight w:val="none"/>
                    </w:rPr>
                  </w:pPr>
                  <w:r>
                    <w:rPr>
                      <w:rFonts w:hint="eastAsia"/>
                      <w:sz w:val="21"/>
                      <w:szCs w:val="21"/>
                      <w:highlight w:val="none"/>
                    </w:rPr>
                    <w:t>2</w:t>
                  </w:r>
                </w:p>
              </w:tc>
              <w:tc>
                <w:tcPr>
                  <w:tcW w:w="879" w:type="dxa"/>
                  <w:vMerge w:val="continue"/>
                  <w:tcBorders>
                    <w:tl2br w:val="nil"/>
                    <w:tr2bl w:val="nil"/>
                  </w:tcBorders>
                  <w:shd w:val="clear" w:color="auto" w:fill="FFFFFF" w:themeFill="background1"/>
                  <w:vAlign w:val="center"/>
                </w:tcPr>
                <w:p w14:paraId="25FA9F48">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top"/>
                </w:tcPr>
                <w:p w14:paraId="4F65A01F">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COD</w:t>
                  </w:r>
                </w:p>
              </w:tc>
              <w:tc>
                <w:tcPr>
                  <w:tcW w:w="2438" w:type="dxa"/>
                  <w:vMerge w:val="continue"/>
                  <w:tcBorders>
                    <w:tl2br w:val="nil"/>
                    <w:tr2bl w:val="nil"/>
                  </w:tcBorders>
                  <w:shd w:val="clear" w:color="auto" w:fill="FFFFFF" w:themeFill="background1"/>
                  <w:vAlign w:val="center"/>
                </w:tcPr>
                <w:p w14:paraId="59C31276">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top"/>
                </w:tcPr>
                <w:p w14:paraId="49046DED">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350mg/L</w:t>
                  </w:r>
                </w:p>
              </w:tc>
              <w:tc>
                <w:tcPr>
                  <w:tcW w:w="780" w:type="dxa"/>
                  <w:vMerge w:val="continue"/>
                  <w:tcBorders>
                    <w:tl2br w:val="nil"/>
                    <w:tr2bl w:val="nil"/>
                  </w:tcBorders>
                  <w:shd w:val="clear" w:color="auto" w:fill="FFFFFF" w:themeFill="background1"/>
                  <w:vAlign w:val="center"/>
                </w:tcPr>
                <w:p w14:paraId="534C2D9C">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7D4E3CF7">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0.</w:t>
                  </w:r>
                  <w:r>
                    <w:rPr>
                      <w:rFonts w:hint="eastAsia"/>
                      <w:sz w:val="21"/>
                      <w:szCs w:val="21"/>
                      <w:highlight w:val="none"/>
                      <w:lang w:val="en-US" w:eastAsia="zh-CN"/>
                    </w:rPr>
                    <w:t>6575</w:t>
                  </w:r>
                  <w:r>
                    <w:rPr>
                      <w:rFonts w:hint="eastAsia"/>
                      <w:highlight w:val="none"/>
                    </w:rPr>
                    <w:t>t/a</w:t>
                  </w:r>
                </w:p>
              </w:tc>
            </w:tr>
            <w:tr w14:paraId="40351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vMerge w:val="continue"/>
                  <w:tcBorders>
                    <w:tl2br w:val="nil"/>
                    <w:tr2bl w:val="nil"/>
                  </w:tcBorders>
                  <w:shd w:val="clear" w:color="auto" w:fill="FFFFFF" w:themeFill="background1"/>
                  <w:vAlign w:val="center"/>
                </w:tcPr>
                <w:p w14:paraId="6427F573">
                  <w:pPr>
                    <w:widowControl/>
                    <w:spacing w:line="240" w:lineRule="auto"/>
                    <w:ind w:firstLine="0" w:firstLineChars="0"/>
                    <w:jc w:val="center"/>
                    <w:rPr>
                      <w:sz w:val="21"/>
                      <w:szCs w:val="21"/>
                      <w:highlight w:val="none"/>
                    </w:rPr>
                  </w:pPr>
                </w:p>
              </w:tc>
              <w:tc>
                <w:tcPr>
                  <w:tcW w:w="879" w:type="dxa"/>
                  <w:vMerge w:val="continue"/>
                  <w:tcBorders>
                    <w:tl2br w:val="nil"/>
                    <w:tr2bl w:val="nil"/>
                  </w:tcBorders>
                  <w:shd w:val="clear" w:color="auto" w:fill="FFFFFF" w:themeFill="background1"/>
                  <w:vAlign w:val="center"/>
                </w:tcPr>
                <w:p w14:paraId="644CB8B0">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top"/>
                </w:tcPr>
                <w:p w14:paraId="0C1D1C40">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SS</w:t>
                  </w:r>
                </w:p>
              </w:tc>
              <w:tc>
                <w:tcPr>
                  <w:tcW w:w="2438" w:type="dxa"/>
                  <w:vMerge w:val="continue"/>
                  <w:tcBorders>
                    <w:tl2br w:val="nil"/>
                    <w:tr2bl w:val="nil"/>
                  </w:tcBorders>
                  <w:shd w:val="clear" w:color="auto" w:fill="FFFFFF" w:themeFill="background1"/>
                  <w:vAlign w:val="center"/>
                </w:tcPr>
                <w:p w14:paraId="6BBF5509">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top"/>
                </w:tcPr>
                <w:p w14:paraId="57E53A94">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250mg/L</w:t>
                  </w:r>
                </w:p>
              </w:tc>
              <w:tc>
                <w:tcPr>
                  <w:tcW w:w="780" w:type="dxa"/>
                  <w:vMerge w:val="continue"/>
                  <w:tcBorders>
                    <w:tl2br w:val="nil"/>
                    <w:tr2bl w:val="nil"/>
                  </w:tcBorders>
                  <w:shd w:val="clear" w:color="auto" w:fill="FFFFFF" w:themeFill="background1"/>
                  <w:vAlign w:val="center"/>
                </w:tcPr>
                <w:p w14:paraId="60CD354A">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09DB01DA">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0.</w:t>
                  </w:r>
                  <w:r>
                    <w:rPr>
                      <w:rFonts w:hint="eastAsia"/>
                      <w:sz w:val="21"/>
                      <w:szCs w:val="21"/>
                      <w:highlight w:val="none"/>
                      <w:lang w:val="en-US" w:eastAsia="zh-CN"/>
                    </w:rPr>
                    <w:t>4697</w:t>
                  </w:r>
                  <w:r>
                    <w:rPr>
                      <w:rFonts w:hint="eastAsia"/>
                      <w:highlight w:val="none"/>
                    </w:rPr>
                    <w:t>t/a</w:t>
                  </w:r>
                </w:p>
              </w:tc>
            </w:tr>
            <w:tr w14:paraId="7AE22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5378F802">
                  <w:pPr>
                    <w:widowControl/>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lang w:val="en-US" w:eastAsia="zh-CN"/>
                    </w:rPr>
                    <w:t>3</w:t>
                  </w:r>
                </w:p>
              </w:tc>
              <w:tc>
                <w:tcPr>
                  <w:tcW w:w="879" w:type="dxa"/>
                  <w:vMerge w:val="continue"/>
                  <w:tcBorders>
                    <w:tl2br w:val="nil"/>
                    <w:tr2bl w:val="nil"/>
                  </w:tcBorders>
                  <w:shd w:val="clear" w:color="auto" w:fill="FFFFFF" w:themeFill="background1"/>
                  <w:vAlign w:val="center"/>
                </w:tcPr>
                <w:p w14:paraId="4E514DC1">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top"/>
                </w:tcPr>
                <w:p w14:paraId="75015F06">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BOD</w:t>
                  </w:r>
                  <w:r>
                    <w:rPr>
                      <w:rFonts w:hint="eastAsia"/>
                      <w:sz w:val="21"/>
                      <w:szCs w:val="21"/>
                      <w:highlight w:val="none"/>
                      <w:vertAlign w:val="subscript"/>
                    </w:rPr>
                    <w:t>5</w:t>
                  </w:r>
                </w:p>
              </w:tc>
              <w:tc>
                <w:tcPr>
                  <w:tcW w:w="2438" w:type="dxa"/>
                  <w:vMerge w:val="continue"/>
                  <w:tcBorders>
                    <w:tl2br w:val="nil"/>
                    <w:tr2bl w:val="nil"/>
                  </w:tcBorders>
                  <w:shd w:val="clear" w:color="auto" w:fill="FFFFFF" w:themeFill="background1"/>
                  <w:vAlign w:val="center"/>
                </w:tcPr>
                <w:p w14:paraId="4FFC4A3D">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top"/>
                </w:tcPr>
                <w:p w14:paraId="3F912A45">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200mg/L</w:t>
                  </w:r>
                </w:p>
              </w:tc>
              <w:tc>
                <w:tcPr>
                  <w:tcW w:w="780" w:type="dxa"/>
                  <w:vMerge w:val="continue"/>
                  <w:tcBorders>
                    <w:tl2br w:val="nil"/>
                    <w:tr2bl w:val="nil"/>
                  </w:tcBorders>
                  <w:shd w:val="clear" w:color="auto" w:fill="FFFFFF" w:themeFill="background1"/>
                  <w:vAlign w:val="center"/>
                </w:tcPr>
                <w:p w14:paraId="2CDC56EA">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4DF4C1F1">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0.</w:t>
                  </w:r>
                  <w:r>
                    <w:rPr>
                      <w:rFonts w:hint="eastAsia"/>
                      <w:sz w:val="21"/>
                      <w:szCs w:val="21"/>
                      <w:highlight w:val="none"/>
                      <w:lang w:val="en-US" w:eastAsia="zh-CN"/>
                    </w:rPr>
                    <w:t>3757</w:t>
                  </w:r>
                  <w:r>
                    <w:rPr>
                      <w:rFonts w:hint="eastAsia"/>
                      <w:highlight w:val="none"/>
                    </w:rPr>
                    <w:t>t/a</w:t>
                  </w:r>
                </w:p>
              </w:tc>
            </w:tr>
            <w:tr w14:paraId="1896E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2112EFB6">
                  <w:pPr>
                    <w:widowControl/>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lang w:val="en-US" w:eastAsia="zh-CN"/>
                    </w:rPr>
                    <w:t>4</w:t>
                  </w:r>
                </w:p>
              </w:tc>
              <w:tc>
                <w:tcPr>
                  <w:tcW w:w="879" w:type="dxa"/>
                  <w:vMerge w:val="continue"/>
                  <w:tcBorders>
                    <w:tl2br w:val="nil"/>
                    <w:tr2bl w:val="nil"/>
                  </w:tcBorders>
                  <w:shd w:val="clear" w:color="auto" w:fill="FFFFFF" w:themeFill="background1"/>
                  <w:vAlign w:val="center"/>
                </w:tcPr>
                <w:p w14:paraId="25CF8D15">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center"/>
                </w:tcPr>
                <w:p w14:paraId="2C747A5D">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动植物油</w:t>
                  </w:r>
                </w:p>
              </w:tc>
              <w:tc>
                <w:tcPr>
                  <w:tcW w:w="2438" w:type="dxa"/>
                  <w:vMerge w:val="continue"/>
                  <w:tcBorders>
                    <w:tl2br w:val="nil"/>
                    <w:tr2bl w:val="nil"/>
                  </w:tcBorders>
                  <w:shd w:val="clear" w:color="auto" w:fill="FFFFFF" w:themeFill="background1"/>
                  <w:vAlign w:val="center"/>
                </w:tcPr>
                <w:p w14:paraId="147440E9">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center"/>
                </w:tcPr>
                <w:p w14:paraId="54D73E2D">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100mg/L</w:t>
                  </w:r>
                </w:p>
              </w:tc>
              <w:tc>
                <w:tcPr>
                  <w:tcW w:w="780" w:type="dxa"/>
                  <w:vMerge w:val="continue"/>
                  <w:tcBorders>
                    <w:tl2br w:val="nil"/>
                    <w:tr2bl w:val="nil"/>
                  </w:tcBorders>
                  <w:shd w:val="clear" w:color="auto" w:fill="FFFFFF" w:themeFill="background1"/>
                  <w:vAlign w:val="center"/>
                </w:tcPr>
                <w:p w14:paraId="29FA8F6E">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70BCCB7B">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0.1879</w:t>
                  </w:r>
                  <w:r>
                    <w:rPr>
                      <w:rFonts w:hint="eastAsia"/>
                      <w:highlight w:val="none"/>
                    </w:rPr>
                    <w:t>t/a</w:t>
                  </w:r>
                </w:p>
              </w:tc>
            </w:tr>
            <w:tr w14:paraId="63604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609BC770">
                  <w:pPr>
                    <w:widowControl/>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lang w:val="en-US" w:eastAsia="zh-CN"/>
                    </w:rPr>
                    <w:t>5</w:t>
                  </w:r>
                </w:p>
              </w:tc>
              <w:tc>
                <w:tcPr>
                  <w:tcW w:w="879" w:type="dxa"/>
                  <w:vMerge w:val="continue"/>
                  <w:tcBorders>
                    <w:tl2br w:val="nil"/>
                    <w:tr2bl w:val="nil"/>
                  </w:tcBorders>
                  <w:shd w:val="clear" w:color="auto" w:fill="FFFFFF" w:themeFill="background1"/>
                  <w:vAlign w:val="center"/>
                </w:tcPr>
                <w:p w14:paraId="649F702E">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center"/>
                </w:tcPr>
                <w:p w14:paraId="29137106">
                  <w:pPr>
                    <w:widowControl/>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石油类</w:t>
                  </w:r>
                </w:p>
              </w:tc>
              <w:tc>
                <w:tcPr>
                  <w:tcW w:w="2438" w:type="dxa"/>
                  <w:vMerge w:val="continue"/>
                  <w:tcBorders>
                    <w:tl2br w:val="nil"/>
                    <w:tr2bl w:val="nil"/>
                  </w:tcBorders>
                  <w:shd w:val="clear" w:color="auto" w:fill="FFFFFF" w:themeFill="background1"/>
                  <w:vAlign w:val="center"/>
                </w:tcPr>
                <w:p w14:paraId="6905B8FC">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center"/>
                </w:tcPr>
                <w:p w14:paraId="3C9479D4">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30</w:t>
                  </w:r>
                  <w:r>
                    <w:rPr>
                      <w:rFonts w:hint="eastAsia"/>
                      <w:sz w:val="21"/>
                      <w:szCs w:val="21"/>
                      <w:highlight w:val="none"/>
                    </w:rPr>
                    <w:t>mg/L</w:t>
                  </w:r>
                </w:p>
              </w:tc>
              <w:tc>
                <w:tcPr>
                  <w:tcW w:w="780" w:type="dxa"/>
                  <w:vMerge w:val="continue"/>
                  <w:tcBorders>
                    <w:tl2br w:val="nil"/>
                    <w:tr2bl w:val="nil"/>
                  </w:tcBorders>
                  <w:shd w:val="clear" w:color="auto" w:fill="FFFFFF" w:themeFill="background1"/>
                  <w:vAlign w:val="center"/>
                </w:tcPr>
                <w:p w14:paraId="7A93FA1B">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5085334E">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0.0564</w:t>
                  </w:r>
                  <w:r>
                    <w:rPr>
                      <w:rFonts w:hint="eastAsia"/>
                      <w:highlight w:val="none"/>
                    </w:rPr>
                    <w:t>t/a</w:t>
                  </w:r>
                </w:p>
              </w:tc>
            </w:tr>
            <w:tr w14:paraId="634DE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696C0480">
                  <w:pPr>
                    <w:widowControl/>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lang w:val="en-US" w:eastAsia="zh-CN"/>
                    </w:rPr>
                    <w:t>6</w:t>
                  </w:r>
                </w:p>
              </w:tc>
              <w:tc>
                <w:tcPr>
                  <w:tcW w:w="879" w:type="dxa"/>
                  <w:vMerge w:val="continue"/>
                  <w:tcBorders>
                    <w:tl2br w:val="nil"/>
                    <w:tr2bl w:val="nil"/>
                  </w:tcBorders>
                  <w:shd w:val="clear" w:color="auto" w:fill="FFFFFF" w:themeFill="background1"/>
                  <w:vAlign w:val="center"/>
                </w:tcPr>
                <w:p w14:paraId="39E5D5F8">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top"/>
                </w:tcPr>
                <w:p w14:paraId="2A037C6C">
                  <w:pPr>
                    <w:widowControl/>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氨氮</w:t>
                  </w:r>
                </w:p>
              </w:tc>
              <w:tc>
                <w:tcPr>
                  <w:tcW w:w="2438" w:type="dxa"/>
                  <w:vMerge w:val="continue"/>
                  <w:tcBorders>
                    <w:tl2br w:val="nil"/>
                    <w:tr2bl w:val="nil"/>
                  </w:tcBorders>
                  <w:shd w:val="clear" w:color="auto" w:fill="FFFFFF" w:themeFill="background1"/>
                  <w:vAlign w:val="center"/>
                </w:tcPr>
                <w:p w14:paraId="4FDBA6E3">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top"/>
                </w:tcPr>
                <w:p w14:paraId="507EA0E4">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35mg/L</w:t>
                  </w:r>
                </w:p>
              </w:tc>
              <w:tc>
                <w:tcPr>
                  <w:tcW w:w="780" w:type="dxa"/>
                  <w:vMerge w:val="continue"/>
                  <w:tcBorders>
                    <w:tl2br w:val="nil"/>
                    <w:tr2bl w:val="nil"/>
                  </w:tcBorders>
                  <w:shd w:val="clear" w:color="auto" w:fill="FFFFFF" w:themeFill="background1"/>
                  <w:vAlign w:val="center"/>
                </w:tcPr>
                <w:p w14:paraId="22B11F54">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55BE8C4A">
                  <w:pPr>
                    <w:widowControl/>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0.0658</w:t>
                  </w:r>
                  <w:r>
                    <w:rPr>
                      <w:rFonts w:hint="eastAsia"/>
                      <w:highlight w:val="none"/>
                    </w:rPr>
                    <w:t>t/a</w:t>
                  </w:r>
                </w:p>
              </w:tc>
            </w:tr>
            <w:tr w14:paraId="207FF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5" w:type="dxa"/>
                  <w:tcBorders>
                    <w:tl2br w:val="nil"/>
                    <w:tr2bl w:val="nil"/>
                  </w:tcBorders>
                  <w:shd w:val="clear" w:color="auto" w:fill="FFFFFF" w:themeFill="background1"/>
                  <w:vAlign w:val="center"/>
                </w:tcPr>
                <w:p w14:paraId="31862EFA">
                  <w:pPr>
                    <w:widowControl/>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lang w:val="en-US" w:eastAsia="zh-CN"/>
                    </w:rPr>
                    <w:t>7</w:t>
                  </w:r>
                </w:p>
              </w:tc>
              <w:tc>
                <w:tcPr>
                  <w:tcW w:w="879" w:type="dxa"/>
                  <w:vMerge w:val="continue"/>
                  <w:tcBorders>
                    <w:tl2br w:val="nil"/>
                    <w:tr2bl w:val="nil"/>
                  </w:tcBorders>
                  <w:shd w:val="clear" w:color="auto" w:fill="FFFFFF" w:themeFill="background1"/>
                  <w:vAlign w:val="center"/>
                </w:tcPr>
                <w:p w14:paraId="10A9BB7F">
                  <w:pPr>
                    <w:widowControl/>
                    <w:spacing w:line="240" w:lineRule="auto"/>
                    <w:ind w:firstLine="0" w:firstLineChars="0"/>
                    <w:jc w:val="center"/>
                    <w:rPr>
                      <w:sz w:val="21"/>
                      <w:szCs w:val="21"/>
                      <w:highlight w:val="none"/>
                    </w:rPr>
                  </w:pPr>
                </w:p>
              </w:tc>
              <w:tc>
                <w:tcPr>
                  <w:tcW w:w="1185" w:type="dxa"/>
                  <w:tcBorders>
                    <w:tl2br w:val="nil"/>
                    <w:tr2bl w:val="nil"/>
                  </w:tcBorders>
                  <w:shd w:val="clear" w:color="auto" w:fill="FFFFFF" w:themeFill="background1"/>
                  <w:vAlign w:val="center"/>
                </w:tcPr>
                <w:p w14:paraId="61DF8ED7">
                  <w:pPr>
                    <w:widowControl/>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阴离子表面活性剂</w:t>
                  </w:r>
                </w:p>
              </w:tc>
              <w:tc>
                <w:tcPr>
                  <w:tcW w:w="2438" w:type="dxa"/>
                  <w:vMerge w:val="continue"/>
                  <w:tcBorders>
                    <w:tl2br w:val="nil"/>
                    <w:tr2bl w:val="nil"/>
                  </w:tcBorders>
                  <w:shd w:val="clear" w:color="auto" w:fill="FFFFFF" w:themeFill="background1"/>
                  <w:vAlign w:val="center"/>
                </w:tcPr>
                <w:p w14:paraId="7F594BF6">
                  <w:pPr>
                    <w:widowControl/>
                    <w:spacing w:line="240" w:lineRule="auto"/>
                    <w:ind w:firstLine="0" w:firstLineChars="0"/>
                    <w:jc w:val="center"/>
                    <w:rPr>
                      <w:sz w:val="21"/>
                      <w:szCs w:val="21"/>
                      <w:highlight w:val="none"/>
                    </w:rPr>
                  </w:pPr>
                </w:p>
              </w:tc>
              <w:tc>
                <w:tcPr>
                  <w:tcW w:w="1020" w:type="dxa"/>
                  <w:tcBorders>
                    <w:tl2br w:val="nil"/>
                    <w:tr2bl w:val="nil"/>
                  </w:tcBorders>
                  <w:shd w:val="clear" w:color="auto" w:fill="FFFFFF" w:themeFill="background1"/>
                  <w:vAlign w:val="center"/>
                </w:tcPr>
                <w:p w14:paraId="30028E8D">
                  <w:pPr>
                    <w:widowControl/>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20</w:t>
                  </w:r>
                  <w:r>
                    <w:rPr>
                      <w:rFonts w:hint="eastAsia"/>
                      <w:sz w:val="21"/>
                      <w:szCs w:val="21"/>
                      <w:highlight w:val="none"/>
                    </w:rPr>
                    <w:t>mg/L</w:t>
                  </w:r>
                </w:p>
              </w:tc>
              <w:tc>
                <w:tcPr>
                  <w:tcW w:w="780" w:type="dxa"/>
                  <w:vMerge w:val="continue"/>
                  <w:tcBorders>
                    <w:tl2br w:val="nil"/>
                    <w:tr2bl w:val="nil"/>
                  </w:tcBorders>
                  <w:shd w:val="clear" w:color="auto" w:fill="FFFFFF" w:themeFill="background1"/>
                  <w:vAlign w:val="center"/>
                </w:tcPr>
                <w:p w14:paraId="223488B9">
                  <w:pPr>
                    <w:widowControl/>
                    <w:spacing w:line="240" w:lineRule="auto"/>
                    <w:ind w:firstLine="0" w:firstLineChars="0"/>
                    <w:jc w:val="center"/>
                    <w:rPr>
                      <w:sz w:val="21"/>
                      <w:szCs w:val="21"/>
                      <w:highlight w:val="none"/>
                    </w:rPr>
                  </w:pPr>
                </w:p>
              </w:tc>
              <w:tc>
                <w:tcPr>
                  <w:tcW w:w="1365" w:type="dxa"/>
                  <w:tcBorders>
                    <w:tl2br w:val="nil"/>
                    <w:tr2bl w:val="nil"/>
                  </w:tcBorders>
                  <w:shd w:val="clear" w:color="auto" w:fill="FFFFFF" w:themeFill="background1"/>
                  <w:vAlign w:val="center"/>
                </w:tcPr>
                <w:p w14:paraId="41AD13CB">
                  <w:pPr>
                    <w:widowControl/>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0.0376</w:t>
                  </w:r>
                  <w:r>
                    <w:rPr>
                      <w:rFonts w:hint="eastAsia"/>
                      <w:highlight w:val="none"/>
                    </w:rPr>
                    <w:t>t/a</w:t>
                  </w:r>
                </w:p>
              </w:tc>
            </w:tr>
          </w:tbl>
          <w:p w14:paraId="33BD8AEA">
            <w:pPr>
              <w:pStyle w:val="13"/>
              <w:spacing w:after="0" w:line="480" w:lineRule="atLeast"/>
              <w:ind w:left="0" w:leftChars="0" w:right="1680" w:firstLine="480"/>
            </w:pPr>
            <w:r>
              <w:rPr>
                <w:rFonts w:hint="eastAsia"/>
              </w:rPr>
              <w:t>2、废气根据排放标准核定排放量：</w:t>
            </w:r>
          </w:p>
          <w:p w14:paraId="3E0281A5">
            <w:pPr>
              <w:pStyle w:val="13"/>
              <w:spacing w:after="0" w:line="480" w:lineRule="atLeast"/>
              <w:ind w:left="0" w:leftChars="0" w:right="0" w:rightChars="0" w:firstLine="480"/>
            </w:pPr>
            <w:r>
              <w:rPr>
                <w:rFonts w:hint="eastAsia"/>
                <w:lang w:val="en-US" w:eastAsia="zh-CN"/>
              </w:rPr>
              <w:t>废气</w:t>
            </w:r>
            <w:r>
              <w:rPr>
                <w:rFonts w:hint="eastAsia"/>
              </w:rPr>
              <w:t>计算结果和计算依据如下：</w:t>
            </w:r>
          </w:p>
          <w:p w14:paraId="34D32992">
            <w:pPr>
              <w:pStyle w:val="13"/>
              <w:spacing w:after="0" w:line="480" w:lineRule="atLeast"/>
              <w:ind w:left="0" w:leftChars="0" w:right="0" w:rightChars="0" w:firstLine="480"/>
            </w:pPr>
            <w:r>
              <w:rPr>
                <w:rFonts w:hint="eastAsia"/>
              </w:rPr>
              <w:t>（1）本项目设置</w:t>
            </w:r>
            <w:r>
              <w:t>1</w:t>
            </w:r>
            <w:r>
              <w:rPr>
                <w:rFonts w:hint="eastAsia"/>
              </w:rPr>
              <w:t>台风量为20000</w:t>
            </w:r>
            <w:r>
              <w:t>m</w:t>
            </w:r>
            <w:r>
              <w:rPr>
                <w:rFonts w:hint="eastAsia"/>
                <w:vertAlign w:val="superscript"/>
              </w:rPr>
              <w:t>3</w:t>
            </w:r>
            <w:r>
              <w:t>/h</w:t>
            </w:r>
            <w:r>
              <w:rPr>
                <w:rFonts w:hint="eastAsia"/>
              </w:rPr>
              <w:t>的静电式油烟净化器+活性炭吸附装置进行废气治理，年运行时间为7200</w:t>
            </w:r>
            <w:r>
              <w:t>h</w:t>
            </w:r>
            <w:r>
              <w:rPr>
                <w:rFonts w:hint="eastAsia"/>
              </w:rPr>
              <w:t xml:space="preserve">，计算过程如下： </w:t>
            </w:r>
          </w:p>
          <w:p w14:paraId="54713474">
            <w:pPr>
              <w:pStyle w:val="13"/>
              <w:spacing w:after="0" w:line="480" w:lineRule="atLeast"/>
              <w:ind w:left="0" w:leftChars="0" w:right="0" w:rightChars="0" w:firstLine="480"/>
            </w:pPr>
            <w:r>
              <w:rPr>
                <w:rFonts w:hint="eastAsia"/>
              </w:rPr>
              <w:t>油雾排放量</w:t>
            </w:r>
            <w:r>
              <w:t>=</w:t>
            </w:r>
            <w:r>
              <w:rPr>
                <w:rFonts w:hint="eastAsia"/>
              </w:rPr>
              <w:t>20</w:t>
            </w:r>
            <w:r>
              <w:t>mg/m</w:t>
            </w:r>
            <w:r>
              <w:rPr>
                <w:rFonts w:hint="eastAsia"/>
                <w:vertAlign w:val="superscript"/>
              </w:rPr>
              <w:t>3</w:t>
            </w:r>
            <w:r>
              <w:t>×</w:t>
            </w:r>
            <w:r>
              <w:rPr>
                <w:rFonts w:hint="eastAsia"/>
              </w:rPr>
              <w:t>20000</w:t>
            </w:r>
            <w:r>
              <w:t>m</w:t>
            </w:r>
            <w:r>
              <w:rPr>
                <w:rFonts w:hint="eastAsia"/>
                <w:vertAlign w:val="superscript"/>
              </w:rPr>
              <w:t>3</w:t>
            </w:r>
            <w:r>
              <w:t>/h×</w:t>
            </w:r>
            <w:r>
              <w:rPr>
                <w:rFonts w:hint="eastAsia"/>
              </w:rPr>
              <w:t>7200</w:t>
            </w:r>
            <w:r>
              <w:t>h/a÷10</w:t>
            </w:r>
            <w:r>
              <w:rPr>
                <w:rFonts w:hint="eastAsia"/>
                <w:vertAlign w:val="superscript"/>
              </w:rPr>
              <w:t>9</w:t>
            </w:r>
            <w:r>
              <w:rPr>
                <w:vertAlign w:val="superscript"/>
              </w:rPr>
              <w:t>=</w:t>
            </w:r>
            <w:r>
              <w:rPr>
                <w:rFonts w:hint="eastAsia"/>
              </w:rPr>
              <w:t>2.88t/a</w:t>
            </w:r>
          </w:p>
          <w:p w14:paraId="14124F55">
            <w:pPr>
              <w:pStyle w:val="13"/>
              <w:spacing w:after="0" w:line="480" w:lineRule="atLeast"/>
              <w:ind w:left="480" w:leftChars="200" w:right="0" w:rightChars="0" w:firstLine="0" w:firstLineChars="0"/>
              <w:jc w:val="left"/>
              <w:rPr>
                <w:rFonts w:hint="eastAsia"/>
              </w:rPr>
            </w:pPr>
            <w:r>
              <w:rPr>
                <w:rFonts w:hint="eastAsia"/>
              </w:rPr>
              <w:t>挥发性有机物（以非甲烷总烃代）排放量</w:t>
            </w:r>
            <w:r>
              <w:t>=</w:t>
            </w:r>
            <w:r>
              <w:rPr>
                <w:rFonts w:hint="eastAsia"/>
              </w:rPr>
              <w:t>70</w:t>
            </w:r>
            <w:r>
              <w:t>mg/m</w:t>
            </w:r>
            <w:r>
              <w:rPr>
                <w:rFonts w:hint="eastAsia"/>
                <w:vertAlign w:val="superscript"/>
              </w:rPr>
              <w:t>3</w:t>
            </w:r>
            <w:r>
              <w:t>×</w:t>
            </w:r>
            <w:r>
              <w:rPr>
                <w:rFonts w:hint="eastAsia"/>
              </w:rPr>
              <w:t>20000</w:t>
            </w:r>
            <w:r>
              <w:t>m</w:t>
            </w:r>
            <w:r>
              <w:rPr>
                <w:rFonts w:hint="eastAsia"/>
                <w:vertAlign w:val="superscript"/>
              </w:rPr>
              <w:t>3</w:t>
            </w:r>
            <w:r>
              <w:t>/h×</w:t>
            </w:r>
            <w:r>
              <w:rPr>
                <w:rFonts w:hint="eastAsia"/>
              </w:rPr>
              <w:t>7200</w:t>
            </w:r>
            <w:r>
              <w:t>h/a÷10</w:t>
            </w:r>
            <w:r>
              <w:rPr>
                <w:rFonts w:hint="eastAsia"/>
                <w:vertAlign w:val="superscript"/>
              </w:rPr>
              <w:t>9</w:t>
            </w:r>
            <w:r>
              <w:t>=</w:t>
            </w:r>
            <w:r>
              <w:rPr>
                <w:rFonts w:hint="eastAsia"/>
              </w:rPr>
              <w:t>10.08t/a</w:t>
            </w:r>
          </w:p>
          <w:p w14:paraId="48B19CF1">
            <w:pPr>
              <w:pStyle w:val="13"/>
              <w:spacing w:after="0" w:line="480" w:lineRule="atLeast"/>
              <w:ind w:left="0" w:leftChars="0" w:right="0" w:rightChars="0" w:firstLine="480"/>
            </w:pPr>
            <w:r>
              <w:rPr>
                <w:rFonts w:hint="eastAsia"/>
              </w:rPr>
              <w:t>（2）本项目设置</w:t>
            </w:r>
            <w:r>
              <w:t>1</w:t>
            </w:r>
            <w:r>
              <w:rPr>
                <w:rFonts w:hint="eastAsia"/>
              </w:rPr>
              <w:t>台风量为3000</w:t>
            </w:r>
            <w:r>
              <w:t>m</w:t>
            </w:r>
            <w:r>
              <w:rPr>
                <w:rFonts w:hint="eastAsia"/>
                <w:vertAlign w:val="superscript"/>
              </w:rPr>
              <w:t>3</w:t>
            </w:r>
            <w:r>
              <w:t>/h</w:t>
            </w:r>
            <w:r>
              <w:rPr>
                <w:rFonts w:hint="eastAsia"/>
              </w:rPr>
              <w:t>的脉冲布袋除尘器除尘器进行废气治理，年运行时间为4800</w:t>
            </w:r>
            <w:r>
              <w:t>h</w:t>
            </w:r>
            <w:r>
              <w:rPr>
                <w:rFonts w:hint="eastAsia"/>
              </w:rPr>
              <w:t xml:space="preserve">，计算过程如下： </w:t>
            </w:r>
          </w:p>
          <w:p w14:paraId="67CBA5B8">
            <w:pPr>
              <w:pStyle w:val="13"/>
              <w:spacing w:after="0" w:line="480" w:lineRule="atLeast"/>
              <w:ind w:left="0" w:leftChars="0" w:right="0" w:rightChars="0" w:firstLine="480"/>
            </w:pPr>
            <w:r>
              <w:rPr>
                <w:rFonts w:hint="eastAsia"/>
              </w:rPr>
              <w:t>颗粒物排放量</w:t>
            </w:r>
            <w:r>
              <w:t>=</w:t>
            </w:r>
            <w:r>
              <w:rPr>
                <w:rFonts w:hint="eastAsia"/>
              </w:rPr>
              <w:t>10</w:t>
            </w:r>
            <w:r>
              <w:t>mg/m</w:t>
            </w:r>
            <w:r>
              <w:rPr>
                <w:rFonts w:hint="eastAsia"/>
                <w:vertAlign w:val="superscript"/>
              </w:rPr>
              <w:t>3</w:t>
            </w:r>
            <w:r>
              <w:t>×</w:t>
            </w:r>
            <w:r>
              <w:rPr>
                <w:rFonts w:hint="eastAsia"/>
              </w:rPr>
              <w:t>3000</w:t>
            </w:r>
            <w:r>
              <w:t>m</w:t>
            </w:r>
            <w:r>
              <w:rPr>
                <w:rFonts w:hint="eastAsia"/>
                <w:vertAlign w:val="superscript"/>
              </w:rPr>
              <w:t>3</w:t>
            </w:r>
            <w:r>
              <w:t>/h×</w:t>
            </w:r>
            <w:r>
              <w:rPr>
                <w:rFonts w:hint="eastAsia"/>
              </w:rPr>
              <w:t>4800</w:t>
            </w:r>
            <w:r>
              <w:t>h/a÷10</w:t>
            </w:r>
            <w:r>
              <w:rPr>
                <w:rFonts w:hint="eastAsia"/>
                <w:vertAlign w:val="superscript"/>
              </w:rPr>
              <w:t>9</w:t>
            </w:r>
            <w:r>
              <w:t>=</w:t>
            </w:r>
            <w:r>
              <w:rPr>
                <w:rFonts w:hint="eastAsia"/>
              </w:rPr>
              <w:t>0.144</w:t>
            </w:r>
            <w:r>
              <w:t>t/a</w:t>
            </w:r>
          </w:p>
          <w:p w14:paraId="5614605B">
            <w:pPr>
              <w:spacing w:line="360" w:lineRule="auto"/>
              <w:ind w:firstLine="0" w:firstLineChars="0"/>
              <w:jc w:val="center"/>
              <w:rPr>
                <w:b/>
                <w:sz w:val="21"/>
                <w:szCs w:val="21"/>
              </w:rPr>
            </w:pPr>
            <w:r>
              <w:rPr>
                <w:rFonts w:hint="eastAsia"/>
                <w:b/>
                <w:sz w:val="21"/>
                <w:szCs w:val="21"/>
              </w:rPr>
              <w:t>表3-</w:t>
            </w:r>
            <w:r>
              <w:rPr>
                <w:rFonts w:hint="eastAsia"/>
                <w:b/>
                <w:sz w:val="21"/>
                <w:szCs w:val="21"/>
                <w:lang w:val="en-US" w:eastAsia="zh-CN"/>
              </w:rPr>
              <w:t>9</w:t>
            </w:r>
            <w:r>
              <w:rPr>
                <w:rFonts w:hint="eastAsia"/>
                <w:b/>
                <w:sz w:val="21"/>
                <w:szCs w:val="21"/>
              </w:rPr>
              <w:t xml:space="preserve">  废气污染物总量控制指标核算表</w:t>
            </w:r>
          </w:p>
          <w:tbl>
            <w:tblPr>
              <w:tblStyle w:val="23"/>
              <w:tblW w:w="82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3"/>
              <w:gridCol w:w="918"/>
              <w:gridCol w:w="1385"/>
              <w:gridCol w:w="2170"/>
              <w:gridCol w:w="898"/>
              <w:gridCol w:w="861"/>
              <w:gridCol w:w="686"/>
              <w:gridCol w:w="911"/>
            </w:tblGrid>
            <w:tr w14:paraId="3803B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dxa"/>
                  <w:tcBorders>
                    <w:tl2br w:val="nil"/>
                    <w:tr2bl w:val="nil"/>
                  </w:tcBorders>
                  <w:shd w:val="clear" w:color="auto" w:fill="FFFFFF" w:themeFill="background1"/>
                  <w:vAlign w:val="center"/>
                </w:tcPr>
                <w:p w14:paraId="18ED90C0">
                  <w:pPr>
                    <w:widowControl/>
                    <w:spacing w:line="240" w:lineRule="auto"/>
                    <w:ind w:firstLine="0" w:firstLineChars="0"/>
                    <w:jc w:val="center"/>
                    <w:rPr>
                      <w:sz w:val="21"/>
                      <w:szCs w:val="21"/>
                    </w:rPr>
                  </w:pPr>
                  <w:r>
                    <w:rPr>
                      <w:rFonts w:hint="eastAsia"/>
                      <w:sz w:val="21"/>
                      <w:szCs w:val="21"/>
                    </w:rPr>
                    <w:t>序号</w:t>
                  </w:r>
                </w:p>
              </w:tc>
              <w:tc>
                <w:tcPr>
                  <w:tcW w:w="918" w:type="dxa"/>
                  <w:tcBorders>
                    <w:tl2br w:val="nil"/>
                    <w:tr2bl w:val="nil"/>
                  </w:tcBorders>
                  <w:shd w:val="clear" w:color="auto" w:fill="FFFFFF" w:themeFill="background1"/>
                  <w:vAlign w:val="center"/>
                </w:tcPr>
                <w:p w14:paraId="1AACA6D8">
                  <w:pPr>
                    <w:widowControl/>
                    <w:spacing w:line="240" w:lineRule="auto"/>
                    <w:ind w:firstLine="0" w:firstLineChars="0"/>
                    <w:jc w:val="center"/>
                    <w:rPr>
                      <w:sz w:val="21"/>
                      <w:szCs w:val="21"/>
                    </w:rPr>
                  </w:pPr>
                  <w:r>
                    <w:rPr>
                      <w:rFonts w:hint="eastAsia"/>
                      <w:sz w:val="21"/>
                      <w:szCs w:val="21"/>
                    </w:rPr>
                    <w:t>排气筒编号</w:t>
                  </w:r>
                </w:p>
              </w:tc>
              <w:tc>
                <w:tcPr>
                  <w:tcW w:w="1385" w:type="dxa"/>
                  <w:tcBorders>
                    <w:tl2br w:val="nil"/>
                    <w:tr2bl w:val="nil"/>
                  </w:tcBorders>
                  <w:shd w:val="clear" w:color="auto" w:fill="FFFFFF" w:themeFill="background1"/>
                  <w:vAlign w:val="center"/>
                </w:tcPr>
                <w:p w14:paraId="3B746D13">
                  <w:pPr>
                    <w:widowControl/>
                    <w:spacing w:line="240" w:lineRule="auto"/>
                    <w:ind w:firstLine="0" w:firstLineChars="0"/>
                    <w:jc w:val="center"/>
                    <w:rPr>
                      <w:sz w:val="21"/>
                      <w:szCs w:val="21"/>
                    </w:rPr>
                  </w:pPr>
                  <w:r>
                    <w:rPr>
                      <w:rFonts w:hint="eastAsia"/>
                      <w:sz w:val="21"/>
                      <w:szCs w:val="21"/>
                    </w:rPr>
                    <w:t>污染物</w:t>
                  </w:r>
                </w:p>
              </w:tc>
              <w:tc>
                <w:tcPr>
                  <w:tcW w:w="2170" w:type="dxa"/>
                  <w:tcBorders>
                    <w:tl2br w:val="nil"/>
                    <w:tr2bl w:val="nil"/>
                  </w:tcBorders>
                  <w:shd w:val="clear" w:color="auto" w:fill="FFFFFF" w:themeFill="background1"/>
                  <w:vAlign w:val="center"/>
                </w:tcPr>
                <w:p w14:paraId="6BBEF962">
                  <w:pPr>
                    <w:widowControl/>
                    <w:spacing w:line="240" w:lineRule="auto"/>
                    <w:ind w:firstLine="0" w:firstLineChars="0"/>
                    <w:jc w:val="center"/>
                    <w:rPr>
                      <w:sz w:val="21"/>
                      <w:szCs w:val="21"/>
                    </w:rPr>
                  </w:pPr>
                  <w:r>
                    <w:rPr>
                      <w:rFonts w:hint="eastAsia"/>
                      <w:sz w:val="21"/>
                      <w:szCs w:val="21"/>
                    </w:rPr>
                    <w:t>执行标准</w:t>
                  </w:r>
                </w:p>
              </w:tc>
              <w:tc>
                <w:tcPr>
                  <w:tcW w:w="898" w:type="dxa"/>
                  <w:tcBorders>
                    <w:tl2br w:val="nil"/>
                    <w:tr2bl w:val="nil"/>
                  </w:tcBorders>
                  <w:shd w:val="clear" w:color="auto" w:fill="FFFFFF" w:themeFill="background1"/>
                  <w:vAlign w:val="center"/>
                </w:tcPr>
                <w:p w14:paraId="3F518DF6">
                  <w:pPr>
                    <w:widowControl/>
                    <w:spacing w:line="240" w:lineRule="auto"/>
                    <w:ind w:firstLine="0" w:firstLineChars="0"/>
                    <w:jc w:val="center"/>
                    <w:rPr>
                      <w:sz w:val="21"/>
                      <w:szCs w:val="21"/>
                    </w:rPr>
                  </w:pPr>
                  <w:r>
                    <w:rPr>
                      <w:rFonts w:hint="eastAsia"/>
                      <w:sz w:val="21"/>
                      <w:szCs w:val="21"/>
                    </w:rPr>
                    <w:t>标准值</w:t>
                  </w:r>
                </w:p>
              </w:tc>
              <w:tc>
                <w:tcPr>
                  <w:tcW w:w="861" w:type="dxa"/>
                  <w:tcBorders>
                    <w:tl2br w:val="nil"/>
                    <w:tr2bl w:val="nil"/>
                  </w:tcBorders>
                  <w:shd w:val="clear" w:color="auto" w:fill="FFFFFF" w:themeFill="background1"/>
                  <w:vAlign w:val="center"/>
                </w:tcPr>
                <w:p w14:paraId="4721E6E5">
                  <w:pPr>
                    <w:widowControl/>
                    <w:spacing w:line="240" w:lineRule="auto"/>
                    <w:ind w:firstLine="0" w:firstLineChars="0"/>
                    <w:jc w:val="center"/>
                    <w:rPr>
                      <w:sz w:val="21"/>
                      <w:szCs w:val="21"/>
                    </w:rPr>
                  </w:pPr>
                  <w:r>
                    <w:rPr>
                      <w:rFonts w:hint="eastAsia"/>
                      <w:sz w:val="21"/>
                      <w:szCs w:val="21"/>
                    </w:rPr>
                    <w:t>废气量</w:t>
                  </w:r>
                </w:p>
              </w:tc>
              <w:tc>
                <w:tcPr>
                  <w:tcW w:w="686" w:type="dxa"/>
                  <w:tcBorders>
                    <w:tl2br w:val="nil"/>
                    <w:tr2bl w:val="nil"/>
                  </w:tcBorders>
                  <w:shd w:val="clear" w:color="auto" w:fill="FFFFFF" w:themeFill="background1"/>
                  <w:vAlign w:val="center"/>
                </w:tcPr>
                <w:p w14:paraId="2AB9BEAE">
                  <w:pPr>
                    <w:widowControl/>
                    <w:spacing w:line="240" w:lineRule="auto"/>
                    <w:ind w:firstLine="0" w:firstLineChars="0"/>
                    <w:jc w:val="center"/>
                    <w:rPr>
                      <w:sz w:val="21"/>
                      <w:szCs w:val="21"/>
                    </w:rPr>
                  </w:pPr>
                  <w:r>
                    <w:rPr>
                      <w:rFonts w:hint="eastAsia"/>
                      <w:sz w:val="21"/>
                      <w:szCs w:val="21"/>
                    </w:rPr>
                    <w:t>时间</w:t>
                  </w:r>
                </w:p>
              </w:tc>
              <w:tc>
                <w:tcPr>
                  <w:tcW w:w="911" w:type="dxa"/>
                  <w:tcBorders>
                    <w:tl2br w:val="nil"/>
                    <w:tr2bl w:val="nil"/>
                  </w:tcBorders>
                  <w:shd w:val="clear" w:color="auto" w:fill="FFFFFF" w:themeFill="background1"/>
                  <w:vAlign w:val="center"/>
                </w:tcPr>
                <w:p w14:paraId="4C25BAEE">
                  <w:pPr>
                    <w:widowControl/>
                    <w:spacing w:line="240" w:lineRule="auto"/>
                    <w:ind w:firstLine="0" w:firstLineChars="0"/>
                    <w:jc w:val="center"/>
                    <w:rPr>
                      <w:sz w:val="21"/>
                      <w:szCs w:val="21"/>
                    </w:rPr>
                  </w:pPr>
                  <w:r>
                    <w:rPr>
                      <w:rFonts w:hint="eastAsia"/>
                      <w:sz w:val="21"/>
                      <w:szCs w:val="21"/>
                    </w:rPr>
                    <w:t>总量指标</w:t>
                  </w:r>
                </w:p>
              </w:tc>
            </w:tr>
            <w:tr w14:paraId="0CA8F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dxa"/>
                  <w:vMerge w:val="restart"/>
                  <w:tcBorders>
                    <w:tl2br w:val="nil"/>
                    <w:tr2bl w:val="nil"/>
                  </w:tcBorders>
                  <w:shd w:val="clear" w:color="auto" w:fill="FFFFFF" w:themeFill="background1"/>
                  <w:vAlign w:val="center"/>
                </w:tcPr>
                <w:p w14:paraId="3685CA41">
                  <w:pPr>
                    <w:widowControl/>
                    <w:spacing w:line="240" w:lineRule="auto"/>
                    <w:ind w:firstLine="0" w:firstLineChars="0"/>
                    <w:jc w:val="center"/>
                    <w:rPr>
                      <w:rFonts w:hint="eastAsia" w:eastAsia="宋体"/>
                      <w:sz w:val="21"/>
                      <w:szCs w:val="21"/>
                      <w:lang w:eastAsia="zh-CN"/>
                    </w:rPr>
                  </w:pPr>
                  <w:r>
                    <w:rPr>
                      <w:rFonts w:hint="eastAsia"/>
                      <w:sz w:val="21"/>
                      <w:szCs w:val="21"/>
                      <w:lang w:val="en-US" w:eastAsia="zh-CN"/>
                    </w:rPr>
                    <w:t>1</w:t>
                  </w:r>
                </w:p>
              </w:tc>
              <w:tc>
                <w:tcPr>
                  <w:tcW w:w="918" w:type="dxa"/>
                  <w:vMerge w:val="restart"/>
                  <w:tcBorders>
                    <w:tl2br w:val="nil"/>
                    <w:tr2bl w:val="nil"/>
                  </w:tcBorders>
                  <w:shd w:val="clear" w:color="auto" w:fill="FFFFFF" w:themeFill="background1"/>
                  <w:vAlign w:val="center"/>
                </w:tcPr>
                <w:p w14:paraId="3B08A58D">
                  <w:pPr>
                    <w:widowControl/>
                    <w:spacing w:line="240" w:lineRule="auto"/>
                    <w:ind w:firstLine="0" w:firstLineChars="0"/>
                    <w:jc w:val="center"/>
                    <w:rPr>
                      <w:rFonts w:hint="eastAsia" w:eastAsia="宋体"/>
                      <w:sz w:val="21"/>
                      <w:szCs w:val="21"/>
                      <w:lang w:eastAsia="zh-CN"/>
                    </w:rPr>
                  </w:pPr>
                  <w:r>
                    <w:rPr>
                      <w:rFonts w:hint="eastAsia"/>
                      <w:sz w:val="21"/>
                      <w:szCs w:val="21"/>
                    </w:rPr>
                    <w:t>DA00</w:t>
                  </w:r>
                  <w:r>
                    <w:rPr>
                      <w:rFonts w:hint="eastAsia"/>
                      <w:sz w:val="21"/>
                      <w:szCs w:val="21"/>
                      <w:lang w:val="en-US" w:eastAsia="zh-CN"/>
                    </w:rPr>
                    <w:t>1</w:t>
                  </w:r>
                </w:p>
              </w:tc>
              <w:tc>
                <w:tcPr>
                  <w:tcW w:w="1385" w:type="dxa"/>
                  <w:tcBorders>
                    <w:tl2br w:val="nil"/>
                    <w:tr2bl w:val="nil"/>
                  </w:tcBorders>
                  <w:shd w:val="clear" w:color="auto" w:fill="FFFFFF" w:themeFill="background1"/>
                  <w:vAlign w:val="center"/>
                </w:tcPr>
                <w:p w14:paraId="03CB0BEA">
                  <w:pPr>
                    <w:widowControl/>
                    <w:spacing w:line="240" w:lineRule="auto"/>
                    <w:ind w:firstLine="0" w:firstLineChars="0"/>
                    <w:jc w:val="center"/>
                    <w:rPr>
                      <w:sz w:val="21"/>
                      <w:szCs w:val="21"/>
                    </w:rPr>
                  </w:pPr>
                  <w:r>
                    <w:rPr>
                      <w:rFonts w:hint="eastAsia"/>
                      <w:sz w:val="21"/>
                      <w:szCs w:val="21"/>
                    </w:rPr>
                    <w:t>油雾</w:t>
                  </w:r>
                </w:p>
              </w:tc>
              <w:tc>
                <w:tcPr>
                  <w:tcW w:w="2170" w:type="dxa"/>
                  <w:tcBorders>
                    <w:tl2br w:val="nil"/>
                    <w:tr2bl w:val="nil"/>
                  </w:tcBorders>
                  <w:shd w:val="clear" w:color="auto" w:fill="FFFFFF" w:themeFill="background1"/>
                  <w:vAlign w:val="center"/>
                </w:tcPr>
                <w:p w14:paraId="09BED9CE">
                  <w:pPr>
                    <w:widowControl/>
                    <w:spacing w:line="240" w:lineRule="auto"/>
                    <w:ind w:firstLine="0" w:firstLineChars="0"/>
                    <w:jc w:val="center"/>
                    <w:rPr>
                      <w:sz w:val="21"/>
                      <w:szCs w:val="21"/>
                    </w:rPr>
                  </w:pPr>
                  <w:r>
                    <w:rPr>
                      <w:rFonts w:hint="eastAsia"/>
                      <w:sz w:val="21"/>
                      <w:szCs w:val="21"/>
                    </w:rPr>
                    <w:t>《钢铁工业大气污染物超低排放标准》（DB13/2169-2018)</w:t>
                  </w:r>
                </w:p>
              </w:tc>
              <w:tc>
                <w:tcPr>
                  <w:tcW w:w="898" w:type="dxa"/>
                  <w:tcBorders>
                    <w:tl2br w:val="nil"/>
                    <w:tr2bl w:val="nil"/>
                  </w:tcBorders>
                  <w:shd w:val="clear" w:color="auto" w:fill="FFFFFF" w:themeFill="background1"/>
                  <w:vAlign w:val="center"/>
                </w:tcPr>
                <w:p w14:paraId="5A59D155">
                  <w:pPr>
                    <w:widowControl/>
                    <w:spacing w:line="240" w:lineRule="auto"/>
                    <w:ind w:firstLine="0" w:firstLineChars="0"/>
                    <w:jc w:val="center"/>
                    <w:rPr>
                      <w:sz w:val="21"/>
                      <w:szCs w:val="21"/>
                    </w:rPr>
                  </w:pPr>
                  <w:r>
                    <w:rPr>
                      <w:rFonts w:hint="eastAsia"/>
                      <w:sz w:val="21"/>
                      <w:szCs w:val="21"/>
                    </w:rPr>
                    <w:t>20mg/m³</w:t>
                  </w:r>
                </w:p>
              </w:tc>
              <w:tc>
                <w:tcPr>
                  <w:tcW w:w="861" w:type="dxa"/>
                  <w:vMerge w:val="restart"/>
                  <w:tcBorders>
                    <w:tl2br w:val="nil"/>
                    <w:tr2bl w:val="nil"/>
                  </w:tcBorders>
                  <w:shd w:val="clear" w:color="auto" w:fill="FFFFFF" w:themeFill="background1"/>
                  <w:vAlign w:val="center"/>
                </w:tcPr>
                <w:p w14:paraId="52FB5AEA">
                  <w:pPr>
                    <w:widowControl/>
                    <w:spacing w:line="240" w:lineRule="auto"/>
                    <w:ind w:firstLine="0" w:firstLineChars="0"/>
                    <w:jc w:val="center"/>
                    <w:rPr>
                      <w:sz w:val="21"/>
                      <w:szCs w:val="21"/>
                    </w:rPr>
                  </w:pPr>
                  <w:r>
                    <w:rPr>
                      <w:rFonts w:hint="eastAsia"/>
                      <w:sz w:val="21"/>
                      <w:szCs w:val="21"/>
                    </w:rPr>
                    <w:t>20000</w:t>
                  </w:r>
                </w:p>
                <w:p w14:paraId="6A1FDBF8">
                  <w:pPr>
                    <w:widowControl/>
                    <w:spacing w:line="240" w:lineRule="auto"/>
                    <w:ind w:firstLine="0" w:firstLineChars="0"/>
                    <w:jc w:val="center"/>
                    <w:rPr>
                      <w:sz w:val="21"/>
                      <w:szCs w:val="21"/>
                    </w:rPr>
                  </w:pPr>
                  <w:r>
                    <w:rPr>
                      <w:rFonts w:hint="eastAsia"/>
                      <w:sz w:val="21"/>
                      <w:szCs w:val="21"/>
                    </w:rPr>
                    <w:t>m³/h</w:t>
                  </w:r>
                </w:p>
              </w:tc>
              <w:tc>
                <w:tcPr>
                  <w:tcW w:w="686" w:type="dxa"/>
                  <w:vMerge w:val="restart"/>
                  <w:tcBorders>
                    <w:tl2br w:val="nil"/>
                    <w:tr2bl w:val="nil"/>
                  </w:tcBorders>
                  <w:shd w:val="clear" w:color="auto" w:fill="FFFFFF" w:themeFill="background1"/>
                  <w:vAlign w:val="center"/>
                </w:tcPr>
                <w:p w14:paraId="5FA6B372">
                  <w:pPr>
                    <w:widowControl/>
                    <w:spacing w:line="240" w:lineRule="auto"/>
                    <w:ind w:firstLine="0" w:firstLineChars="0"/>
                    <w:jc w:val="center"/>
                    <w:rPr>
                      <w:sz w:val="21"/>
                      <w:szCs w:val="21"/>
                    </w:rPr>
                  </w:pPr>
                  <w:r>
                    <w:rPr>
                      <w:rFonts w:hint="eastAsia"/>
                      <w:sz w:val="21"/>
                      <w:szCs w:val="21"/>
                    </w:rPr>
                    <w:t>7200h/a</w:t>
                  </w:r>
                </w:p>
              </w:tc>
              <w:tc>
                <w:tcPr>
                  <w:tcW w:w="911" w:type="dxa"/>
                  <w:tcBorders>
                    <w:tl2br w:val="nil"/>
                    <w:tr2bl w:val="nil"/>
                  </w:tcBorders>
                  <w:shd w:val="clear" w:color="auto" w:fill="FFFFFF" w:themeFill="background1"/>
                  <w:vAlign w:val="center"/>
                </w:tcPr>
                <w:p w14:paraId="23315716">
                  <w:pPr>
                    <w:widowControl/>
                    <w:spacing w:line="240" w:lineRule="auto"/>
                    <w:ind w:firstLine="0" w:firstLineChars="0"/>
                    <w:jc w:val="center"/>
                    <w:rPr>
                      <w:sz w:val="21"/>
                      <w:szCs w:val="21"/>
                    </w:rPr>
                  </w:pPr>
                  <w:r>
                    <w:rPr>
                      <w:rFonts w:hint="eastAsia"/>
                      <w:sz w:val="21"/>
                      <w:szCs w:val="21"/>
                    </w:rPr>
                    <w:t>2.88t/a</w:t>
                  </w:r>
                </w:p>
              </w:tc>
            </w:tr>
            <w:tr w14:paraId="34C86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dxa"/>
                  <w:vMerge w:val="continue"/>
                  <w:tcBorders>
                    <w:tl2br w:val="nil"/>
                    <w:tr2bl w:val="nil"/>
                  </w:tcBorders>
                  <w:shd w:val="clear" w:color="auto" w:fill="FFFFFF" w:themeFill="background1"/>
                  <w:vAlign w:val="center"/>
                </w:tcPr>
                <w:p w14:paraId="74C4FD0C">
                  <w:pPr>
                    <w:widowControl/>
                    <w:spacing w:line="240" w:lineRule="auto"/>
                    <w:ind w:firstLine="0" w:firstLineChars="0"/>
                    <w:jc w:val="center"/>
                    <w:rPr>
                      <w:sz w:val="21"/>
                      <w:szCs w:val="21"/>
                    </w:rPr>
                  </w:pPr>
                </w:p>
              </w:tc>
              <w:tc>
                <w:tcPr>
                  <w:tcW w:w="918" w:type="dxa"/>
                  <w:vMerge w:val="continue"/>
                  <w:tcBorders>
                    <w:tl2br w:val="nil"/>
                    <w:tr2bl w:val="nil"/>
                  </w:tcBorders>
                  <w:shd w:val="clear" w:color="auto" w:fill="FFFFFF" w:themeFill="background1"/>
                  <w:vAlign w:val="center"/>
                </w:tcPr>
                <w:p w14:paraId="6B03E9FF">
                  <w:pPr>
                    <w:widowControl/>
                    <w:spacing w:line="240" w:lineRule="auto"/>
                    <w:ind w:firstLine="0" w:firstLineChars="0"/>
                    <w:jc w:val="center"/>
                    <w:rPr>
                      <w:sz w:val="21"/>
                      <w:szCs w:val="21"/>
                    </w:rPr>
                  </w:pPr>
                </w:p>
              </w:tc>
              <w:tc>
                <w:tcPr>
                  <w:tcW w:w="1385" w:type="dxa"/>
                  <w:tcBorders>
                    <w:tl2br w:val="nil"/>
                    <w:tr2bl w:val="nil"/>
                  </w:tcBorders>
                  <w:shd w:val="clear" w:color="auto" w:fill="FFFFFF" w:themeFill="background1"/>
                  <w:vAlign w:val="center"/>
                </w:tcPr>
                <w:p w14:paraId="6C7D2E48">
                  <w:pPr>
                    <w:widowControl/>
                    <w:spacing w:line="240" w:lineRule="auto"/>
                    <w:ind w:firstLine="0" w:firstLineChars="0"/>
                    <w:jc w:val="center"/>
                    <w:rPr>
                      <w:sz w:val="21"/>
                      <w:szCs w:val="21"/>
                    </w:rPr>
                  </w:pPr>
                  <w:r>
                    <w:rPr>
                      <w:rFonts w:hint="eastAsia"/>
                      <w:sz w:val="21"/>
                      <w:szCs w:val="21"/>
                    </w:rPr>
                    <w:t>挥发性有机物（以非甲烷总烃代）</w:t>
                  </w:r>
                </w:p>
              </w:tc>
              <w:tc>
                <w:tcPr>
                  <w:tcW w:w="2170" w:type="dxa"/>
                  <w:tcBorders>
                    <w:tl2br w:val="nil"/>
                    <w:tr2bl w:val="nil"/>
                  </w:tcBorders>
                  <w:shd w:val="clear" w:color="auto" w:fill="FFFFFF" w:themeFill="background1"/>
                  <w:vAlign w:val="center"/>
                </w:tcPr>
                <w:p w14:paraId="21BE8EE6">
                  <w:pPr>
                    <w:widowControl/>
                    <w:spacing w:line="240" w:lineRule="auto"/>
                    <w:ind w:firstLine="0" w:firstLineChars="0"/>
                    <w:jc w:val="center"/>
                    <w:rPr>
                      <w:sz w:val="21"/>
                      <w:szCs w:val="21"/>
                    </w:rPr>
                  </w:pPr>
                  <w:r>
                    <w:rPr>
                      <w:rFonts w:hint="eastAsia"/>
                      <w:sz w:val="21"/>
                      <w:szCs w:val="21"/>
                    </w:rPr>
                    <w:t>《工业企业挥发性有机物排放控制标准》（DB13/2322-2016）</w:t>
                  </w:r>
                </w:p>
              </w:tc>
              <w:tc>
                <w:tcPr>
                  <w:tcW w:w="898" w:type="dxa"/>
                  <w:tcBorders>
                    <w:tl2br w:val="nil"/>
                    <w:tr2bl w:val="nil"/>
                  </w:tcBorders>
                  <w:shd w:val="clear" w:color="auto" w:fill="FFFFFF" w:themeFill="background1"/>
                  <w:vAlign w:val="center"/>
                </w:tcPr>
                <w:p w14:paraId="5C0381C5">
                  <w:pPr>
                    <w:widowControl/>
                    <w:spacing w:line="240" w:lineRule="auto"/>
                    <w:ind w:firstLine="0" w:firstLineChars="0"/>
                    <w:jc w:val="center"/>
                    <w:rPr>
                      <w:sz w:val="21"/>
                      <w:szCs w:val="21"/>
                    </w:rPr>
                  </w:pPr>
                  <w:r>
                    <w:rPr>
                      <w:rFonts w:hint="eastAsia"/>
                      <w:sz w:val="21"/>
                      <w:szCs w:val="21"/>
                    </w:rPr>
                    <w:t>70mg/m³</w:t>
                  </w:r>
                </w:p>
              </w:tc>
              <w:tc>
                <w:tcPr>
                  <w:tcW w:w="861" w:type="dxa"/>
                  <w:vMerge w:val="continue"/>
                  <w:tcBorders>
                    <w:tl2br w:val="nil"/>
                    <w:tr2bl w:val="nil"/>
                  </w:tcBorders>
                  <w:shd w:val="clear" w:color="auto" w:fill="FFFFFF" w:themeFill="background1"/>
                  <w:vAlign w:val="center"/>
                </w:tcPr>
                <w:p w14:paraId="2074BCF9">
                  <w:pPr>
                    <w:widowControl/>
                    <w:spacing w:line="240" w:lineRule="auto"/>
                    <w:ind w:firstLine="0" w:firstLineChars="0"/>
                    <w:jc w:val="center"/>
                    <w:rPr>
                      <w:sz w:val="21"/>
                      <w:szCs w:val="21"/>
                    </w:rPr>
                  </w:pPr>
                </w:p>
              </w:tc>
              <w:tc>
                <w:tcPr>
                  <w:tcW w:w="686" w:type="dxa"/>
                  <w:vMerge w:val="continue"/>
                  <w:tcBorders>
                    <w:tl2br w:val="nil"/>
                    <w:tr2bl w:val="nil"/>
                  </w:tcBorders>
                  <w:shd w:val="clear" w:color="auto" w:fill="FFFFFF" w:themeFill="background1"/>
                  <w:vAlign w:val="center"/>
                </w:tcPr>
                <w:p w14:paraId="4D851C0A">
                  <w:pPr>
                    <w:widowControl/>
                    <w:spacing w:line="240" w:lineRule="auto"/>
                    <w:ind w:firstLine="0" w:firstLineChars="0"/>
                    <w:jc w:val="center"/>
                    <w:rPr>
                      <w:sz w:val="21"/>
                      <w:szCs w:val="21"/>
                    </w:rPr>
                  </w:pPr>
                </w:p>
              </w:tc>
              <w:tc>
                <w:tcPr>
                  <w:tcW w:w="911" w:type="dxa"/>
                  <w:tcBorders>
                    <w:tl2br w:val="nil"/>
                    <w:tr2bl w:val="nil"/>
                  </w:tcBorders>
                  <w:shd w:val="clear" w:color="auto" w:fill="FFFFFF" w:themeFill="background1"/>
                  <w:vAlign w:val="center"/>
                </w:tcPr>
                <w:p w14:paraId="2F97866D">
                  <w:pPr>
                    <w:widowControl/>
                    <w:spacing w:line="240" w:lineRule="auto"/>
                    <w:ind w:firstLine="0" w:firstLineChars="0"/>
                    <w:jc w:val="center"/>
                    <w:rPr>
                      <w:sz w:val="21"/>
                      <w:szCs w:val="21"/>
                    </w:rPr>
                  </w:pPr>
                  <w:r>
                    <w:rPr>
                      <w:rFonts w:hint="eastAsia"/>
                      <w:sz w:val="21"/>
                      <w:szCs w:val="21"/>
                    </w:rPr>
                    <w:t>10.08t/a</w:t>
                  </w:r>
                </w:p>
              </w:tc>
            </w:tr>
            <w:tr w14:paraId="6D8C4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dxa"/>
                  <w:tcBorders>
                    <w:tl2br w:val="nil"/>
                    <w:tr2bl w:val="nil"/>
                  </w:tcBorders>
                  <w:shd w:val="clear" w:color="auto" w:fill="FFFFFF" w:themeFill="background1"/>
                  <w:vAlign w:val="center"/>
                </w:tcPr>
                <w:p w14:paraId="5553BAA5">
                  <w:pPr>
                    <w:widowControl/>
                    <w:spacing w:line="240" w:lineRule="auto"/>
                    <w:ind w:firstLine="0" w:firstLineChars="0"/>
                    <w:jc w:val="center"/>
                    <w:rPr>
                      <w:rFonts w:hint="eastAsia" w:eastAsia="宋体"/>
                      <w:sz w:val="21"/>
                      <w:szCs w:val="21"/>
                      <w:lang w:val="en-US" w:eastAsia="zh-CN"/>
                    </w:rPr>
                  </w:pPr>
                  <w:r>
                    <w:rPr>
                      <w:rFonts w:hint="eastAsia"/>
                      <w:sz w:val="21"/>
                      <w:szCs w:val="21"/>
                      <w:lang w:val="en-US" w:eastAsia="zh-CN"/>
                    </w:rPr>
                    <w:t>2</w:t>
                  </w:r>
                </w:p>
              </w:tc>
              <w:tc>
                <w:tcPr>
                  <w:tcW w:w="918" w:type="dxa"/>
                  <w:tcBorders>
                    <w:tl2br w:val="nil"/>
                    <w:tr2bl w:val="nil"/>
                  </w:tcBorders>
                  <w:shd w:val="clear" w:color="auto" w:fill="FFFFFF" w:themeFill="background1"/>
                  <w:vAlign w:val="center"/>
                </w:tcPr>
                <w:p w14:paraId="5FE79119">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DA00</w:t>
                  </w:r>
                  <w:r>
                    <w:rPr>
                      <w:rFonts w:hint="eastAsia"/>
                      <w:sz w:val="21"/>
                      <w:szCs w:val="21"/>
                      <w:lang w:val="en-US" w:eastAsia="zh-CN"/>
                    </w:rPr>
                    <w:t>2</w:t>
                  </w:r>
                </w:p>
              </w:tc>
              <w:tc>
                <w:tcPr>
                  <w:tcW w:w="1385" w:type="dxa"/>
                  <w:tcBorders>
                    <w:tl2br w:val="nil"/>
                    <w:tr2bl w:val="nil"/>
                  </w:tcBorders>
                  <w:shd w:val="clear" w:color="auto" w:fill="FFFFFF" w:themeFill="background1"/>
                  <w:vAlign w:val="center"/>
                </w:tcPr>
                <w:p w14:paraId="407B7BC8">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颗粒物</w:t>
                  </w:r>
                </w:p>
              </w:tc>
              <w:tc>
                <w:tcPr>
                  <w:tcW w:w="2170" w:type="dxa"/>
                  <w:tcBorders>
                    <w:tl2br w:val="nil"/>
                    <w:tr2bl w:val="nil"/>
                  </w:tcBorders>
                  <w:shd w:val="clear" w:color="auto" w:fill="FFFFFF" w:themeFill="background1"/>
                  <w:vAlign w:val="center"/>
                </w:tcPr>
                <w:p w14:paraId="068AFB00">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《钢铁工业大气污染物超低排放标准》（DB13/2169-2018)</w:t>
                  </w:r>
                </w:p>
              </w:tc>
              <w:tc>
                <w:tcPr>
                  <w:tcW w:w="898" w:type="dxa"/>
                  <w:tcBorders>
                    <w:tl2br w:val="nil"/>
                    <w:tr2bl w:val="nil"/>
                  </w:tcBorders>
                  <w:shd w:val="clear" w:color="auto" w:fill="FFFFFF" w:themeFill="background1"/>
                  <w:vAlign w:val="center"/>
                </w:tcPr>
                <w:p w14:paraId="330D8DD9">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10mg/m³</w:t>
                  </w:r>
                </w:p>
              </w:tc>
              <w:tc>
                <w:tcPr>
                  <w:tcW w:w="861" w:type="dxa"/>
                  <w:tcBorders>
                    <w:tl2br w:val="nil"/>
                    <w:tr2bl w:val="nil"/>
                  </w:tcBorders>
                  <w:shd w:val="clear" w:color="auto" w:fill="FFFFFF" w:themeFill="background1"/>
                  <w:vAlign w:val="center"/>
                </w:tcPr>
                <w:p w14:paraId="167F2FFE">
                  <w:pPr>
                    <w:widowControl/>
                    <w:spacing w:line="240" w:lineRule="auto"/>
                    <w:ind w:firstLine="0" w:firstLineChars="0"/>
                    <w:jc w:val="center"/>
                    <w:rPr>
                      <w:sz w:val="21"/>
                      <w:szCs w:val="21"/>
                    </w:rPr>
                  </w:pPr>
                  <w:r>
                    <w:rPr>
                      <w:rFonts w:hint="eastAsia"/>
                      <w:sz w:val="21"/>
                      <w:szCs w:val="21"/>
                    </w:rPr>
                    <w:t>3000</w:t>
                  </w:r>
                </w:p>
                <w:p w14:paraId="6756F5F1">
                  <w:pPr>
                    <w:widowControl/>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m³/h</w:t>
                  </w:r>
                </w:p>
              </w:tc>
              <w:tc>
                <w:tcPr>
                  <w:tcW w:w="686" w:type="dxa"/>
                  <w:tcBorders>
                    <w:tl2br w:val="nil"/>
                    <w:tr2bl w:val="nil"/>
                  </w:tcBorders>
                  <w:shd w:val="clear" w:color="auto" w:fill="FFFFFF" w:themeFill="background1"/>
                  <w:vAlign w:val="center"/>
                </w:tcPr>
                <w:p w14:paraId="513F78B9">
                  <w:pPr>
                    <w:widowControl/>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sz w:val="21"/>
                      <w:szCs w:val="21"/>
                    </w:rPr>
                    <w:t>4800h/a</w:t>
                  </w:r>
                </w:p>
              </w:tc>
              <w:tc>
                <w:tcPr>
                  <w:tcW w:w="911" w:type="dxa"/>
                  <w:tcBorders>
                    <w:tl2br w:val="nil"/>
                    <w:tr2bl w:val="nil"/>
                  </w:tcBorders>
                  <w:shd w:val="clear" w:color="auto" w:fill="FFFFFF" w:themeFill="background1"/>
                  <w:vAlign w:val="center"/>
                </w:tcPr>
                <w:p w14:paraId="2AE2D945">
                  <w:pPr>
                    <w:widowControl/>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0.144t/a</w:t>
                  </w:r>
                </w:p>
              </w:tc>
            </w:tr>
          </w:tbl>
          <w:p w14:paraId="64FAAE05">
            <w:pPr>
              <w:pStyle w:val="13"/>
              <w:spacing w:after="0" w:line="480" w:lineRule="atLeast"/>
              <w:ind w:left="0" w:leftChars="0" w:right="0" w:rightChars="0" w:firstLine="480"/>
            </w:pPr>
            <w:r>
              <w:rPr>
                <w:rFonts w:hint="eastAsia"/>
              </w:rPr>
              <w:t>本项目无重点大气污染物排放，SO</w:t>
            </w:r>
            <w:r>
              <w:rPr>
                <w:rFonts w:hint="eastAsia"/>
                <w:vertAlign w:val="subscript"/>
              </w:rPr>
              <w:t>2</w:t>
            </w:r>
            <w:r>
              <w:rPr>
                <w:rFonts w:hint="eastAsia"/>
              </w:rPr>
              <w:t>、NOx排放量均为0t/a。</w:t>
            </w:r>
          </w:p>
          <w:p w14:paraId="75968A05">
            <w:pPr>
              <w:ind w:firstLine="480"/>
              <w:rPr>
                <w:highlight w:val="none"/>
              </w:rPr>
            </w:pPr>
            <w:r>
              <w:rPr>
                <w:rFonts w:hint="eastAsia"/>
              </w:rPr>
              <w:t>本项目实施后建议污染物总量控制指标：SO</w:t>
            </w:r>
            <w:r>
              <w:rPr>
                <w:rFonts w:hint="eastAsia"/>
                <w:vertAlign w:val="subscript"/>
              </w:rPr>
              <w:t>2</w:t>
            </w:r>
            <w:r>
              <w:rPr>
                <w:rFonts w:hint="eastAsia"/>
              </w:rPr>
              <w:t>：0t/a、NOx：0t/a</w:t>
            </w:r>
            <w:r>
              <w:rPr>
                <w:rFonts w:hint="eastAsia"/>
                <w:highlight w:val="none"/>
              </w:rPr>
              <w:t>、COD：0</w:t>
            </w:r>
            <w:r>
              <w:rPr>
                <w:rFonts w:hint="eastAsia"/>
                <w:highlight w:val="none"/>
                <w:lang w:val="en-US" w:eastAsia="zh-CN"/>
              </w:rPr>
              <w:t>.6575</w:t>
            </w:r>
            <w:r>
              <w:rPr>
                <w:rFonts w:hint="eastAsia"/>
                <w:highlight w:val="none"/>
              </w:rPr>
              <w:t>t/a、SS：</w:t>
            </w:r>
            <w:r>
              <w:rPr>
                <w:rFonts w:hint="eastAsia"/>
                <w:highlight w:val="none"/>
                <w:lang w:val="en-US" w:eastAsia="zh-CN"/>
              </w:rPr>
              <w:t>0.4697</w:t>
            </w:r>
            <w:r>
              <w:rPr>
                <w:rFonts w:hint="eastAsia"/>
                <w:highlight w:val="none"/>
              </w:rPr>
              <w:t>t/a、BOD</w:t>
            </w:r>
            <w:r>
              <w:rPr>
                <w:rFonts w:hint="eastAsia"/>
                <w:highlight w:val="none"/>
                <w:vertAlign w:val="subscript"/>
              </w:rPr>
              <w:t>5</w:t>
            </w:r>
            <w:r>
              <w:rPr>
                <w:rFonts w:hint="eastAsia"/>
                <w:highlight w:val="none"/>
              </w:rPr>
              <w:t>：</w:t>
            </w:r>
            <w:r>
              <w:rPr>
                <w:rFonts w:hint="eastAsia"/>
                <w:highlight w:val="none"/>
                <w:lang w:val="en-US" w:eastAsia="zh-CN"/>
              </w:rPr>
              <w:t>0.3757</w:t>
            </w:r>
            <w:r>
              <w:rPr>
                <w:rFonts w:hint="eastAsia"/>
                <w:highlight w:val="none"/>
              </w:rPr>
              <w:t>t/a、动植物油类：0</w:t>
            </w:r>
            <w:r>
              <w:rPr>
                <w:rFonts w:hint="eastAsia"/>
                <w:highlight w:val="none"/>
                <w:lang w:val="en-US" w:eastAsia="zh-CN"/>
              </w:rPr>
              <w:t>.1879</w:t>
            </w:r>
            <w:r>
              <w:rPr>
                <w:rFonts w:hint="eastAsia"/>
                <w:highlight w:val="none"/>
              </w:rPr>
              <w:t>t/a、氨氮：</w:t>
            </w:r>
            <w:r>
              <w:rPr>
                <w:rFonts w:hint="eastAsia"/>
                <w:highlight w:val="none"/>
                <w:lang w:val="en-US" w:eastAsia="zh-CN"/>
              </w:rPr>
              <w:t>0.0658</w:t>
            </w:r>
            <w:r>
              <w:rPr>
                <w:rFonts w:hint="eastAsia"/>
                <w:highlight w:val="none"/>
              </w:rPr>
              <w:t>t/a。</w:t>
            </w:r>
          </w:p>
          <w:p w14:paraId="5C837214">
            <w:pPr>
              <w:pStyle w:val="13"/>
              <w:ind w:left="0" w:leftChars="0" w:right="132" w:rightChars="55" w:firstLine="480"/>
            </w:pPr>
            <w:r>
              <w:rPr>
                <w:rFonts w:hint="eastAsia"/>
                <w:highlight w:val="none"/>
              </w:rPr>
              <w:t>特征污染物：颗粒物：0.144t/a、油雾：2.88t/a。挥发性有机物（以非甲烷总烃代）：10.08t/a</w:t>
            </w:r>
            <w:r>
              <w:rPr>
                <w:rFonts w:hint="eastAsia"/>
                <w:highlight w:val="none"/>
                <w:lang w:eastAsia="zh-CN"/>
              </w:rPr>
              <w:t>、</w:t>
            </w:r>
            <w:r>
              <w:rPr>
                <w:rFonts w:hint="eastAsia"/>
                <w:highlight w:val="none"/>
                <w:lang w:val="en-US" w:eastAsia="zh-CN"/>
              </w:rPr>
              <w:t>石油类</w:t>
            </w:r>
            <w:r>
              <w:rPr>
                <w:rFonts w:hint="eastAsia"/>
                <w:highlight w:val="none"/>
                <w:lang w:eastAsia="zh-CN"/>
              </w:rPr>
              <w:t>：</w:t>
            </w:r>
            <w:r>
              <w:rPr>
                <w:rFonts w:hint="eastAsia"/>
                <w:highlight w:val="none"/>
                <w:lang w:val="en-US" w:eastAsia="zh-CN"/>
              </w:rPr>
              <w:t>0.0564</w:t>
            </w:r>
            <w:r>
              <w:rPr>
                <w:rFonts w:hint="eastAsia"/>
                <w:highlight w:val="none"/>
              </w:rPr>
              <w:t>t/a</w:t>
            </w:r>
            <w:r>
              <w:rPr>
                <w:rFonts w:hint="eastAsia"/>
                <w:highlight w:val="none"/>
                <w:lang w:eastAsia="zh-CN"/>
              </w:rPr>
              <w:t>、</w:t>
            </w:r>
            <w:r>
              <w:rPr>
                <w:rFonts w:hint="eastAsia"/>
                <w:highlight w:val="none"/>
                <w:lang w:val="en-US" w:eastAsia="zh-CN"/>
              </w:rPr>
              <w:t>阴离子表面活性剂：0.0376</w:t>
            </w:r>
            <w:r>
              <w:rPr>
                <w:rFonts w:hint="eastAsia"/>
                <w:highlight w:val="none"/>
              </w:rPr>
              <w:t>t/a</w:t>
            </w:r>
            <w:r>
              <w:rPr>
                <w:rFonts w:hint="eastAsia"/>
                <w:highlight w:val="none"/>
                <w:lang w:eastAsia="zh-CN"/>
              </w:rPr>
              <w:t>。</w:t>
            </w:r>
          </w:p>
        </w:tc>
      </w:tr>
    </w:tbl>
    <w:p w14:paraId="348E1855">
      <w:pPr>
        <w:ind w:firstLine="600"/>
        <w:rPr>
          <w:rFonts w:ascii="黑体" w:hAnsi="黑体" w:eastAsia="黑体"/>
          <w:snapToGrid w:val="0"/>
          <w:sz w:val="30"/>
          <w:szCs w:val="30"/>
        </w:rPr>
      </w:pPr>
      <w:r>
        <w:rPr>
          <w:rFonts w:hint="eastAsia" w:ascii="黑体" w:hAnsi="黑体" w:eastAsia="黑体"/>
          <w:snapToGrid w:val="0"/>
          <w:sz w:val="30"/>
          <w:szCs w:val="30"/>
        </w:rPr>
        <w:br w:type="page"/>
      </w:r>
    </w:p>
    <w:p w14:paraId="52BBA97E">
      <w:pPr>
        <w:pStyle w:val="20"/>
        <w:ind w:firstLine="600"/>
        <w:jc w:val="center"/>
        <w:outlineLvl w:val="0"/>
        <w:rPr>
          <w:rFonts w:ascii="黑体" w:hAnsi="黑体" w:eastAsia="黑体"/>
          <w:snapToGrid w:val="0"/>
          <w:color w:val="0070C0"/>
          <w:sz w:val="30"/>
          <w:szCs w:val="30"/>
        </w:rPr>
      </w:pPr>
      <w:r>
        <w:rPr>
          <w:rFonts w:hint="eastAsia" w:ascii="黑体" w:hAnsi="黑体" w:eastAsia="黑体"/>
          <w:snapToGrid w:val="0"/>
          <w:sz w:val="30"/>
          <w:szCs w:val="30"/>
        </w:rPr>
        <w:t>四、主要环境影响和保护措施</w:t>
      </w:r>
    </w:p>
    <w:tbl>
      <w:tblPr>
        <w:tblStyle w:val="22"/>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601"/>
      </w:tblGrid>
      <w:tr w14:paraId="4FB72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14:paraId="6536C385">
            <w:pPr>
              <w:pStyle w:val="31"/>
            </w:pPr>
            <w:r>
              <w:rPr>
                <w:rFonts w:hint="eastAsia"/>
              </w:rPr>
              <w:t>施工</w:t>
            </w:r>
          </w:p>
          <w:p w14:paraId="18D6215F">
            <w:pPr>
              <w:pStyle w:val="31"/>
            </w:pPr>
            <w:r>
              <w:rPr>
                <w:rFonts w:hint="eastAsia"/>
              </w:rPr>
              <w:t>期环</w:t>
            </w:r>
          </w:p>
          <w:p w14:paraId="1955C570">
            <w:pPr>
              <w:pStyle w:val="31"/>
            </w:pPr>
            <w:r>
              <w:rPr>
                <w:rFonts w:hint="eastAsia"/>
              </w:rPr>
              <w:t>境保</w:t>
            </w:r>
          </w:p>
          <w:p w14:paraId="26F0A11A">
            <w:pPr>
              <w:pStyle w:val="31"/>
            </w:pPr>
            <w:r>
              <w:rPr>
                <w:rFonts w:hint="eastAsia"/>
              </w:rPr>
              <w:t>护措</w:t>
            </w:r>
          </w:p>
          <w:p w14:paraId="56631737">
            <w:pPr>
              <w:pStyle w:val="31"/>
              <w:rPr>
                <w:rFonts w:cs="宋体"/>
                <w:bCs/>
                <w:color w:val="0070C0"/>
              </w:rPr>
            </w:pPr>
            <w:r>
              <w:rPr>
                <w:rFonts w:hint="eastAsia"/>
              </w:rPr>
              <w:t>施</w:t>
            </w:r>
          </w:p>
        </w:tc>
        <w:tc>
          <w:tcPr>
            <w:tcW w:w="8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76D6E">
            <w:pPr>
              <w:ind w:firstLine="0" w:firstLineChars="0"/>
            </w:pPr>
            <w:r>
              <w:t>施工期环境影响简要分析：</w:t>
            </w:r>
          </w:p>
          <w:p w14:paraId="2F01A2CB">
            <w:pPr>
              <w:ind w:firstLine="480"/>
            </w:pPr>
            <w:r>
              <w:rPr>
                <w:rFonts w:hint="eastAsia"/>
              </w:rPr>
              <w:t>本项目购置13548.62平方米空地并进行建设，总建筑面积10810.41平方米，建设2栋厂房，其中1#厂房建筑面积4767.69平方米，2#厂房建筑面积4987.3平方米；建设三层办公楼一栋，总建筑面积1030.92平方米；附属设施传达室1座，建筑面积24.5平方米。厂房主要结构为墙体砖混，房顶彩钢，办公楼、传达室主要为砖混结构。</w:t>
            </w:r>
          </w:p>
          <w:p w14:paraId="670E7529">
            <w:pPr>
              <w:ind w:firstLine="480"/>
            </w:pPr>
            <w:r>
              <w:t>因此</w:t>
            </w:r>
            <w:r>
              <w:rPr>
                <w:rFonts w:hint="eastAsia"/>
              </w:rPr>
              <w:t>，</w:t>
            </w:r>
            <w:r>
              <w:t>建设施工过程中主要污染因素有：</w:t>
            </w:r>
          </w:p>
          <w:p w14:paraId="660B0E35">
            <w:pPr>
              <w:ind w:firstLine="480"/>
            </w:pPr>
            <w:r>
              <w:rPr>
                <w:rFonts w:hint="eastAsia"/>
              </w:rPr>
              <w:t>（1）</w:t>
            </w:r>
            <w:r>
              <w:t>噪声：主要为施工机械和运输车辆产生的噪声；</w:t>
            </w:r>
          </w:p>
          <w:p w14:paraId="1D8E1A34">
            <w:pPr>
              <w:ind w:firstLine="480"/>
            </w:pPr>
            <w:r>
              <w:rPr>
                <w:rFonts w:hint="eastAsia"/>
              </w:rPr>
              <w:t>（2）</w:t>
            </w:r>
            <w:r>
              <w:t>废气：主要为土建施工、材料堆存、汽车运输等过程产生的扬尘；</w:t>
            </w:r>
          </w:p>
          <w:p w14:paraId="5AECC02C">
            <w:pPr>
              <w:ind w:firstLine="480"/>
            </w:pPr>
            <w:r>
              <w:rPr>
                <w:rFonts w:hint="eastAsia"/>
              </w:rPr>
              <w:t>（3）</w:t>
            </w:r>
            <w:r>
              <w:t>废水：主要为混凝土养护废水、施工机械设备和车辆冲洗废水以及施工人员排放的生活污水；</w:t>
            </w:r>
          </w:p>
          <w:p w14:paraId="126E6665">
            <w:pPr>
              <w:ind w:firstLine="480"/>
            </w:pPr>
            <w:r>
              <w:rPr>
                <w:rFonts w:hint="eastAsia"/>
              </w:rPr>
              <w:t>（4）</w:t>
            </w:r>
            <w:r>
              <w:t>固体废物：主要为施工产生的建筑垃圾和施工人员产生的生活垃圾。</w:t>
            </w:r>
          </w:p>
          <w:p w14:paraId="49846BEC">
            <w:pPr>
              <w:spacing w:line="500" w:lineRule="exact"/>
              <w:ind w:firstLine="480"/>
            </w:pPr>
            <w:r>
              <w:t>1</w:t>
            </w:r>
            <w:r>
              <w:rPr>
                <w:rFonts w:hint="eastAsia"/>
              </w:rPr>
              <w:t>、</w:t>
            </w:r>
            <w:r>
              <w:t>施工期大气环境影响分析</w:t>
            </w:r>
          </w:p>
          <w:p w14:paraId="5A72162D">
            <w:pPr>
              <w:spacing w:line="500" w:lineRule="exact"/>
              <w:ind w:firstLine="480"/>
            </w:pPr>
            <w:r>
              <w:rPr>
                <w:rFonts w:hint="eastAsia"/>
              </w:rPr>
              <w:t>（1）</w:t>
            </w:r>
            <w:r>
              <w:t>施工扬尘影响分析</w:t>
            </w:r>
          </w:p>
          <w:p w14:paraId="01F62490">
            <w:pPr>
              <w:ind w:firstLine="480"/>
            </w:pPr>
            <w:r>
              <w:t>施工期扬尘主要来自：施工期土方挖掘、回填，建筑材料搬运及堆放，施工垃圾的清理及堆放，运输车辆的装卸，施工机械的往来等。施工扬尘的大小与施工现场条件，施工工艺、施工管理水平，施工机械化程度及施工季节，建设地区土质及天气等诸多因素有关。</w:t>
            </w:r>
          </w:p>
          <w:p w14:paraId="702A0EA5">
            <w:pPr>
              <w:ind w:firstLine="480"/>
            </w:pPr>
            <w:r>
              <w:t>扬尘是施工阶段的主要大气污染物，拟建</w:t>
            </w:r>
            <w:r>
              <w:rPr>
                <w:rFonts w:hint="eastAsia"/>
              </w:rPr>
              <w:t>项目</w:t>
            </w:r>
            <w:r>
              <w:t>建设期扬尘主要来源于基础开挖、施工作业、车辆运输等过程。对整个施工期而言，施工产生的扬尘主要集中在土建施工阶段，起尘的原因主要为风力起尘，裸露的施工区表层浮尘由于天气干燥及大风，产生风力扬尘。扬尘中主要污染因子PM10，不含有毒有害的特殊污染物，且以无组织形式</w:t>
            </w:r>
            <w:r>
              <w:rPr>
                <w:rFonts w:hint="eastAsia"/>
              </w:rPr>
              <w:t>排放。</w:t>
            </w:r>
          </w:p>
          <w:p w14:paraId="6C9232A3">
            <w:pPr>
              <w:ind w:firstLine="480"/>
            </w:pPr>
            <w:r>
              <w:t>从施工场地实地调查的数据资料来看，建筑工地扬尘对大气的影响范围主要在工地围墙外150m以内。</w:t>
            </w:r>
            <w:r>
              <w:rPr>
                <w:rFonts w:hint="eastAsia"/>
              </w:rPr>
              <w:t>本项目150m范围内无大气环境保护目标。</w:t>
            </w:r>
          </w:p>
          <w:p w14:paraId="2BD33520">
            <w:pPr>
              <w:ind w:firstLine="480"/>
            </w:pPr>
            <w:r>
              <w:t>本工程需要采取有效防治措施，尤其是避免施工扬尘对周围环境造成显著的不利影响，施工期对环境的影响属于短期影响，施工结束后，周边的环境空气质量能恢复到现状水平。</w:t>
            </w:r>
          </w:p>
          <w:p w14:paraId="52CCCED5">
            <w:pPr>
              <w:spacing w:line="500" w:lineRule="exact"/>
              <w:ind w:firstLine="480"/>
            </w:pPr>
            <w:r>
              <w:rPr>
                <w:rFonts w:hint="eastAsia"/>
              </w:rPr>
              <w:t>（2）</w:t>
            </w:r>
            <w:r>
              <w:t>施工扬尘污染防治对策</w:t>
            </w:r>
          </w:p>
          <w:p w14:paraId="6B135208">
            <w:pPr>
              <w:ind w:firstLine="480"/>
            </w:pPr>
            <w:r>
              <w:t>为减少施工扬尘对外环境的影响，根据《施工场地扬尘排放标准》（DB13/2934-2019）、《河北省扬尘污染防治办法》（2020年1月21日省政府第77次常务会议通过，2020年4月1日起施行）、</w:t>
            </w:r>
            <w:r>
              <w:rPr>
                <w:rFonts w:hint="eastAsia"/>
              </w:rPr>
              <w:t>《河北省2020年建筑施工扬尘污染防治工作方案》</w:t>
            </w:r>
            <w:r>
              <w:t>及《唐山市住房和城乡建设局关于进一步强化建筑工地扬尘治理有关措施的通知》</w:t>
            </w:r>
            <w:r>
              <w:rPr>
                <w:rFonts w:hint="eastAsia"/>
              </w:rPr>
              <w:t>（</w:t>
            </w:r>
            <w:r>
              <w:t>简称</w:t>
            </w:r>
            <w:r>
              <w:rPr>
                <w:rFonts w:hint="eastAsia"/>
              </w:rPr>
              <w:t>“</w:t>
            </w:r>
            <w:r>
              <w:t>六项强化措施</w:t>
            </w:r>
            <w:r>
              <w:rPr>
                <w:rFonts w:hint="eastAsia"/>
              </w:rPr>
              <w:t>”）（</w:t>
            </w:r>
            <w:r>
              <w:t>唐住建发[2018]44号</w:t>
            </w:r>
            <w:r>
              <w:rPr>
                <w:rFonts w:hint="eastAsia"/>
              </w:rPr>
              <w:t>）</w:t>
            </w:r>
            <w:r>
              <w:t>。本项目施工过程中要采取如下防尘和抑尘措施。</w:t>
            </w:r>
          </w:p>
          <w:p w14:paraId="3DEBF52E">
            <w:pPr>
              <w:ind w:firstLine="480"/>
            </w:pPr>
            <w:r>
              <w:t>一、施工单位必须在施工现场出入口明显位置设置扬尘防治公示牌，内容包括建设、施工、监理及监管等单位名称、扬尘防治负责人的名称、联系电话、举报电话等。</w:t>
            </w:r>
          </w:p>
          <w:p w14:paraId="369B2794">
            <w:pPr>
              <w:ind w:firstLine="480"/>
            </w:pPr>
            <w:r>
              <w:t>二、施工现场必须连续设置硬质围挡，围挡应坚固、美观，严禁围挡不严或敞开式施工。城区主干道两侧的围挡高度不低于2.5米，一般路段高度不低于1.8米。</w:t>
            </w:r>
          </w:p>
          <w:p w14:paraId="70A62CDB">
            <w:pPr>
              <w:ind w:firstLine="480"/>
            </w:pPr>
            <w:r>
              <w:t>三、施工现场出入口和场内施工道路、材料加工堆放区、办公区、生活区必须采用混凝土硬化或用硬质砌块铺设，硬化后的地面应清扫整洁无浮土、积土，严禁使用其他软质材料铺设。</w:t>
            </w:r>
          </w:p>
          <w:p w14:paraId="537C2E5C">
            <w:pPr>
              <w:ind w:firstLine="480"/>
            </w:pPr>
            <w:r>
              <w:t>四、施工现场出入口必须配备车辆冲洗设施，设置排水、泥浆沉淀池等设施，建立冲洗制度并设专人管理，严禁车辆带泥上路。</w:t>
            </w:r>
          </w:p>
          <w:p w14:paraId="2FDC266B">
            <w:pPr>
              <w:ind w:firstLine="480"/>
            </w:pPr>
            <w:r>
              <w:t>五、施工现场出入口、加工区和主作业区等处必须安装视频监控系统，对施工扬尘实时监控。</w:t>
            </w:r>
          </w:p>
          <w:p w14:paraId="64894606">
            <w:pPr>
              <w:ind w:firstLine="480"/>
            </w:pPr>
            <w:r>
              <w:t>六、施工现场集中堆放的土方和裸露场地必须采取覆盖、固化或绿化等防尘措施，严禁裸露。</w:t>
            </w:r>
          </w:p>
          <w:p w14:paraId="4B8FA681">
            <w:pPr>
              <w:ind w:firstLine="480"/>
            </w:pPr>
            <w:r>
              <w:t>七、基坑开挖作业过程中，四周应采取洒水、喷雾等降尘措施。</w:t>
            </w:r>
          </w:p>
          <w:p w14:paraId="004B8ED0">
            <w:pPr>
              <w:ind w:firstLine="480"/>
            </w:pPr>
            <w:r>
              <w:t>八、具备条件的地区施工现场必须使用商品混凝土、预拌砂浆，严禁现场搅拌。</w:t>
            </w:r>
          </w:p>
          <w:p w14:paraId="15379858">
            <w:pPr>
              <w:ind w:firstLine="480"/>
            </w:pPr>
            <w:r>
              <w:t>九、建筑物内应保持干净整洁，清扫垃圾时要洒水抑尘。</w:t>
            </w:r>
          </w:p>
          <w:p w14:paraId="3C9ABC50">
            <w:pPr>
              <w:ind w:firstLine="480"/>
            </w:pPr>
            <w:r>
              <w:t>十、施工现场的建筑垃圾必须设置垃圾存放点</w:t>
            </w:r>
            <w:r>
              <w:rPr>
                <w:rFonts w:hint="eastAsia"/>
              </w:rPr>
              <w:t>，</w:t>
            </w:r>
            <w:r>
              <w:t>集中堆放并严密覆盖，及时清运。生活垃圾应用封闭式容器存放，日产日清，严禁随意丢弃。</w:t>
            </w:r>
          </w:p>
          <w:p w14:paraId="7EADF39A">
            <w:pPr>
              <w:ind w:firstLine="480"/>
            </w:pPr>
            <w:r>
              <w:t>十一、施工现场必须建立洒水清扫抑尘制度，配备洒水设备。非冰冻期每天洒水不少于2次，并有专人负责。重污染天气时相应增加洒水频次。</w:t>
            </w:r>
          </w:p>
          <w:p w14:paraId="1D133EAC">
            <w:pPr>
              <w:ind w:firstLine="480"/>
            </w:pPr>
            <w:r>
              <w:t>十二、遇有4级以上大风或重污染天气预警时，必须采取扬尘防治应急措施，严禁土方开挖、土方回填、房屋拆除、材料切割、金属焊接、喷涂或其他有可能产生扬尘的作业。</w:t>
            </w:r>
          </w:p>
          <w:p w14:paraId="62268A7F">
            <w:pPr>
              <w:ind w:firstLine="480"/>
            </w:pPr>
            <w:r>
              <w:t>十三、建设单位必须组织相关单位做好工程外管网及绿化施工阶段的扬尘防治工作。</w:t>
            </w:r>
          </w:p>
          <w:p w14:paraId="7E63D0F1">
            <w:pPr>
              <w:ind w:firstLine="480"/>
            </w:pPr>
            <w:r>
              <w:t>十四、在施工工地同步安装视频监控设备和扬尘污染物在线监测设备，分别与建设主管部门、生态环境主管部门的监控设备联网，并保证系统正常运行，发生故障应当在二十四小时内修复；县级以上人民政府建立统一平台后，并入监控系统进行联网监控。根据河北省印发</w:t>
            </w:r>
            <w:r>
              <w:rPr>
                <w:rFonts w:hint="eastAsia"/>
              </w:rPr>
              <w:t>的</w:t>
            </w:r>
            <w:r>
              <w:t>《施工场地扬尘排放标准》</w:t>
            </w:r>
            <w:r>
              <w:rPr>
                <w:rFonts w:hint="eastAsia"/>
              </w:rPr>
              <w:t>（DB13/2934-2019）</w:t>
            </w:r>
            <w:r>
              <w:t>，施工场地占地</w:t>
            </w:r>
            <w:r>
              <w:rPr>
                <w:rFonts w:hint="eastAsia"/>
              </w:rPr>
              <w:t>面积为10000～100000m</w:t>
            </w:r>
            <w:r>
              <w:rPr>
                <w:rFonts w:hint="eastAsia"/>
                <w:vertAlign w:val="superscript"/>
              </w:rPr>
              <w:t>2</w:t>
            </w:r>
            <w:r>
              <w:rPr>
                <w:rFonts w:hint="eastAsia"/>
              </w:rPr>
              <w:t>，监测点数量不小于4个，</w:t>
            </w:r>
            <w:r>
              <w:t>本项目施工场地占地</w:t>
            </w:r>
            <w:r>
              <w:rPr>
                <w:rFonts w:hint="eastAsia"/>
              </w:rPr>
              <w:t>13548.62m</w:t>
            </w:r>
            <w:r>
              <w:rPr>
                <w:rFonts w:hint="eastAsia"/>
                <w:vertAlign w:val="superscript"/>
              </w:rPr>
              <w:t>2</w:t>
            </w:r>
            <w:r>
              <w:t>，需设置</w:t>
            </w:r>
            <w:r>
              <w:rPr>
                <w:rFonts w:hint="eastAsia"/>
              </w:rPr>
              <w:t>4</w:t>
            </w:r>
            <w:r>
              <w:t>个监测点。可吸入颗粒物PM10采样口高度一般应设在距地面</w:t>
            </w:r>
            <w:r>
              <w:rPr>
                <w:rFonts w:hint="eastAsia"/>
              </w:rPr>
              <w:t>3</w:t>
            </w:r>
            <w:r>
              <w:t>~</w:t>
            </w:r>
            <w:r>
              <w:rPr>
                <w:rFonts w:hint="eastAsia"/>
              </w:rPr>
              <w:t>5</w:t>
            </w:r>
            <w:r>
              <w:t>m</w:t>
            </w:r>
            <w:r>
              <w:rPr>
                <w:rFonts w:hint="eastAsia"/>
              </w:rPr>
              <w:t>处</w:t>
            </w:r>
            <w:r>
              <w:t>，采样口到在线监测仪管道长度不应大于2.5m。</w:t>
            </w:r>
          </w:p>
          <w:p w14:paraId="50CF4FA7">
            <w:pPr>
              <w:ind w:firstLine="480"/>
            </w:pPr>
            <w:r>
              <w:t>采取上述措施后，项目施工场地扬尘排放应满足《施工场地扬尘排放标准》（DB13/2934</w:t>
            </w:r>
            <w:r>
              <w:rPr>
                <w:rFonts w:hint="eastAsia"/>
                <w:lang w:eastAsia="zh-CN"/>
              </w:rPr>
              <w:t>-</w:t>
            </w:r>
            <w:r>
              <w:t>2019）标准要求。只要加强管理、切实落实好上述污染防治措施，施工扬尘对环境的影响将大大降低，扬尘对环境的影响将随施工期的结束而消失。</w:t>
            </w:r>
          </w:p>
          <w:p w14:paraId="3A163565">
            <w:pPr>
              <w:ind w:firstLine="480"/>
            </w:pPr>
            <w:r>
              <w:t>2</w:t>
            </w:r>
            <w:r>
              <w:rPr>
                <w:rFonts w:hint="eastAsia"/>
              </w:rPr>
              <w:t>、</w:t>
            </w:r>
            <w:r>
              <w:t>施工期水环境影响分析</w:t>
            </w:r>
          </w:p>
          <w:p w14:paraId="41522BCA">
            <w:pPr>
              <w:ind w:firstLine="480"/>
            </w:pPr>
            <w:r>
              <w:t>施工期产生的废水主要有施工废水，即混凝土养护废水、施工机械设备和车辆的冲洗废水</w:t>
            </w:r>
            <w:r>
              <w:rPr>
                <w:rFonts w:hint="eastAsia"/>
              </w:rPr>
              <w:t>和</w:t>
            </w:r>
            <w:r>
              <w:t>施工人员生活污水，主要污染物为SS等</w:t>
            </w:r>
            <w:r>
              <w:rPr>
                <w:rFonts w:hint="eastAsia"/>
              </w:rPr>
              <w:t>。</w:t>
            </w:r>
          </w:p>
          <w:p w14:paraId="21477E86">
            <w:pPr>
              <w:ind w:firstLine="480"/>
            </w:pPr>
            <w:r>
              <w:t>针对上述不同的废水，采取如下防治措施。</w:t>
            </w:r>
          </w:p>
          <w:p w14:paraId="20A361EA">
            <w:pPr>
              <w:ind w:firstLine="480"/>
            </w:pPr>
            <w:r>
              <w:t>（1）混凝土养护废水：封闭混凝土中水分不蒸发外逸，水泥依靠混凝土中水分完成水化作用，因水量较小，故废水排放量小，可以不需专门处理。</w:t>
            </w:r>
          </w:p>
          <w:p w14:paraId="4388D0F5">
            <w:pPr>
              <w:ind w:firstLine="480"/>
            </w:pPr>
            <w:r>
              <w:t>（2）机械和车辆冲洗废水：清洗处设置沉淀池，使排放的废水先经沉淀池沉淀后再回收用于场地洒水降尘。</w:t>
            </w:r>
          </w:p>
          <w:p w14:paraId="61BA2B98">
            <w:pPr>
              <w:ind w:firstLine="480"/>
            </w:pPr>
            <w:r>
              <w:t>（3）施工人员生活污水：施工现场不设餐厅，三餐外</w:t>
            </w:r>
            <w:r>
              <w:rPr>
                <w:rFonts w:hint="eastAsia"/>
              </w:rPr>
              <w:t>买</w:t>
            </w:r>
            <w:r>
              <w:t>盒饭解决，生活污水主要为施工人员的盥洗污水，可直接泼洒地面。</w:t>
            </w:r>
          </w:p>
          <w:p w14:paraId="3C979CF9">
            <w:pPr>
              <w:ind w:firstLine="480"/>
            </w:pPr>
            <w:r>
              <w:t>采取上述措施后，施工期产生的废水都可得到合理的处置，对外界环境影响较小。</w:t>
            </w:r>
          </w:p>
          <w:p w14:paraId="029F9401">
            <w:pPr>
              <w:ind w:firstLine="480"/>
            </w:pPr>
            <w:r>
              <w:t>3</w:t>
            </w:r>
            <w:r>
              <w:rPr>
                <w:rFonts w:hint="eastAsia"/>
              </w:rPr>
              <w:t>、</w:t>
            </w:r>
            <w:r>
              <w:t>施工噪声影响分析</w:t>
            </w:r>
          </w:p>
          <w:p w14:paraId="76E4A039">
            <w:pPr>
              <w:tabs>
                <w:tab w:val="left" w:pos="0"/>
                <w:tab w:val="left" w:pos="1020"/>
              </w:tabs>
              <w:autoSpaceDE w:val="0"/>
              <w:autoSpaceDN w:val="0"/>
              <w:adjustRightInd w:val="0"/>
              <w:ind w:firstLine="480"/>
            </w:pPr>
            <w:r>
              <w:t xml:space="preserve">3.1 噪声源强 </w:t>
            </w:r>
          </w:p>
          <w:p w14:paraId="53915F69">
            <w:pPr>
              <w:ind w:firstLine="480"/>
              <w:rPr>
                <w:lang w:val="zh-CN"/>
              </w:rPr>
            </w:pPr>
            <w:r>
              <w:t>从噪声角度出发，把施工阶段分为四个阶段：土石方阶段、基础施工阶段、结构施工阶段和装修阶段。这几个阶段所占施工时间较长，采用的施工机械较多，噪声污染比较严重，不同阶段又具有独立的噪声特性。根据类比调查和资料分析，各类建筑施工机械产生噪声值及噪声测点与设备距离见下表。</w:t>
            </w:r>
          </w:p>
          <w:p w14:paraId="17A36E69">
            <w:pPr>
              <w:pStyle w:val="36"/>
              <w:rPr>
                <w:sz w:val="21"/>
                <w:szCs w:val="21"/>
              </w:rPr>
            </w:pPr>
            <w:r>
              <w:rPr>
                <w:sz w:val="21"/>
                <w:szCs w:val="21"/>
              </w:rPr>
              <w:t>表</w:t>
            </w:r>
            <w:r>
              <w:rPr>
                <w:rFonts w:hint="eastAsia"/>
                <w:sz w:val="21"/>
                <w:szCs w:val="21"/>
              </w:rPr>
              <w:t>4-1</w:t>
            </w:r>
            <w:r>
              <w:rPr>
                <w:sz w:val="21"/>
                <w:szCs w:val="21"/>
              </w:rPr>
              <w:t xml:space="preserve">  施工机械产生噪声值一览表</w:t>
            </w:r>
          </w:p>
          <w:tbl>
            <w:tblPr>
              <w:tblStyle w:val="22"/>
              <w:tblW w:w="84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905"/>
              <w:gridCol w:w="2055"/>
              <w:gridCol w:w="1980"/>
              <w:gridCol w:w="1380"/>
            </w:tblGrid>
            <w:tr w14:paraId="5A1A6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3" w:type="dxa"/>
                  <w:tcBorders>
                    <w:tl2br w:val="nil"/>
                    <w:tr2bl w:val="nil"/>
                  </w:tcBorders>
                  <w:vAlign w:val="center"/>
                </w:tcPr>
                <w:p w14:paraId="38A36762">
                  <w:pPr>
                    <w:pStyle w:val="31"/>
                    <w:rPr>
                      <w:sz w:val="21"/>
                      <w:szCs w:val="21"/>
                    </w:rPr>
                  </w:pPr>
                  <w:r>
                    <w:rPr>
                      <w:sz w:val="21"/>
                      <w:szCs w:val="21"/>
                    </w:rPr>
                    <w:t>设备名称</w:t>
                  </w:r>
                </w:p>
              </w:tc>
              <w:tc>
                <w:tcPr>
                  <w:tcW w:w="1905" w:type="dxa"/>
                  <w:tcBorders>
                    <w:tl2br w:val="nil"/>
                    <w:tr2bl w:val="nil"/>
                  </w:tcBorders>
                  <w:vAlign w:val="center"/>
                </w:tcPr>
                <w:p w14:paraId="7DECA6BF">
                  <w:pPr>
                    <w:pStyle w:val="31"/>
                    <w:rPr>
                      <w:sz w:val="21"/>
                      <w:szCs w:val="21"/>
                    </w:rPr>
                  </w:pPr>
                  <w:r>
                    <w:rPr>
                      <w:sz w:val="21"/>
                      <w:szCs w:val="21"/>
                    </w:rPr>
                    <w:t>噪声强度/dB（A）</w:t>
                  </w:r>
                </w:p>
              </w:tc>
              <w:tc>
                <w:tcPr>
                  <w:tcW w:w="2055" w:type="dxa"/>
                  <w:tcBorders>
                    <w:tl2br w:val="nil"/>
                    <w:tr2bl w:val="nil"/>
                  </w:tcBorders>
                  <w:vAlign w:val="center"/>
                </w:tcPr>
                <w:p w14:paraId="30A183C9">
                  <w:pPr>
                    <w:pStyle w:val="31"/>
                    <w:rPr>
                      <w:sz w:val="21"/>
                      <w:szCs w:val="21"/>
                    </w:rPr>
                  </w:pPr>
                  <w:r>
                    <w:rPr>
                      <w:sz w:val="21"/>
                      <w:szCs w:val="21"/>
                    </w:rPr>
                    <w:t>设备名称</w:t>
                  </w:r>
                </w:p>
              </w:tc>
              <w:tc>
                <w:tcPr>
                  <w:tcW w:w="1980" w:type="dxa"/>
                  <w:tcBorders>
                    <w:tl2br w:val="nil"/>
                    <w:tr2bl w:val="nil"/>
                  </w:tcBorders>
                  <w:vAlign w:val="center"/>
                </w:tcPr>
                <w:p w14:paraId="60B94D02">
                  <w:pPr>
                    <w:pStyle w:val="31"/>
                    <w:rPr>
                      <w:sz w:val="21"/>
                      <w:szCs w:val="21"/>
                    </w:rPr>
                  </w:pPr>
                  <w:r>
                    <w:rPr>
                      <w:sz w:val="21"/>
                      <w:szCs w:val="21"/>
                    </w:rPr>
                    <w:t>噪声强度/dB（A）</w:t>
                  </w:r>
                </w:p>
              </w:tc>
              <w:tc>
                <w:tcPr>
                  <w:tcW w:w="1380" w:type="dxa"/>
                  <w:tcBorders>
                    <w:tl2br w:val="nil"/>
                    <w:tr2bl w:val="nil"/>
                  </w:tcBorders>
                  <w:vAlign w:val="center"/>
                </w:tcPr>
                <w:p w14:paraId="54D5EA33">
                  <w:pPr>
                    <w:pStyle w:val="31"/>
                    <w:rPr>
                      <w:sz w:val="21"/>
                      <w:szCs w:val="21"/>
                    </w:rPr>
                  </w:pPr>
                  <w:r>
                    <w:rPr>
                      <w:rFonts w:hint="eastAsia"/>
                      <w:sz w:val="21"/>
                      <w:szCs w:val="21"/>
                    </w:rPr>
                    <w:t>备注</w:t>
                  </w:r>
                </w:p>
              </w:tc>
            </w:tr>
            <w:tr w14:paraId="7C02A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93" w:type="dxa"/>
                  <w:tcBorders>
                    <w:tl2br w:val="nil"/>
                    <w:tr2bl w:val="nil"/>
                  </w:tcBorders>
                  <w:vAlign w:val="center"/>
                </w:tcPr>
                <w:p w14:paraId="6D4A911F">
                  <w:pPr>
                    <w:pStyle w:val="31"/>
                    <w:rPr>
                      <w:sz w:val="21"/>
                      <w:szCs w:val="21"/>
                    </w:rPr>
                  </w:pPr>
                  <w:r>
                    <w:rPr>
                      <w:sz w:val="21"/>
                      <w:szCs w:val="21"/>
                    </w:rPr>
                    <w:t>挖掘机</w:t>
                  </w:r>
                </w:p>
              </w:tc>
              <w:tc>
                <w:tcPr>
                  <w:tcW w:w="1905" w:type="dxa"/>
                  <w:tcBorders>
                    <w:tl2br w:val="nil"/>
                    <w:tr2bl w:val="nil"/>
                  </w:tcBorders>
                  <w:vAlign w:val="center"/>
                </w:tcPr>
                <w:p w14:paraId="5EB15CBF">
                  <w:pPr>
                    <w:pStyle w:val="31"/>
                    <w:rPr>
                      <w:sz w:val="21"/>
                      <w:szCs w:val="21"/>
                    </w:rPr>
                  </w:pPr>
                  <w:r>
                    <w:rPr>
                      <w:sz w:val="21"/>
                      <w:szCs w:val="21"/>
                    </w:rPr>
                    <w:t>93</w:t>
                  </w:r>
                </w:p>
              </w:tc>
              <w:tc>
                <w:tcPr>
                  <w:tcW w:w="2055" w:type="dxa"/>
                  <w:tcBorders>
                    <w:tl2br w:val="nil"/>
                    <w:tr2bl w:val="nil"/>
                  </w:tcBorders>
                  <w:vAlign w:val="center"/>
                </w:tcPr>
                <w:p w14:paraId="5CA29A34">
                  <w:pPr>
                    <w:pStyle w:val="31"/>
                    <w:rPr>
                      <w:sz w:val="21"/>
                      <w:szCs w:val="21"/>
                    </w:rPr>
                  </w:pPr>
                  <w:r>
                    <w:rPr>
                      <w:sz w:val="21"/>
                      <w:szCs w:val="21"/>
                    </w:rPr>
                    <w:t>推土机</w:t>
                  </w:r>
                </w:p>
              </w:tc>
              <w:tc>
                <w:tcPr>
                  <w:tcW w:w="1980" w:type="dxa"/>
                  <w:tcBorders>
                    <w:tl2br w:val="nil"/>
                    <w:tr2bl w:val="nil"/>
                  </w:tcBorders>
                  <w:vAlign w:val="center"/>
                </w:tcPr>
                <w:p w14:paraId="2A56D36D">
                  <w:pPr>
                    <w:pStyle w:val="31"/>
                    <w:rPr>
                      <w:sz w:val="21"/>
                      <w:szCs w:val="21"/>
                    </w:rPr>
                  </w:pPr>
                  <w:r>
                    <w:rPr>
                      <w:sz w:val="21"/>
                      <w:szCs w:val="21"/>
                    </w:rPr>
                    <w:t>86</w:t>
                  </w:r>
                </w:p>
              </w:tc>
              <w:tc>
                <w:tcPr>
                  <w:tcW w:w="1380" w:type="dxa"/>
                  <w:vMerge w:val="restart"/>
                  <w:tcBorders>
                    <w:tl2br w:val="nil"/>
                    <w:tr2bl w:val="nil"/>
                  </w:tcBorders>
                  <w:vAlign w:val="center"/>
                </w:tcPr>
                <w:p w14:paraId="6B3C67E4">
                  <w:pPr>
                    <w:pStyle w:val="31"/>
                    <w:rPr>
                      <w:sz w:val="21"/>
                      <w:szCs w:val="21"/>
                    </w:rPr>
                  </w:pPr>
                  <w:r>
                    <w:rPr>
                      <w:rFonts w:hint="eastAsia"/>
                      <w:sz w:val="21"/>
                      <w:szCs w:val="21"/>
                    </w:rPr>
                    <w:t>设备1m处</w:t>
                  </w:r>
                </w:p>
              </w:tc>
            </w:tr>
            <w:tr w14:paraId="2E5AF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93" w:type="dxa"/>
                  <w:tcBorders>
                    <w:tl2br w:val="nil"/>
                    <w:tr2bl w:val="nil"/>
                  </w:tcBorders>
                  <w:vAlign w:val="center"/>
                </w:tcPr>
                <w:p w14:paraId="07C1543B">
                  <w:pPr>
                    <w:pStyle w:val="31"/>
                    <w:rPr>
                      <w:sz w:val="21"/>
                      <w:szCs w:val="21"/>
                    </w:rPr>
                  </w:pPr>
                  <w:r>
                    <w:rPr>
                      <w:rFonts w:hint="eastAsia"/>
                      <w:sz w:val="21"/>
                      <w:szCs w:val="21"/>
                    </w:rPr>
                    <w:t>运输车辆</w:t>
                  </w:r>
                </w:p>
              </w:tc>
              <w:tc>
                <w:tcPr>
                  <w:tcW w:w="1905" w:type="dxa"/>
                  <w:tcBorders>
                    <w:tl2br w:val="nil"/>
                    <w:tr2bl w:val="nil"/>
                  </w:tcBorders>
                  <w:vAlign w:val="center"/>
                </w:tcPr>
                <w:p w14:paraId="41A6AE4C">
                  <w:pPr>
                    <w:pStyle w:val="31"/>
                    <w:rPr>
                      <w:sz w:val="21"/>
                      <w:szCs w:val="21"/>
                    </w:rPr>
                  </w:pPr>
                  <w:r>
                    <w:rPr>
                      <w:sz w:val="21"/>
                      <w:szCs w:val="21"/>
                    </w:rPr>
                    <w:t>80</w:t>
                  </w:r>
                </w:p>
              </w:tc>
              <w:tc>
                <w:tcPr>
                  <w:tcW w:w="2055" w:type="dxa"/>
                  <w:tcBorders>
                    <w:tl2br w:val="nil"/>
                    <w:tr2bl w:val="nil"/>
                  </w:tcBorders>
                  <w:vAlign w:val="center"/>
                </w:tcPr>
                <w:p w14:paraId="7512AADA">
                  <w:pPr>
                    <w:pStyle w:val="31"/>
                    <w:rPr>
                      <w:sz w:val="21"/>
                      <w:szCs w:val="21"/>
                    </w:rPr>
                  </w:pPr>
                  <w:r>
                    <w:rPr>
                      <w:sz w:val="21"/>
                      <w:szCs w:val="21"/>
                    </w:rPr>
                    <w:t>低频环保型振捣器</w:t>
                  </w:r>
                </w:p>
              </w:tc>
              <w:tc>
                <w:tcPr>
                  <w:tcW w:w="1980" w:type="dxa"/>
                  <w:tcBorders>
                    <w:tl2br w:val="nil"/>
                    <w:tr2bl w:val="nil"/>
                  </w:tcBorders>
                  <w:vAlign w:val="center"/>
                </w:tcPr>
                <w:p w14:paraId="67B6D010">
                  <w:pPr>
                    <w:pStyle w:val="31"/>
                    <w:rPr>
                      <w:sz w:val="21"/>
                      <w:szCs w:val="21"/>
                    </w:rPr>
                  </w:pPr>
                  <w:r>
                    <w:rPr>
                      <w:sz w:val="21"/>
                      <w:szCs w:val="21"/>
                    </w:rPr>
                    <w:t>80</w:t>
                  </w:r>
                </w:p>
              </w:tc>
              <w:tc>
                <w:tcPr>
                  <w:tcW w:w="1380" w:type="dxa"/>
                  <w:vMerge w:val="continue"/>
                  <w:tcBorders>
                    <w:tl2br w:val="nil"/>
                    <w:tr2bl w:val="nil"/>
                  </w:tcBorders>
                  <w:vAlign w:val="center"/>
                </w:tcPr>
                <w:p w14:paraId="06686CA5">
                  <w:pPr>
                    <w:pStyle w:val="31"/>
                    <w:rPr>
                      <w:sz w:val="21"/>
                      <w:szCs w:val="21"/>
                    </w:rPr>
                  </w:pPr>
                </w:p>
              </w:tc>
            </w:tr>
            <w:tr w14:paraId="14A28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93" w:type="dxa"/>
                  <w:tcBorders>
                    <w:tl2br w:val="nil"/>
                    <w:tr2bl w:val="nil"/>
                  </w:tcBorders>
                  <w:vAlign w:val="center"/>
                </w:tcPr>
                <w:p w14:paraId="7DAD90C5">
                  <w:pPr>
                    <w:pStyle w:val="31"/>
                    <w:rPr>
                      <w:sz w:val="21"/>
                      <w:szCs w:val="21"/>
                    </w:rPr>
                  </w:pPr>
                  <w:r>
                    <w:rPr>
                      <w:rFonts w:hint="eastAsia"/>
                      <w:sz w:val="21"/>
                      <w:szCs w:val="21"/>
                    </w:rPr>
                    <w:t>汽车吊</w:t>
                  </w:r>
                </w:p>
              </w:tc>
              <w:tc>
                <w:tcPr>
                  <w:tcW w:w="1905" w:type="dxa"/>
                  <w:tcBorders>
                    <w:tl2br w:val="nil"/>
                    <w:tr2bl w:val="nil"/>
                  </w:tcBorders>
                  <w:vAlign w:val="center"/>
                </w:tcPr>
                <w:p w14:paraId="051165A5">
                  <w:pPr>
                    <w:pStyle w:val="31"/>
                    <w:rPr>
                      <w:sz w:val="21"/>
                      <w:szCs w:val="21"/>
                    </w:rPr>
                  </w:pPr>
                  <w:r>
                    <w:rPr>
                      <w:rFonts w:hint="eastAsia"/>
                      <w:sz w:val="21"/>
                      <w:szCs w:val="21"/>
                    </w:rPr>
                    <w:t>85</w:t>
                  </w:r>
                </w:p>
              </w:tc>
              <w:tc>
                <w:tcPr>
                  <w:tcW w:w="2055" w:type="dxa"/>
                  <w:tcBorders>
                    <w:tl2br w:val="nil"/>
                    <w:tr2bl w:val="nil"/>
                  </w:tcBorders>
                  <w:vAlign w:val="center"/>
                </w:tcPr>
                <w:p w14:paraId="0EC92C02">
                  <w:pPr>
                    <w:pStyle w:val="31"/>
                    <w:rPr>
                      <w:sz w:val="21"/>
                      <w:szCs w:val="21"/>
                    </w:rPr>
                  </w:pPr>
                  <w:r>
                    <w:rPr>
                      <w:rFonts w:hint="eastAsia"/>
                      <w:sz w:val="21"/>
                      <w:szCs w:val="21"/>
                    </w:rPr>
                    <w:t>卷扬机</w:t>
                  </w:r>
                </w:p>
              </w:tc>
              <w:tc>
                <w:tcPr>
                  <w:tcW w:w="1980" w:type="dxa"/>
                  <w:tcBorders>
                    <w:tl2br w:val="nil"/>
                    <w:tr2bl w:val="nil"/>
                  </w:tcBorders>
                  <w:vAlign w:val="center"/>
                </w:tcPr>
                <w:p w14:paraId="34FA8E55">
                  <w:pPr>
                    <w:pStyle w:val="31"/>
                    <w:rPr>
                      <w:sz w:val="21"/>
                      <w:szCs w:val="21"/>
                    </w:rPr>
                  </w:pPr>
                  <w:r>
                    <w:rPr>
                      <w:rFonts w:hint="eastAsia"/>
                      <w:sz w:val="21"/>
                      <w:szCs w:val="21"/>
                    </w:rPr>
                    <w:t>80</w:t>
                  </w:r>
                </w:p>
              </w:tc>
              <w:tc>
                <w:tcPr>
                  <w:tcW w:w="1380" w:type="dxa"/>
                  <w:vMerge w:val="continue"/>
                  <w:tcBorders>
                    <w:tl2br w:val="nil"/>
                    <w:tr2bl w:val="nil"/>
                  </w:tcBorders>
                  <w:vAlign w:val="center"/>
                </w:tcPr>
                <w:p w14:paraId="58AB2E56">
                  <w:pPr>
                    <w:pStyle w:val="31"/>
                    <w:rPr>
                      <w:sz w:val="21"/>
                      <w:szCs w:val="21"/>
                    </w:rPr>
                  </w:pPr>
                </w:p>
              </w:tc>
            </w:tr>
            <w:tr w14:paraId="72868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93" w:type="dxa"/>
                  <w:tcBorders>
                    <w:tl2br w:val="nil"/>
                    <w:tr2bl w:val="nil"/>
                  </w:tcBorders>
                  <w:vAlign w:val="center"/>
                </w:tcPr>
                <w:p w14:paraId="1237A1B3">
                  <w:pPr>
                    <w:pStyle w:val="31"/>
                    <w:rPr>
                      <w:sz w:val="21"/>
                      <w:szCs w:val="21"/>
                    </w:rPr>
                  </w:pPr>
                  <w:r>
                    <w:rPr>
                      <w:rFonts w:hint="eastAsia"/>
                      <w:sz w:val="21"/>
                      <w:szCs w:val="21"/>
                    </w:rPr>
                    <w:t>电焊机</w:t>
                  </w:r>
                </w:p>
              </w:tc>
              <w:tc>
                <w:tcPr>
                  <w:tcW w:w="1905" w:type="dxa"/>
                  <w:tcBorders>
                    <w:tl2br w:val="nil"/>
                    <w:tr2bl w:val="nil"/>
                  </w:tcBorders>
                  <w:vAlign w:val="center"/>
                </w:tcPr>
                <w:p w14:paraId="529CB324">
                  <w:pPr>
                    <w:pStyle w:val="31"/>
                    <w:rPr>
                      <w:sz w:val="21"/>
                      <w:szCs w:val="21"/>
                    </w:rPr>
                  </w:pPr>
                  <w:r>
                    <w:rPr>
                      <w:rFonts w:hint="eastAsia"/>
                      <w:sz w:val="21"/>
                      <w:szCs w:val="21"/>
                    </w:rPr>
                    <w:t>80</w:t>
                  </w:r>
                </w:p>
              </w:tc>
              <w:tc>
                <w:tcPr>
                  <w:tcW w:w="2055" w:type="dxa"/>
                  <w:tcBorders>
                    <w:tl2br w:val="nil"/>
                    <w:tr2bl w:val="nil"/>
                  </w:tcBorders>
                  <w:vAlign w:val="center"/>
                </w:tcPr>
                <w:p w14:paraId="68B6B161">
                  <w:pPr>
                    <w:pStyle w:val="31"/>
                    <w:rPr>
                      <w:sz w:val="21"/>
                      <w:szCs w:val="21"/>
                    </w:rPr>
                  </w:pPr>
                  <w:r>
                    <w:rPr>
                      <w:rFonts w:hint="eastAsia"/>
                      <w:sz w:val="21"/>
                      <w:szCs w:val="21"/>
                    </w:rPr>
                    <w:t>切割机</w:t>
                  </w:r>
                </w:p>
              </w:tc>
              <w:tc>
                <w:tcPr>
                  <w:tcW w:w="1980" w:type="dxa"/>
                  <w:tcBorders>
                    <w:tl2br w:val="nil"/>
                    <w:tr2bl w:val="nil"/>
                  </w:tcBorders>
                  <w:vAlign w:val="center"/>
                </w:tcPr>
                <w:p w14:paraId="7961FC16">
                  <w:pPr>
                    <w:pStyle w:val="31"/>
                    <w:rPr>
                      <w:sz w:val="21"/>
                      <w:szCs w:val="21"/>
                    </w:rPr>
                  </w:pPr>
                  <w:r>
                    <w:rPr>
                      <w:rFonts w:hint="eastAsia"/>
                      <w:sz w:val="21"/>
                      <w:szCs w:val="21"/>
                    </w:rPr>
                    <w:t>85</w:t>
                  </w:r>
                </w:p>
              </w:tc>
              <w:tc>
                <w:tcPr>
                  <w:tcW w:w="1380" w:type="dxa"/>
                  <w:vMerge w:val="continue"/>
                  <w:tcBorders>
                    <w:tl2br w:val="nil"/>
                    <w:tr2bl w:val="nil"/>
                  </w:tcBorders>
                  <w:vAlign w:val="center"/>
                </w:tcPr>
                <w:p w14:paraId="7C6E9735">
                  <w:pPr>
                    <w:pStyle w:val="31"/>
                    <w:rPr>
                      <w:sz w:val="21"/>
                      <w:szCs w:val="21"/>
                    </w:rPr>
                  </w:pPr>
                </w:p>
              </w:tc>
            </w:tr>
          </w:tbl>
          <w:p w14:paraId="6AC55A0E">
            <w:pPr>
              <w:tabs>
                <w:tab w:val="left" w:pos="-180"/>
                <w:tab w:val="left" w:pos="1020"/>
              </w:tabs>
              <w:ind w:firstLine="480"/>
            </w:pPr>
            <w:r>
              <w:t>本项目采用低频环保混凝土振捣器，其噪声值为80dB（A）。</w:t>
            </w:r>
          </w:p>
          <w:p w14:paraId="4A9C06D6">
            <w:pPr>
              <w:tabs>
                <w:tab w:val="left" w:pos="360"/>
              </w:tabs>
              <w:ind w:firstLine="480"/>
            </w:pPr>
            <w:r>
              <w:t>因此本项目产生噪声的施工机械设备主要有挖掘机、推土机、低频环保型混凝土振捣器、</w:t>
            </w:r>
            <w:r>
              <w:rPr>
                <w:rFonts w:hint="eastAsia"/>
              </w:rPr>
              <w:t>运输车辆、汽车吊、卷扬机、电焊机、切割机</w:t>
            </w:r>
            <w:r>
              <w:t>等。</w:t>
            </w:r>
          </w:p>
          <w:p w14:paraId="1D34BDCF">
            <w:pPr>
              <w:autoSpaceDE w:val="0"/>
              <w:autoSpaceDN w:val="0"/>
              <w:adjustRightInd w:val="0"/>
              <w:ind w:firstLine="480"/>
            </w:pPr>
            <w:r>
              <w:t>3.2 施工期噪声影响分析</w:t>
            </w:r>
          </w:p>
          <w:p w14:paraId="3AFA8413">
            <w:pPr>
              <w:ind w:firstLine="480"/>
              <w:rPr>
                <w:lang w:val="zh-CN"/>
              </w:rPr>
            </w:pPr>
            <w:r>
              <w:rPr>
                <w:lang w:val="zh-CN"/>
              </w:rPr>
              <w:t>（</w:t>
            </w:r>
            <w:r>
              <w:t>1</w:t>
            </w:r>
            <w:r>
              <w:rPr>
                <w:lang w:val="zh-CN"/>
              </w:rPr>
              <w:t>）各施工机械到场界噪声达标分析：</w:t>
            </w:r>
          </w:p>
          <w:p w14:paraId="34DE6FB2">
            <w:pPr>
              <w:ind w:firstLine="480"/>
              <w:rPr>
                <w:lang w:val="zh-CN"/>
              </w:rPr>
            </w:pPr>
            <w:r>
              <w:rPr>
                <w:lang w:val="zh-CN"/>
              </w:rPr>
              <w:t>本项目所用施工机械设备满足</w:t>
            </w:r>
            <w:r>
              <w:t>《建筑施工场界环境噪声排放标准》（GB12523-2011）要求时所需的距离。</w:t>
            </w:r>
          </w:p>
          <w:p w14:paraId="3D7693A4">
            <w:pPr>
              <w:ind w:firstLine="480"/>
            </w:pPr>
            <w:r>
              <w:rPr>
                <w:lang w:val="zh-CN"/>
              </w:rPr>
              <w:t>施工噪声预测</w:t>
            </w:r>
            <w:r>
              <w:t>采用点源衰减预测模式，预测只计算声源至受声点的几何发散衰减，不考虑声屏障、空气吸收等衰减。预测模式如下：</w:t>
            </w:r>
          </w:p>
          <w:p w14:paraId="0E089669">
            <w:pPr>
              <w:autoSpaceDE w:val="0"/>
              <w:autoSpaceDN w:val="0"/>
              <w:adjustRightInd w:val="0"/>
              <w:spacing w:line="240" w:lineRule="auto"/>
              <w:ind w:firstLine="0" w:firstLineChars="0"/>
              <w:jc w:val="center"/>
            </w:pPr>
            <w:r>
              <w:object>
                <v:shape id="_x0000_i1025" o:spt="75" type="#_x0000_t75" style="height:36pt;width:94.5pt;" o:ole="t" filled="f" o:preferrelative="t" stroked="f" coordsize="21600,21600">
                  <v:path/>
                  <v:fill on="f" focussize="0,0"/>
                  <v:stroke on="f" joinstyle="miter"/>
                  <v:imagedata r:id="rId18" o:title=""/>
                  <o:lock v:ext="edit" aspectratio="t"/>
                  <w10:wrap type="none"/>
                  <w10:anchorlock/>
                </v:shape>
                <o:OLEObject Type="Embed" ProgID="Equations" ShapeID="_x0000_i1025" DrawAspect="Content" ObjectID="_1468075725" r:id="rId17">
                  <o:LockedField>false</o:LockedField>
                </o:OLEObject>
              </w:object>
            </w:r>
          </w:p>
          <w:p w14:paraId="144DC80B">
            <w:pPr>
              <w:autoSpaceDE w:val="0"/>
              <w:autoSpaceDN w:val="0"/>
              <w:adjustRightInd w:val="0"/>
              <w:ind w:firstLine="480"/>
            </w:pPr>
            <w:r>
              <w:t>式中：L</w:t>
            </w:r>
            <w:r>
              <w:rPr>
                <w:rFonts w:hint="eastAsia"/>
              </w:rPr>
              <w:t>r</w:t>
            </w:r>
            <w:r>
              <w:rPr>
                <w:rFonts w:hint="eastAsia"/>
                <w:lang w:eastAsia="zh-CN"/>
              </w:rPr>
              <w:t>-</w:t>
            </w:r>
            <w:r>
              <w:t>距声源r处的A声级，dB（A）；</w:t>
            </w:r>
          </w:p>
          <w:p w14:paraId="007F1322">
            <w:pPr>
              <w:autoSpaceDE w:val="0"/>
              <w:autoSpaceDN w:val="0"/>
              <w:adjustRightInd w:val="0"/>
              <w:ind w:firstLine="480"/>
            </w:pPr>
            <w:r>
              <w:t>L</w:t>
            </w:r>
            <w:r>
              <w:rPr>
                <w:vertAlign w:val="subscript"/>
              </w:rPr>
              <w:t>r0</w:t>
            </w:r>
            <w:r>
              <w:rPr>
                <w:rFonts w:hint="eastAsia"/>
                <w:lang w:eastAsia="zh-CN"/>
              </w:rPr>
              <w:t>-</w:t>
            </w:r>
            <w:r>
              <w:t>参考位置r</w:t>
            </w:r>
            <w:r>
              <w:rPr>
                <w:vertAlign w:val="subscript"/>
              </w:rPr>
              <w:t>0</w:t>
            </w:r>
            <w:r>
              <w:t>处的A声级，dB（A）；</w:t>
            </w:r>
          </w:p>
          <w:p w14:paraId="72A8E2C5">
            <w:pPr>
              <w:autoSpaceDE w:val="0"/>
              <w:autoSpaceDN w:val="0"/>
              <w:adjustRightInd w:val="0"/>
              <w:ind w:firstLine="480"/>
            </w:pPr>
            <w:r>
              <w:t>r</w:t>
            </w:r>
            <w:r>
              <w:rPr>
                <w:rFonts w:hint="eastAsia"/>
                <w:lang w:eastAsia="zh-CN"/>
              </w:rPr>
              <w:t>-</w:t>
            </w:r>
            <w:r>
              <w:t>预测点距声源的距离，m；</w:t>
            </w:r>
          </w:p>
          <w:p w14:paraId="2236DDAB">
            <w:pPr>
              <w:autoSpaceDE w:val="0"/>
              <w:autoSpaceDN w:val="0"/>
              <w:adjustRightInd w:val="0"/>
              <w:ind w:firstLine="480"/>
            </w:pPr>
            <w:r>
              <w:t>r</w:t>
            </w:r>
            <w:r>
              <w:rPr>
                <w:vertAlign w:val="subscript"/>
              </w:rPr>
              <w:t>0</w:t>
            </w:r>
            <w:r>
              <w:rPr>
                <w:rFonts w:hint="eastAsia"/>
                <w:lang w:eastAsia="zh-CN"/>
              </w:rPr>
              <w:t>-</w:t>
            </w:r>
            <w:r>
              <w:t xml:space="preserve">参考位置距声源的距离，m。 </w:t>
            </w:r>
          </w:p>
          <w:p w14:paraId="598E93C7">
            <w:pPr>
              <w:tabs>
                <w:tab w:val="left" w:pos="0"/>
              </w:tabs>
              <w:autoSpaceDE w:val="0"/>
              <w:autoSpaceDN w:val="0"/>
              <w:adjustRightInd w:val="0"/>
              <w:ind w:firstLine="480"/>
            </w:pPr>
            <w:r>
              <w:t>计算主要施工机械在不同距离的噪声贡献值，计算结果见下表。</w:t>
            </w:r>
          </w:p>
          <w:p w14:paraId="139FE28A">
            <w:pPr>
              <w:pStyle w:val="36"/>
              <w:rPr>
                <w:sz w:val="21"/>
                <w:szCs w:val="21"/>
              </w:rPr>
            </w:pPr>
            <w:r>
              <w:rPr>
                <w:sz w:val="21"/>
                <w:szCs w:val="21"/>
              </w:rPr>
              <w:t>表</w:t>
            </w:r>
            <w:r>
              <w:rPr>
                <w:rFonts w:hint="eastAsia"/>
                <w:sz w:val="21"/>
                <w:szCs w:val="21"/>
              </w:rPr>
              <w:t xml:space="preserve">4-2  </w:t>
            </w:r>
            <w:r>
              <w:rPr>
                <w:sz w:val="21"/>
                <w:szCs w:val="21"/>
              </w:rPr>
              <w:t>施工机械在不同距离的噪声贡献值</w:t>
            </w:r>
          </w:p>
          <w:tbl>
            <w:tblPr>
              <w:tblStyle w:val="22"/>
              <w:tblW w:w="84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95"/>
              <w:gridCol w:w="623"/>
              <w:gridCol w:w="710"/>
              <w:gridCol w:w="710"/>
              <w:gridCol w:w="710"/>
              <w:gridCol w:w="710"/>
              <w:gridCol w:w="710"/>
              <w:gridCol w:w="710"/>
              <w:gridCol w:w="715"/>
              <w:gridCol w:w="1062"/>
            </w:tblGrid>
            <w:tr w14:paraId="40B14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25" w:hRule="atLeast"/>
                <w:jc w:val="center"/>
              </w:trPr>
              <w:tc>
                <w:tcPr>
                  <w:tcW w:w="685" w:type="dxa"/>
                  <w:vMerge w:val="restart"/>
                  <w:tcBorders>
                    <w:tl2br w:val="nil"/>
                    <w:tr2bl w:val="nil"/>
                  </w:tcBorders>
                  <w:vAlign w:val="center"/>
                </w:tcPr>
                <w:p w14:paraId="40A4FDA5">
                  <w:pPr>
                    <w:pStyle w:val="31"/>
                    <w:rPr>
                      <w:sz w:val="21"/>
                      <w:szCs w:val="21"/>
                    </w:rPr>
                  </w:pPr>
                  <w:r>
                    <w:rPr>
                      <w:sz w:val="21"/>
                      <w:szCs w:val="21"/>
                    </w:rPr>
                    <w:t>序号</w:t>
                  </w:r>
                </w:p>
              </w:tc>
              <w:tc>
                <w:tcPr>
                  <w:tcW w:w="1095" w:type="dxa"/>
                  <w:vMerge w:val="restart"/>
                  <w:tcBorders>
                    <w:tl2br w:val="nil"/>
                    <w:tr2bl w:val="nil"/>
                  </w:tcBorders>
                  <w:vAlign w:val="center"/>
                </w:tcPr>
                <w:p w14:paraId="72629D78">
                  <w:pPr>
                    <w:pStyle w:val="31"/>
                    <w:rPr>
                      <w:sz w:val="21"/>
                      <w:szCs w:val="21"/>
                    </w:rPr>
                  </w:pPr>
                  <w:r>
                    <w:rPr>
                      <w:sz w:val="21"/>
                      <w:szCs w:val="21"/>
                    </w:rPr>
                    <w:t>机械名称</w:t>
                  </w:r>
                </w:p>
              </w:tc>
              <w:tc>
                <w:tcPr>
                  <w:tcW w:w="5598" w:type="dxa"/>
                  <w:gridSpan w:val="8"/>
                  <w:tcBorders>
                    <w:tl2br w:val="nil"/>
                    <w:tr2bl w:val="nil"/>
                  </w:tcBorders>
                  <w:vAlign w:val="center"/>
                </w:tcPr>
                <w:p w14:paraId="19E66892">
                  <w:pPr>
                    <w:pStyle w:val="31"/>
                    <w:rPr>
                      <w:sz w:val="21"/>
                      <w:szCs w:val="21"/>
                    </w:rPr>
                  </w:pPr>
                  <w:r>
                    <w:rPr>
                      <w:sz w:val="21"/>
                      <w:szCs w:val="21"/>
                    </w:rPr>
                    <w:t>不同距离处的噪声贡献值[dB（A）]</w:t>
                  </w:r>
                </w:p>
              </w:tc>
              <w:tc>
                <w:tcPr>
                  <w:tcW w:w="1062" w:type="dxa"/>
                  <w:vMerge w:val="restart"/>
                  <w:tcBorders>
                    <w:tl2br w:val="nil"/>
                    <w:tr2bl w:val="nil"/>
                  </w:tcBorders>
                  <w:vAlign w:val="center"/>
                </w:tcPr>
                <w:p w14:paraId="79EF0083">
                  <w:pPr>
                    <w:pStyle w:val="31"/>
                    <w:rPr>
                      <w:sz w:val="21"/>
                      <w:szCs w:val="21"/>
                    </w:rPr>
                  </w:pPr>
                  <w:r>
                    <w:rPr>
                      <w:sz w:val="21"/>
                      <w:szCs w:val="21"/>
                    </w:rPr>
                    <w:t>施工阶段</w:t>
                  </w:r>
                </w:p>
              </w:tc>
            </w:tr>
            <w:tr w14:paraId="32CA4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vMerge w:val="continue"/>
                  <w:tcBorders>
                    <w:tl2br w:val="nil"/>
                    <w:tr2bl w:val="nil"/>
                  </w:tcBorders>
                  <w:vAlign w:val="center"/>
                </w:tcPr>
                <w:p w14:paraId="7B760EED">
                  <w:pPr>
                    <w:pStyle w:val="31"/>
                    <w:rPr>
                      <w:sz w:val="21"/>
                      <w:szCs w:val="21"/>
                    </w:rPr>
                  </w:pPr>
                </w:p>
              </w:tc>
              <w:tc>
                <w:tcPr>
                  <w:tcW w:w="1095" w:type="dxa"/>
                  <w:vMerge w:val="continue"/>
                  <w:tcBorders>
                    <w:tl2br w:val="nil"/>
                    <w:tr2bl w:val="nil"/>
                  </w:tcBorders>
                  <w:vAlign w:val="center"/>
                </w:tcPr>
                <w:p w14:paraId="2398E94A">
                  <w:pPr>
                    <w:pStyle w:val="31"/>
                    <w:rPr>
                      <w:sz w:val="21"/>
                      <w:szCs w:val="21"/>
                    </w:rPr>
                  </w:pPr>
                </w:p>
              </w:tc>
              <w:tc>
                <w:tcPr>
                  <w:tcW w:w="623" w:type="dxa"/>
                  <w:tcBorders>
                    <w:tl2br w:val="nil"/>
                    <w:tr2bl w:val="nil"/>
                  </w:tcBorders>
                  <w:vAlign w:val="center"/>
                </w:tcPr>
                <w:p w14:paraId="48B43AB2">
                  <w:pPr>
                    <w:pStyle w:val="31"/>
                    <w:rPr>
                      <w:sz w:val="21"/>
                      <w:szCs w:val="21"/>
                    </w:rPr>
                  </w:pPr>
                  <w:r>
                    <w:rPr>
                      <w:sz w:val="21"/>
                      <w:szCs w:val="21"/>
                    </w:rPr>
                    <w:t>5m</w:t>
                  </w:r>
                </w:p>
              </w:tc>
              <w:tc>
                <w:tcPr>
                  <w:tcW w:w="710" w:type="dxa"/>
                  <w:tcBorders>
                    <w:tl2br w:val="nil"/>
                    <w:tr2bl w:val="nil"/>
                  </w:tcBorders>
                  <w:vAlign w:val="center"/>
                </w:tcPr>
                <w:p w14:paraId="49E8E473">
                  <w:pPr>
                    <w:pStyle w:val="31"/>
                    <w:rPr>
                      <w:sz w:val="21"/>
                      <w:szCs w:val="21"/>
                    </w:rPr>
                  </w:pPr>
                  <w:r>
                    <w:rPr>
                      <w:sz w:val="21"/>
                      <w:szCs w:val="21"/>
                    </w:rPr>
                    <w:t>10m</w:t>
                  </w:r>
                </w:p>
              </w:tc>
              <w:tc>
                <w:tcPr>
                  <w:tcW w:w="710" w:type="dxa"/>
                  <w:tcBorders>
                    <w:tl2br w:val="nil"/>
                    <w:tr2bl w:val="nil"/>
                  </w:tcBorders>
                  <w:vAlign w:val="center"/>
                </w:tcPr>
                <w:p w14:paraId="5FF98C42">
                  <w:pPr>
                    <w:pStyle w:val="31"/>
                    <w:rPr>
                      <w:sz w:val="21"/>
                      <w:szCs w:val="21"/>
                    </w:rPr>
                  </w:pPr>
                  <w:r>
                    <w:rPr>
                      <w:sz w:val="21"/>
                      <w:szCs w:val="21"/>
                    </w:rPr>
                    <w:t>20m</w:t>
                  </w:r>
                </w:p>
              </w:tc>
              <w:tc>
                <w:tcPr>
                  <w:tcW w:w="710" w:type="dxa"/>
                  <w:tcBorders>
                    <w:tl2br w:val="nil"/>
                    <w:tr2bl w:val="nil"/>
                  </w:tcBorders>
                  <w:vAlign w:val="center"/>
                </w:tcPr>
                <w:p w14:paraId="25CA398F">
                  <w:pPr>
                    <w:pStyle w:val="31"/>
                    <w:rPr>
                      <w:sz w:val="21"/>
                      <w:szCs w:val="21"/>
                    </w:rPr>
                  </w:pPr>
                  <w:r>
                    <w:rPr>
                      <w:sz w:val="21"/>
                      <w:szCs w:val="21"/>
                    </w:rPr>
                    <w:t>30m</w:t>
                  </w:r>
                </w:p>
              </w:tc>
              <w:tc>
                <w:tcPr>
                  <w:tcW w:w="710" w:type="dxa"/>
                  <w:tcBorders>
                    <w:tl2br w:val="nil"/>
                    <w:tr2bl w:val="nil"/>
                  </w:tcBorders>
                  <w:vAlign w:val="center"/>
                </w:tcPr>
                <w:p w14:paraId="32FB8E90">
                  <w:pPr>
                    <w:pStyle w:val="31"/>
                    <w:rPr>
                      <w:sz w:val="21"/>
                      <w:szCs w:val="21"/>
                    </w:rPr>
                  </w:pPr>
                  <w:r>
                    <w:rPr>
                      <w:sz w:val="21"/>
                      <w:szCs w:val="21"/>
                    </w:rPr>
                    <w:t>40m</w:t>
                  </w:r>
                </w:p>
              </w:tc>
              <w:tc>
                <w:tcPr>
                  <w:tcW w:w="710" w:type="dxa"/>
                  <w:tcBorders>
                    <w:tl2br w:val="nil"/>
                    <w:tr2bl w:val="nil"/>
                  </w:tcBorders>
                  <w:vAlign w:val="center"/>
                </w:tcPr>
                <w:p w14:paraId="1D3010D2">
                  <w:pPr>
                    <w:pStyle w:val="31"/>
                    <w:rPr>
                      <w:sz w:val="21"/>
                      <w:szCs w:val="21"/>
                    </w:rPr>
                  </w:pPr>
                  <w:r>
                    <w:rPr>
                      <w:sz w:val="21"/>
                      <w:szCs w:val="21"/>
                    </w:rPr>
                    <w:t>50m</w:t>
                  </w:r>
                </w:p>
              </w:tc>
              <w:tc>
                <w:tcPr>
                  <w:tcW w:w="710" w:type="dxa"/>
                  <w:tcBorders>
                    <w:tl2br w:val="nil"/>
                    <w:tr2bl w:val="nil"/>
                  </w:tcBorders>
                  <w:vAlign w:val="center"/>
                </w:tcPr>
                <w:p w14:paraId="5CBFEDAD">
                  <w:pPr>
                    <w:pStyle w:val="31"/>
                    <w:rPr>
                      <w:sz w:val="21"/>
                      <w:szCs w:val="21"/>
                    </w:rPr>
                  </w:pPr>
                  <w:r>
                    <w:rPr>
                      <w:sz w:val="21"/>
                      <w:szCs w:val="21"/>
                    </w:rPr>
                    <w:t>100m</w:t>
                  </w:r>
                </w:p>
              </w:tc>
              <w:tc>
                <w:tcPr>
                  <w:tcW w:w="715" w:type="dxa"/>
                  <w:tcBorders>
                    <w:tl2br w:val="nil"/>
                    <w:tr2bl w:val="nil"/>
                  </w:tcBorders>
                  <w:vAlign w:val="center"/>
                </w:tcPr>
                <w:p w14:paraId="709444EB">
                  <w:pPr>
                    <w:pStyle w:val="31"/>
                    <w:rPr>
                      <w:sz w:val="21"/>
                      <w:szCs w:val="21"/>
                    </w:rPr>
                  </w:pPr>
                  <w:r>
                    <w:rPr>
                      <w:sz w:val="21"/>
                      <w:szCs w:val="21"/>
                    </w:rPr>
                    <w:t>200m</w:t>
                  </w:r>
                </w:p>
              </w:tc>
              <w:tc>
                <w:tcPr>
                  <w:tcW w:w="1062" w:type="dxa"/>
                  <w:vMerge w:val="continue"/>
                  <w:tcBorders>
                    <w:tl2br w:val="nil"/>
                    <w:tr2bl w:val="nil"/>
                  </w:tcBorders>
                  <w:vAlign w:val="center"/>
                </w:tcPr>
                <w:p w14:paraId="1C954B34">
                  <w:pPr>
                    <w:pStyle w:val="31"/>
                    <w:rPr>
                      <w:sz w:val="21"/>
                      <w:szCs w:val="21"/>
                    </w:rPr>
                  </w:pPr>
                </w:p>
              </w:tc>
            </w:tr>
            <w:tr w14:paraId="394D9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1D99DF78">
                  <w:pPr>
                    <w:pStyle w:val="31"/>
                    <w:rPr>
                      <w:sz w:val="21"/>
                      <w:szCs w:val="21"/>
                    </w:rPr>
                  </w:pPr>
                  <w:r>
                    <w:rPr>
                      <w:sz w:val="21"/>
                      <w:szCs w:val="21"/>
                    </w:rPr>
                    <w:t>1</w:t>
                  </w:r>
                </w:p>
              </w:tc>
              <w:tc>
                <w:tcPr>
                  <w:tcW w:w="1095" w:type="dxa"/>
                  <w:tcBorders>
                    <w:tl2br w:val="nil"/>
                    <w:tr2bl w:val="nil"/>
                  </w:tcBorders>
                  <w:vAlign w:val="center"/>
                </w:tcPr>
                <w:p w14:paraId="0D07CAB5">
                  <w:pPr>
                    <w:pStyle w:val="31"/>
                    <w:rPr>
                      <w:sz w:val="21"/>
                      <w:szCs w:val="21"/>
                    </w:rPr>
                  </w:pPr>
                  <w:r>
                    <w:rPr>
                      <w:sz w:val="21"/>
                      <w:szCs w:val="21"/>
                    </w:rPr>
                    <w:t>挖掘机</w:t>
                  </w:r>
                </w:p>
              </w:tc>
              <w:tc>
                <w:tcPr>
                  <w:tcW w:w="623" w:type="dxa"/>
                  <w:tcBorders>
                    <w:tl2br w:val="nil"/>
                    <w:tr2bl w:val="nil"/>
                  </w:tcBorders>
                  <w:vAlign w:val="center"/>
                </w:tcPr>
                <w:p w14:paraId="0DE67F6C">
                  <w:pPr>
                    <w:pStyle w:val="31"/>
                    <w:rPr>
                      <w:sz w:val="21"/>
                      <w:szCs w:val="21"/>
                    </w:rPr>
                  </w:pPr>
                  <w:r>
                    <w:rPr>
                      <w:sz w:val="21"/>
                      <w:szCs w:val="21"/>
                    </w:rPr>
                    <w:t>79</w:t>
                  </w:r>
                </w:p>
              </w:tc>
              <w:tc>
                <w:tcPr>
                  <w:tcW w:w="710" w:type="dxa"/>
                  <w:tcBorders>
                    <w:tl2br w:val="nil"/>
                    <w:tr2bl w:val="nil"/>
                  </w:tcBorders>
                  <w:vAlign w:val="center"/>
                </w:tcPr>
                <w:p w14:paraId="50674273">
                  <w:pPr>
                    <w:pStyle w:val="31"/>
                    <w:rPr>
                      <w:sz w:val="21"/>
                      <w:szCs w:val="21"/>
                    </w:rPr>
                  </w:pPr>
                  <w:r>
                    <w:rPr>
                      <w:sz w:val="21"/>
                      <w:szCs w:val="21"/>
                    </w:rPr>
                    <w:t>73</w:t>
                  </w:r>
                </w:p>
              </w:tc>
              <w:tc>
                <w:tcPr>
                  <w:tcW w:w="710" w:type="dxa"/>
                  <w:tcBorders>
                    <w:tl2br w:val="nil"/>
                    <w:tr2bl w:val="nil"/>
                  </w:tcBorders>
                  <w:vAlign w:val="center"/>
                </w:tcPr>
                <w:p w14:paraId="37F09613">
                  <w:pPr>
                    <w:pStyle w:val="31"/>
                    <w:rPr>
                      <w:sz w:val="21"/>
                      <w:szCs w:val="21"/>
                    </w:rPr>
                  </w:pPr>
                  <w:r>
                    <w:rPr>
                      <w:sz w:val="21"/>
                      <w:szCs w:val="21"/>
                    </w:rPr>
                    <w:t>67</w:t>
                  </w:r>
                </w:p>
              </w:tc>
              <w:tc>
                <w:tcPr>
                  <w:tcW w:w="710" w:type="dxa"/>
                  <w:tcBorders>
                    <w:tl2br w:val="nil"/>
                    <w:tr2bl w:val="nil"/>
                  </w:tcBorders>
                  <w:vAlign w:val="center"/>
                </w:tcPr>
                <w:p w14:paraId="24CAAD28">
                  <w:pPr>
                    <w:pStyle w:val="31"/>
                    <w:rPr>
                      <w:sz w:val="21"/>
                      <w:szCs w:val="21"/>
                    </w:rPr>
                  </w:pPr>
                  <w:r>
                    <w:rPr>
                      <w:sz w:val="21"/>
                      <w:szCs w:val="21"/>
                    </w:rPr>
                    <w:t>63</w:t>
                  </w:r>
                </w:p>
              </w:tc>
              <w:tc>
                <w:tcPr>
                  <w:tcW w:w="710" w:type="dxa"/>
                  <w:tcBorders>
                    <w:tl2br w:val="nil"/>
                    <w:tr2bl w:val="nil"/>
                  </w:tcBorders>
                  <w:vAlign w:val="center"/>
                </w:tcPr>
                <w:p w14:paraId="2E18693C">
                  <w:pPr>
                    <w:pStyle w:val="31"/>
                    <w:rPr>
                      <w:sz w:val="21"/>
                      <w:szCs w:val="21"/>
                    </w:rPr>
                  </w:pPr>
                  <w:r>
                    <w:rPr>
                      <w:sz w:val="21"/>
                      <w:szCs w:val="21"/>
                    </w:rPr>
                    <w:t>61</w:t>
                  </w:r>
                </w:p>
              </w:tc>
              <w:tc>
                <w:tcPr>
                  <w:tcW w:w="710" w:type="dxa"/>
                  <w:tcBorders>
                    <w:tl2br w:val="nil"/>
                    <w:tr2bl w:val="nil"/>
                  </w:tcBorders>
                  <w:vAlign w:val="center"/>
                </w:tcPr>
                <w:p w14:paraId="32517EFC">
                  <w:pPr>
                    <w:pStyle w:val="31"/>
                    <w:rPr>
                      <w:sz w:val="21"/>
                      <w:szCs w:val="21"/>
                    </w:rPr>
                  </w:pPr>
                  <w:r>
                    <w:rPr>
                      <w:sz w:val="21"/>
                      <w:szCs w:val="21"/>
                    </w:rPr>
                    <w:t>59</w:t>
                  </w:r>
                </w:p>
              </w:tc>
              <w:tc>
                <w:tcPr>
                  <w:tcW w:w="710" w:type="dxa"/>
                  <w:tcBorders>
                    <w:tl2br w:val="nil"/>
                    <w:tr2bl w:val="nil"/>
                  </w:tcBorders>
                  <w:vAlign w:val="center"/>
                </w:tcPr>
                <w:p w14:paraId="2DDD62EC">
                  <w:pPr>
                    <w:pStyle w:val="31"/>
                    <w:rPr>
                      <w:sz w:val="21"/>
                      <w:szCs w:val="21"/>
                    </w:rPr>
                  </w:pPr>
                  <w:r>
                    <w:rPr>
                      <w:sz w:val="21"/>
                      <w:szCs w:val="21"/>
                    </w:rPr>
                    <w:t>53</w:t>
                  </w:r>
                </w:p>
              </w:tc>
              <w:tc>
                <w:tcPr>
                  <w:tcW w:w="715" w:type="dxa"/>
                  <w:tcBorders>
                    <w:tl2br w:val="nil"/>
                    <w:tr2bl w:val="nil"/>
                  </w:tcBorders>
                  <w:vAlign w:val="center"/>
                </w:tcPr>
                <w:p w14:paraId="72BFE481">
                  <w:pPr>
                    <w:pStyle w:val="31"/>
                    <w:rPr>
                      <w:sz w:val="21"/>
                      <w:szCs w:val="21"/>
                    </w:rPr>
                  </w:pPr>
                  <w:r>
                    <w:rPr>
                      <w:sz w:val="21"/>
                      <w:szCs w:val="21"/>
                    </w:rPr>
                    <w:t>47</w:t>
                  </w:r>
                </w:p>
              </w:tc>
              <w:tc>
                <w:tcPr>
                  <w:tcW w:w="1062" w:type="dxa"/>
                  <w:vMerge w:val="restart"/>
                  <w:tcBorders>
                    <w:tl2br w:val="nil"/>
                    <w:tr2bl w:val="nil"/>
                  </w:tcBorders>
                  <w:vAlign w:val="center"/>
                </w:tcPr>
                <w:p w14:paraId="33C98988">
                  <w:pPr>
                    <w:pStyle w:val="31"/>
                    <w:rPr>
                      <w:sz w:val="21"/>
                      <w:szCs w:val="21"/>
                    </w:rPr>
                  </w:pPr>
                  <w:r>
                    <w:rPr>
                      <w:sz w:val="21"/>
                      <w:szCs w:val="21"/>
                    </w:rPr>
                    <w:t>土石方</w:t>
                  </w:r>
                </w:p>
              </w:tc>
            </w:tr>
            <w:tr w14:paraId="2DB2A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6752BD32">
                  <w:pPr>
                    <w:pStyle w:val="31"/>
                    <w:rPr>
                      <w:sz w:val="21"/>
                      <w:szCs w:val="21"/>
                    </w:rPr>
                  </w:pPr>
                  <w:r>
                    <w:rPr>
                      <w:sz w:val="21"/>
                      <w:szCs w:val="21"/>
                    </w:rPr>
                    <w:t>2</w:t>
                  </w:r>
                </w:p>
              </w:tc>
              <w:tc>
                <w:tcPr>
                  <w:tcW w:w="1095" w:type="dxa"/>
                  <w:tcBorders>
                    <w:tl2br w:val="nil"/>
                    <w:tr2bl w:val="nil"/>
                  </w:tcBorders>
                  <w:vAlign w:val="center"/>
                </w:tcPr>
                <w:p w14:paraId="2CDB4BE8">
                  <w:pPr>
                    <w:pStyle w:val="31"/>
                    <w:rPr>
                      <w:sz w:val="21"/>
                      <w:szCs w:val="21"/>
                    </w:rPr>
                  </w:pPr>
                  <w:r>
                    <w:rPr>
                      <w:sz w:val="21"/>
                      <w:szCs w:val="21"/>
                    </w:rPr>
                    <w:t>推土机</w:t>
                  </w:r>
                </w:p>
              </w:tc>
              <w:tc>
                <w:tcPr>
                  <w:tcW w:w="623" w:type="dxa"/>
                  <w:tcBorders>
                    <w:tl2br w:val="nil"/>
                    <w:tr2bl w:val="nil"/>
                  </w:tcBorders>
                  <w:vAlign w:val="center"/>
                </w:tcPr>
                <w:p w14:paraId="3F171B44">
                  <w:pPr>
                    <w:pStyle w:val="31"/>
                    <w:rPr>
                      <w:sz w:val="21"/>
                      <w:szCs w:val="21"/>
                    </w:rPr>
                  </w:pPr>
                  <w:r>
                    <w:rPr>
                      <w:sz w:val="21"/>
                      <w:szCs w:val="21"/>
                    </w:rPr>
                    <w:t>72</w:t>
                  </w:r>
                </w:p>
              </w:tc>
              <w:tc>
                <w:tcPr>
                  <w:tcW w:w="710" w:type="dxa"/>
                  <w:tcBorders>
                    <w:tl2br w:val="nil"/>
                    <w:tr2bl w:val="nil"/>
                  </w:tcBorders>
                  <w:vAlign w:val="center"/>
                </w:tcPr>
                <w:p w14:paraId="478AB16C">
                  <w:pPr>
                    <w:pStyle w:val="31"/>
                    <w:rPr>
                      <w:sz w:val="21"/>
                      <w:szCs w:val="21"/>
                    </w:rPr>
                  </w:pPr>
                  <w:r>
                    <w:rPr>
                      <w:sz w:val="21"/>
                      <w:szCs w:val="21"/>
                    </w:rPr>
                    <w:t>66</w:t>
                  </w:r>
                </w:p>
              </w:tc>
              <w:tc>
                <w:tcPr>
                  <w:tcW w:w="710" w:type="dxa"/>
                  <w:tcBorders>
                    <w:tl2br w:val="nil"/>
                    <w:tr2bl w:val="nil"/>
                  </w:tcBorders>
                  <w:vAlign w:val="center"/>
                </w:tcPr>
                <w:p w14:paraId="165A79F6">
                  <w:pPr>
                    <w:pStyle w:val="31"/>
                    <w:rPr>
                      <w:sz w:val="21"/>
                      <w:szCs w:val="21"/>
                    </w:rPr>
                  </w:pPr>
                  <w:r>
                    <w:rPr>
                      <w:sz w:val="21"/>
                      <w:szCs w:val="21"/>
                    </w:rPr>
                    <w:t>60</w:t>
                  </w:r>
                </w:p>
              </w:tc>
              <w:tc>
                <w:tcPr>
                  <w:tcW w:w="710" w:type="dxa"/>
                  <w:tcBorders>
                    <w:tl2br w:val="nil"/>
                    <w:tr2bl w:val="nil"/>
                  </w:tcBorders>
                  <w:vAlign w:val="center"/>
                </w:tcPr>
                <w:p w14:paraId="6B324304">
                  <w:pPr>
                    <w:pStyle w:val="31"/>
                    <w:rPr>
                      <w:sz w:val="21"/>
                      <w:szCs w:val="21"/>
                    </w:rPr>
                  </w:pPr>
                  <w:r>
                    <w:rPr>
                      <w:sz w:val="21"/>
                      <w:szCs w:val="21"/>
                    </w:rPr>
                    <w:t>56</w:t>
                  </w:r>
                </w:p>
              </w:tc>
              <w:tc>
                <w:tcPr>
                  <w:tcW w:w="710" w:type="dxa"/>
                  <w:tcBorders>
                    <w:tl2br w:val="nil"/>
                    <w:tr2bl w:val="nil"/>
                  </w:tcBorders>
                  <w:vAlign w:val="center"/>
                </w:tcPr>
                <w:p w14:paraId="13425451">
                  <w:pPr>
                    <w:pStyle w:val="31"/>
                    <w:rPr>
                      <w:sz w:val="21"/>
                      <w:szCs w:val="21"/>
                    </w:rPr>
                  </w:pPr>
                  <w:r>
                    <w:rPr>
                      <w:sz w:val="21"/>
                      <w:szCs w:val="21"/>
                    </w:rPr>
                    <w:t>54</w:t>
                  </w:r>
                </w:p>
              </w:tc>
              <w:tc>
                <w:tcPr>
                  <w:tcW w:w="710" w:type="dxa"/>
                  <w:tcBorders>
                    <w:tl2br w:val="nil"/>
                    <w:tr2bl w:val="nil"/>
                  </w:tcBorders>
                  <w:vAlign w:val="center"/>
                </w:tcPr>
                <w:p w14:paraId="0979129A">
                  <w:pPr>
                    <w:pStyle w:val="31"/>
                    <w:rPr>
                      <w:sz w:val="21"/>
                      <w:szCs w:val="21"/>
                    </w:rPr>
                  </w:pPr>
                  <w:r>
                    <w:rPr>
                      <w:sz w:val="21"/>
                      <w:szCs w:val="21"/>
                    </w:rPr>
                    <w:t>52</w:t>
                  </w:r>
                </w:p>
              </w:tc>
              <w:tc>
                <w:tcPr>
                  <w:tcW w:w="710" w:type="dxa"/>
                  <w:tcBorders>
                    <w:tl2br w:val="nil"/>
                    <w:tr2bl w:val="nil"/>
                  </w:tcBorders>
                  <w:vAlign w:val="center"/>
                </w:tcPr>
                <w:p w14:paraId="3AC76395">
                  <w:pPr>
                    <w:pStyle w:val="31"/>
                    <w:rPr>
                      <w:sz w:val="21"/>
                      <w:szCs w:val="21"/>
                    </w:rPr>
                  </w:pPr>
                  <w:r>
                    <w:rPr>
                      <w:sz w:val="21"/>
                      <w:szCs w:val="21"/>
                    </w:rPr>
                    <w:t>46</w:t>
                  </w:r>
                </w:p>
              </w:tc>
              <w:tc>
                <w:tcPr>
                  <w:tcW w:w="715" w:type="dxa"/>
                  <w:tcBorders>
                    <w:tl2br w:val="nil"/>
                    <w:tr2bl w:val="nil"/>
                  </w:tcBorders>
                  <w:vAlign w:val="center"/>
                </w:tcPr>
                <w:p w14:paraId="6D8B06E0">
                  <w:pPr>
                    <w:pStyle w:val="31"/>
                    <w:rPr>
                      <w:sz w:val="21"/>
                      <w:szCs w:val="21"/>
                    </w:rPr>
                  </w:pPr>
                  <w:r>
                    <w:rPr>
                      <w:sz w:val="21"/>
                      <w:szCs w:val="21"/>
                    </w:rPr>
                    <w:t>40</w:t>
                  </w:r>
                </w:p>
              </w:tc>
              <w:tc>
                <w:tcPr>
                  <w:tcW w:w="1062" w:type="dxa"/>
                  <w:vMerge w:val="continue"/>
                  <w:tcBorders>
                    <w:tl2br w:val="nil"/>
                    <w:tr2bl w:val="nil"/>
                  </w:tcBorders>
                  <w:vAlign w:val="center"/>
                </w:tcPr>
                <w:p w14:paraId="2C300AD1">
                  <w:pPr>
                    <w:pStyle w:val="31"/>
                    <w:rPr>
                      <w:sz w:val="21"/>
                      <w:szCs w:val="21"/>
                    </w:rPr>
                  </w:pPr>
                </w:p>
              </w:tc>
            </w:tr>
            <w:tr w14:paraId="42CD5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1E7289A5">
                  <w:pPr>
                    <w:pStyle w:val="31"/>
                    <w:rPr>
                      <w:sz w:val="21"/>
                      <w:szCs w:val="21"/>
                    </w:rPr>
                  </w:pPr>
                  <w:r>
                    <w:rPr>
                      <w:sz w:val="21"/>
                      <w:szCs w:val="21"/>
                    </w:rPr>
                    <w:t>3</w:t>
                  </w:r>
                </w:p>
              </w:tc>
              <w:tc>
                <w:tcPr>
                  <w:tcW w:w="1095" w:type="dxa"/>
                  <w:tcBorders>
                    <w:tl2br w:val="nil"/>
                    <w:tr2bl w:val="nil"/>
                  </w:tcBorders>
                  <w:vAlign w:val="center"/>
                </w:tcPr>
                <w:p w14:paraId="15B000B4">
                  <w:pPr>
                    <w:pStyle w:val="31"/>
                    <w:rPr>
                      <w:sz w:val="21"/>
                      <w:szCs w:val="21"/>
                    </w:rPr>
                  </w:pPr>
                  <w:r>
                    <w:rPr>
                      <w:sz w:val="21"/>
                      <w:szCs w:val="21"/>
                    </w:rPr>
                    <w:t>低频环保</w:t>
                  </w:r>
                  <w:r>
                    <w:rPr>
                      <w:rFonts w:hint="eastAsia"/>
                      <w:sz w:val="21"/>
                      <w:szCs w:val="21"/>
                    </w:rPr>
                    <w:t>型</w:t>
                  </w:r>
                  <w:r>
                    <w:rPr>
                      <w:sz w:val="21"/>
                      <w:szCs w:val="21"/>
                    </w:rPr>
                    <w:t>振捣器</w:t>
                  </w:r>
                </w:p>
              </w:tc>
              <w:tc>
                <w:tcPr>
                  <w:tcW w:w="623" w:type="dxa"/>
                  <w:tcBorders>
                    <w:tl2br w:val="nil"/>
                    <w:tr2bl w:val="nil"/>
                  </w:tcBorders>
                  <w:vAlign w:val="center"/>
                </w:tcPr>
                <w:p w14:paraId="7DA0F518">
                  <w:pPr>
                    <w:pStyle w:val="31"/>
                    <w:rPr>
                      <w:sz w:val="21"/>
                      <w:szCs w:val="21"/>
                    </w:rPr>
                  </w:pPr>
                  <w:r>
                    <w:rPr>
                      <w:sz w:val="21"/>
                      <w:szCs w:val="21"/>
                    </w:rPr>
                    <w:t>66</w:t>
                  </w:r>
                </w:p>
              </w:tc>
              <w:tc>
                <w:tcPr>
                  <w:tcW w:w="710" w:type="dxa"/>
                  <w:tcBorders>
                    <w:tl2br w:val="nil"/>
                    <w:tr2bl w:val="nil"/>
                  </w:tcBorders>
                  <w:vAlign w:val="center"/>
                </w:tcPr>
                <w:p w14:paraId="23E92182">
                  <w:pPr>
                    <w:pStyle w:val="31"/>
                    <w:rPr>
                      <w:sz w:val="21"/>
                      <w:szCs w:val="21"/>
                    </w:rPr>
                  </w:pPr>
                  <w:r>
                    <w:rPr>
                      <w:sz w:val="21"/>
                      <w:szCs w:val="21"/>
                    </w:rPr>
                    <w:t>60</w:t>
                  </w:r>
                </w:p>
              </w:tc>
              <w:tc>
                <w:tcPr>
                  <w:tcW w:w="710" w:type="dxa"/>
                  <w:tcBorders>
                    <w:tl2br w:val="nil"/>
                    <w:tr2bl w:val="nil"/>
                  </w:tcBorders>
                  <w:vAlign w:val="center"/>
                </w:tcPr>
                <w:p w14:paraId="6D006E8E">
                  <w:pPr>
                    <w:pStyle w:val="31"/>
                    <w:rPr>
                      <w:sz w:val="21"/>
                      <w:szCs w:val="21"/>
                    </w:rPr>
                  </w:pPr>
                  <w:r>
                    <w:rPr>
                      <w:sz w:val="21"/>
                      <w:szCs w:val="21"/>
                    </w:rPr>
                    <w:t>54</w:t>
                  </w:r>
                </w:p>
              </w:tc>
              <w:tc>
                <w:tcPr>
                  <w:tcW w:w="710" w:type="dxa"/>
                  <w:tcBorders>
                    <w:tl2br w:val="nil"/>
                    <w:tr2bl w:val="nil"/>
                  </w:tcBorders>
                  <w:vAlign w:val="center"/>
                </w:tcPr>
                <w:p w14:paraId="756DB10F">
                  <w:pPr>
                    <w:pStyle w:val="31"/>
                    <w:rPr>
                      <w:sz w:val="21"/>
                      <w:szCs w:val="21"/>
                    </w:rPr>
                  </w:pPr>
                  <w:r>
                    <w:rPr>
                      <w:sz w:val="21"/>
                      <w:szCs w:val="21"/>
                    </w:rPr>
                    <w:t>50</w:t>
                  </w:r>
                </w:p>
              </w:tc>
              <w:tc>
                <w:tcPr>
                  <w:tcW w:w="710" w:type="dxa"/>
                  <w:tcBorders>
                    <w:tl2br w:val="nil"/>
                    <w:tr2bl w:val="nil"/>
                  </w:tcBorders>
                  <w:vAlign w:val="center"/>
                </w:tcPr>
                <w:p w14:paraId="12F38697">
                  <w:pPr>
                    <w:pStyle w:val="31"/>
                    <w:rPr>
                      <w:sz w:val="21"/>
                      <w:szCs w:val="21"/>
                    </w:rPr>
                  </w:pPr>
                  <w:r>
                    <w:rPr>
                      <w:sz w:val="21"/>
                      <w:szCs w:val="21"/>
                    </w:rPr>
                    <w:t>48</w:t>
                  </w:r>
                </w:p>
              </w:tc>
              <w:tc>
                <w:tcPr>
                  <w:tcW w:w="710" w:type="dxa"/>
                  <w:tcBorders>
                    <w:tl2br w:val="nil"/>
                    <w:tr2bl w:val="nil"/>
                  </w:tcBorders>
                  <w:vAlign w:val="center"/>
                </w:tcPr>
                <w:p w14:paraId="13B4FC97">
                  <w:pPr>
                    <w:pStyle w:val="31"/>
                    <w:rPr>
                      <w:sz w:val="21"/>
                      <w:szCs w:val="21"/>
                    </w:rPr>
                  </w:pPr>
                  <w:r>
                    <w:rPr>
                      <w:sz w:val="21"/>
                      <w:szCs w:val="21"/>
                    </w:rPr>
                    <w:t>46</w:t>
                  </w:r>
                </w:p>
              </w:tc>
              <w:tc>
                <w:tcPr>
                  <w:tcW w:w="710" w:type="dxa"/>
                  <w:tcBorders>
                    <w:tl2br w:val="nil"/>
                    <w:tr2bl w:val="nil"/>
                  </w:tcBorders>
                  <w:vAlign w:val="center"/>
                </w:tcPr>
                <w:p w14:paraId="2C36B1EE">
                  <w:pPr>
                    <w:pStyle w:val="31"/>
                    <w:rPr>
                      <w:sz w:val="21"/>
                      <w:szCs w:val="21"/>
                    </w:rPr>
                  </w:pPr>
                  <w:r>
                    <w:rPr>
                      <w:sz w:val="21"/>
                      <w:szCs w:val="21"/>
                    </w:rPr>
                    <w:t>40</w:t>
                  </w:r>
                </w:p>
              </w:tc>
              <w:tc>
                <w:tcPr>
                  <w:tcW w:w="715" w:type="dxa"/>
                  <w:tcBorders>
                    <w:tl2br w:val="nil"/>
                    <w:tr2bl w:val="nil"/>
                  </w:tcBorders>
                  <w:vAlign w:val="center"/>
                </w:tcPr>
                <w:p w14:paraId="2DB5252E">
                  <w:pPr>
                    <w:pStyle w:val="31"/>
                    <w:rPr>
                      <w:sz w:val="21"/>
                      <w:szCs w:val="21"/>
                    </w:rPr>
                  </w:pPr>
                  <w:r>
                    <w:rPr>
                      <w:rFonts w:hint="eastAsia"/>
                      <w:sz w:val="21"/>
                      <w:szCs w:val="21"/>
                    </w:rPr>
                    <w:t>34</w:t>
                  </w:r>
                </w:p>
              </w:tc>
              <w:tc>
                <w:tcPr>
                  <w:tcW w:w="1062" w:type="dxa"/>
                  <w:vMerge w:val="restart"/>
                  <w:tcBorders>
                    <w:tl2br w:val="nil"/>
                    <w:tr2bl w:val="nil"/>
                  </w:tcBorders>
                  <w:vAlign w:val="center"/>
                </w:tcPr>
                <w:p w14:paraId="500AC810">
                  <w:pPr>
                    <w:pStyle w:val="31"/>
                    <w:rPr>
                      <w:sz w:val="21"/>
                      <w:szCs w:val="21"/>
                    </w:rPr>
                  </w:pPr>
                  <w:r>
                    <w:rPr>
                      <w:sz w:val="21"/>
                      <w:szCs w:val="21"/>
                    </w:rPr>
                    <w:t>结构</w:t>
                  </w:r>
                </w:p>
              </w:tc>
            </w:tr>
            <w:tr w14:paraId="20314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5DF08B66">
                  <w:pPr>
                    <w:pStyle w:val="31"/>
                    <w:rPr>
                      <w:sz w:val="21"/>
                      <w:szCs w:val="21"/>
                    </w:rPr>
                  </w:pPr>
                  <w:r>
                    <w:rPr>
                      <w:rFonts w:hint="eastAsia"/>
                      <w:sz w:val="21"/>
                      <w:szCs w:val="21"/>
                    </w:rPr>
                    <w:t>4</w:t>
                  </w:r>
                </w:p>
              </w:tc>
              <w:tc>
                <w:tcPr>
                  <w:tcW w:w="1095" w:type="dxa"/>
                  <w:tcBorders>
                    <w:tl2br w:val="nil"/>
                    <w:tr2bl w:val="nil"/>
                  </w:tcBorders>
                  <w:vAlign w:val="center"/>
                </w:tcPr>
                <w:p w14:paraId="57AB168D">
                  <w:pPr>
                    <w:pStyle w:val="31"/>
                    <w:rPr>
                      <w:sz w:val="21"/>
                      <w:szCs w:val="21"/>
                    </w:rPr>
                  </w:pPr>
                  <w:r>
                    <w:rPr>
                      <w:rFonts w:hint="eastAsia"/>
                      <w:sz w:val="21"/>
                      <w:szCs w:val="21"/>
                    </w:rPr>
                    <w:t>汽车吊</w:t>
                  </w:r>
                </w:p>
              </w:tc>
              <w:tc>
                <w:tcPr>
                  <w:tcW w:w="623" w:type="dxa"/>
                  <w:tcBorders>
                    <w:tl2br w:val="nil"/>
                    <w:tr2bl w:val="nil"/>
                  </w:tcBorders>
                  <w:vAlign w:val="center"/>
                </w:tcPr>
                <w:p w14:paraId="3AD5A80D">
                  <w:pPr>
                    <w:pStyle w:val="31"/>
                    <w:rPr>
                      <w:sz w:val="21"/>
                      <w:szCs w:val="21"/>
                    </w:rPr>
                  </w:pPr>
                  <w:r>
                    <w:rPr>
                      <w:rFonts w:hint="eastAsia"/>
                      <w:sz w:val="21"/>
                      <w:szCs w:val="21"/>
                    </w:rPr>
                    <w:t>71</w:t>
                  </w:r>
                </w:p>
              </w:tc>
              <w:tc>
                <w:tcPr>
                  <w:tcW w:w="710" w:type="dxa"/>
                  <w:tcBorders>
                    <w:tl2br w:val="nil"/>
                    <w:tr2bl w:val="nil"/>
                  </w:tcBorders>
                  <w:vAlign w:val="center"/>
                </w:tcPr>
                <w:p w14:paraId="0449AE8A">
                  <w:pPr>
                    <w:pStyle w:val="31"/>
                    <w:rPr>
                      <w:sz w:val="21"/>
                      <w:szCs w:val="21"/>
                    </w:rPr>
                  </w:pPr>
                  <w:r>
                    <w:rPr>
                      <w:rFonts w:hint="eastAsia"/>
                      <w:sz w:val="21"/>
                      <w:szCs w:val="21"/>
                    </w:rPr>
                    <w:t>65</w:t>
                  </w:r>
                </w:p>
              </w:tc>
              <w:tc>
                <w:tcPr>
                  <w:tcW w:w="710" w:type="dxa"/>
                  <w:tcBorders>
                    <w:tl2br w:val="nil"/>
                    <w:tr2bl w:val="nil"/>
                  </w:tcBorders>
                  <w:vAlign w:val="center"/>
                </w:tcPr>
                <w:p w14:paraId="6D30DE53">
                  <w:pPr>
                    <w:pStyle w:val="31"/>
                    <w:rPr>
                      <w:sz w:val="21"/>
                      <w:szCs w:val="21"/>
                    </w:rPr>
                  </w:pPr>
                  <w:r>
                    <w:rPr>
                      <w:rFonts w:hint="eastAsia"/>
                      <w:sz w:val="21"/>
                      <w:szCs w:val="21"/>
                    </w:rPr>
                    <w:t>59</w:t>
                  </w:r>
                </w:p>
              </w:tc>
              <w:tc>
                <w:tcPr>
                  <w:tcW w:w="710" w:type="dxa"/>
                  <w:tcBorders>
                    <w:tl2br w:val="nil"/>
                    <w:tr2bl w:val="nil"/>
                  </w:tcBorders>
                  <w:vAlign w:val="center"/>
                </w:tcPr>
                <w:p w14:paraId="234378AE">
                  <w:pPr>
                    <w:pStyle w:val="31"/>
                    <w:rPr>
                      <w:sz w:val="21"/>
                      <w:szCs w:val="21"/>
                    </w:rPr>
                  </w:pPr>
                  <w:r>
                    <w:rPr>
                      <w:rFonts w:hint="eastAsia"/>
                      <w:sz w:val="21"/>
                      <w:szCs w:val="21"/>
                    </w:rPr>
                    <w:t>55</w:t>
                  </w:r>
                </w:p>
              </w:tc>
              <w:tc>
                <w:tcPr>
                  <w:tcW w:w="710" w:type="dxa"/>
                  <w:tcBorders>
                    <w:tl2br w:val="nil"/>
                    <w:tr2bl w:val="nil"/>
                  </w:tcBorders>
                  <w:vAlign w:val="center"/>
                </w:tcPr>
                <w:p w14:paraId="40B78966">
                  <w:pPr>
                    <w:pStyle w:val="31"/>
                    <w:rPr>
                      <w:sz w:val="21"/>
                      <w:szCs w:val="21"/>
                    </w:rPr>
                  </w:pPr>
                  <w:r>
                    <w:rPr>
                      <w:rFonts w:hint="eastAsia"/>
                      <w:sz w:val="21"/>
                      <w:szCs w:val="21"/>
                    </w:rPr>
                    <w:t>53</w:t>
                  </w:r>
                </w:p>
              </w:tc>
              <w:tc>
                <w:tcPr>
                  <w:tcW w:w="710" w:type="dxa"/>
                  <w:tcBorders>
                    <w:tl2br w:val="nil"/>
                    <w:tr2bl w:val="nil"/>
                  </w:tcBorders>
                  <w:vAlign w:val="center"/>
                </w:tcPr>
                <w:p w14:paraId="535AB007">
                  <w:pPr>
                    <w:pStyle w:val="31"/>
                    <w:rPr>
                      <w:sz w:val="21"/>
                      <w:szCs w:val="21"/>
                    </w:rPr>
                  </w:pPr>
                  <w:r>
                    <w:rPr>
                      <w:rFonts w:hint="eastAsia"/>
                      <w:sz w:val="21"/>
                      <w:szCs w:val="21"/>
                    </w:rPr>
                    <w:t>21</w:t>
                  </w:r>
                </w:p>
              </w:tc>
              <w:tc>
                <w:tcPr>
                  <w:tcW w:w="710" w:type="dxa"/>
                  <w:tcBorders>
                    <w:tl2br w:val="nil"/>
                    <w:tr2bl w:val="nil"/>
                  </w:tcBorders>
                  <w:vAlign w:val="center"/>
                </w:tcPr>
                <w:p w14:paraId="521C0334">
                  <w:pPr>
                    <w:pStyle w:val="31"/>
                    <w:rPr>
                      <w:sz w:val="21"/>
                      <w:szCs w:val="21"/>
                    </w:rPr>
                  </w:pPr>
                  <w:r>
                    <w:rPr>
                      <w:rFonts w:hint="eastAsia"/>
                      <w:sz w:val="21"/>
                      <w:szCs w:val="21"/>
                    </w:rPr>
                    <w:t>45</w:t>
                  </w:r>
                </w:p>
              </w:tc>
              <w:tc>
                <w:tcPr>
                  <w:tcW w:w="715" w:type="dxa"/>
                  <w:tcBorders>
                    <w:tl2br w:val="nil"/>
                    <w:tr2bl w:val="nil"/>
                  </w:tcBorders>
                  <w:vAlign w:val="center"/>
                </w:tcPr>
                <w:p w14:paraId="4EF518BB">
                  <w:pPr>
                    <w:pStyle w:val="31"/>
                    <w:rPr>
                      <w:sz w:val="21"/>
                      <w:szCs w:val="21"/>
                    </w:rPr>
                  </w:pPr>
                  <w:r>
                    <w:rPr>
                      <w:rFonts w:hint="eastAsia"/>
                      <w:sz w:val="21"/>
                      <w:szCs w:val="21"/>
                    </w:rPr>
                    <w:t>39</w:t>
                  </w:r>
                </w:p>
              </w:tc>
              <w:tc>
                <w:tcPr>
                  <w:tcW w:w="1062" w:type="dxa"/>
                  <w:vMerge w:val="continue"/>
                  <w:tcBorders>
                    <w:tl2br w:val="nil"/>
                    <w:tr2bl w:val="nil"/>
                  </w:tcBorders>
                  <w:vAlign w:val="center"/>
                </w:tcPr>
                <w:p w14:paraId="6192F296">
                  <w:pPr>
                    <w:pStyle w:val="31"/>
                    <w:rPr>
                      <w:sz w:val="21"/>
                      <w:szCs w:val="21"/>
                    </w:rPr>
                  </w:pPr>
                </w:p>
              </w:tc>
            </w:tr>
            <w:tr w14:paraId="7EC2A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4280E7C3">
                  <w:pPr>
                    <w:pStyle w:val="31"/>
                    <w:rPr>
                      <w:sz w:val="21"/>
                      <w:szCs w:val="21"/>
                    </w:rPr>
                  </w:pPr>
                  <w:r>
                    <w:rPr>
                      <w:rFonts w:hint="eastAsia"/>
                      <w:sz w:val="21"/>
                      <w:szCs w:val="21"/>
                    </w:rPr>
                    <w:t>5</w:t>
                  </w:r>
                </w:p>
              </w:tc>
              <w:tc>
                <w:tcPr>
                  <w:tcW w:w="1095" w:type="dxa"/>
                  <w:tcBorders>
                    <w:tl2br w:val="nil"/>
                    <w:tr2bl w:val="nil"/>
                  </w:tcBorders>
                  <w:vAlign w:val="center"/>
                </w:tcPr>
                <w:p w14:paraId="04ACD841">
                  <w:pPr>
                    <w:pStyle w:val="31"/>
                    <w:rPr>
                      <w:sz w:val="21"/>
                      <w:szCs w:val="21"/>
                    </w:rPr>
                  </w:pPr>
                  <w:r>
                    <w:rPr>
                      <w:rFonts w:hint="eastAsia"/>
                      <w:sz w:val="21"/>
                      <w:szCs w:val="21"/>
                    </w:rPr>
                    <w:t>卷扬机</w:t>
                  </w:r>
                </w:p>
              </w:tc>
              <w:tc>
                <w:tcPr>
                  <w:tcW w:w="623" w:type="dxa"/>
                  <w:tcBorders>
                    <w:tl2br w:val="nil"/>
                    <w:tr2bl w:val="nil"/>
                  </w:tcBorders>
                  <w:vAlign w:val="center"/>
                </w:tcPr>
                <w:p w14:paraId="0DFC1260">
                  <w:pPr>
                    <w:pStyle w:val="31"/>
                    <w:rPr>
                      <w:sz w:val="21"/>
                      <w:szCs w:val="21"/>
                    </w:rPr>
                  </w:pPr>
                  <w:r>
                    <w:rPr>
                      <w:rFonts w:hint="eastAsia"/>
                      <w:sz w:val="21"/>
                      <w:szCs w:val="21"/>
                    </w:rPr>
                    <w:t>66</w:t>
                  </w:r>
                </w:p>
              </w:tc>
              <w:tc>
                <w:tcPr>
                  <w:tcW w:w="710" w:type="dxa"/>
                  <w:tcBorders>
                    <w:tl2br w:val="nil"/>
                    <w:tr2bl w:val="nil"/>
                  </w:tcBorders>
                  <w:vAlign w:val="center"/>
                </w:tcPr>
                <w:p w14:paraId="502EB194">
                  <w:pPr>
                    <w:pStyle w:val="31"/>
                    <w:rPr>
                      <w:sz w:val="21"/>
                      <w:szCs w:val="21"/>
                    </w:rPr>
                  </w:pPr>
                  <w:r>
                    <w:rPr>
                      <w:rFonts w:hint="eastAsia"/>
                      <w:sz w:val="21"/>
                      <w:szCs w:val="21"/>
                    </w:rPr>
                    <w:t>60</w:t>
                  </w:r>
                </w:p>
              </w:tc>
              <w:tc>
                <w:tcPr>
                  <w:tcW w:w="710" w:type="dxa"/>
                  <w:tcBorders>
                    <w:tl2br w:val="nil"/>
                    <w:tr2bl w:val="nil"/>
                  </w:tcBorders>
                  <w:vAlign w:val="center"/>
                </w:tcPr>
                <w:p w14:paraId="2895855F">
                  <w:pPr>
                    <w:pStyle w:val="31"/>
                    <w:rPr>
                      <w:sz w:val="21"/>
                      <w:szCs w:val="21"/>
                    </w:rPr>
                  </w:pPr>
                  <w:r>
                    <w:rPr>
                      <w:rFonts w:hint="eastAsia"/>
                      <w:sz w:val="21"/>
                      <w:szCs w:val="21"/>
                    </w:rPr>
                    <w:t>54</w:t>
                  </w:r>
                </w:p>
              </w:tc>
              <w:tc>
                <w:tcPr>
                  <w:tcW w:w="710" w:type="dxa"/>
                  <w:tcBorders>
                    <w:tl2br w:val="nil"/>
                    <w:tr2bl w:val="nil"/>
                  </w:tcBorders>
                  <w:vAlign w:val="center"/>
                </w:tcPr>
                <w:p w14:paraId="4E613EB3">
                  <w:pPr>
                    <w:pStyle w:val="31"/>
                    <w:rPr>
                      <w:sz w:val="21"/>
                      <w:szCs w:val="21"/>
                    </w:rPr>
                  </w:pPr>
                  <w:r>
                    <w:rPr>
                      <w:rFonts w:hint="eastAsia"/>
                      <w:sz w:val="21"/>
                      <w:szCs w:val="21"/>
                    </w:rPr>
                    <w:t>50</w:t>
                  </w:r>
                </w:p>
              </w:tc>
              <w:tc>
                <w:tcPr>
                  <w:tcW w:w="710" w:type="dxa"/>
                  <w:tcBorders>
                    <w:tl2br w:val="nil"/>
                    <w:tr2bl w:val="nil"/>
                  </w:tcBorders>
                  <w:vAlign w:val="center"/>
                </w:tcPr>
                <w:p w14:paraId="3217E403">
                  <w:pPr>
                    <w:pStyle w:val="31"/>
                    <w:rPr>
                      <w:sz w:val="21"/>
                      <w:szCs w:val="21"/>
                    </w:rPr>
                  </w:pPr>
                  <w:r>
                    <w:rPr>
                      <w:rFonts w:hint="eastAsia"/>
                      <w:sz w:val="21"/>
                      <w:szCs w:val="21"/>
                    </w:rPr>
                    <w:t>48</w:t>
                  </w:r>
                </w:p>
              </w:tc>
              <w:tc>
                <w:tcPr>
                  <w:tcW w:w="710" w:type="dxa"/>
                  <w:tcBorders>
                    <w:tl2br w:val="nil"/>
                    <w:tr2bl w:val="nil"/>
                  </w:tcBorders>
                  <w:vAlign w:val="center"/>
                </w:tcPr>
                <w:p w14:paraId="18F2E126">
                  <w:pPr>
                    <w:pStyle w:val="31"/>
                    <w:rPr>
                      <w:sz w:val="21"/>
                      <w:szCs w:val="21"/>
                    </w:rPr>
                  </w:pPr>
                  <w:r>
                    <w:rPr>
                      <w:rFonts w:hint="eastAsia"/>
                      <w:sz w:val="21"/>
                      <w:szCs w:val="21"/>
                    </w:rPr>
                    <w:t>46</w:t>
                  </w:r>
                </w:p>
              </w:tc>
              <w:tc>
                <w:tcPr>
                  <w:tcW w:w="710" w:type="dxa"/>
                  <w:tcBorders>
                    <w:tl2br w:val="nil"/>
                    <w:tr2bl w:val="nil"/>
                  </w:tcBorders>
                  <w:vAlign w:val="center"/>
                </w:tcPr>
                <w:p w14:paraId="5745FDF4">
                  <w:pPr>
                    <w:pStyle w:val="31"/>
                    <w:rPr>
                      <w:sz w:val="21"/>
                      <w:szCs w:val="21"/>
                    </w:rPr>
                  </w:pPr>
                  <w:r>
                    <w:rPr>
                      <w:rFonts w:hint="eastAsia"/>
                      <w:sz w:val="21"/>
                      <w:szCs w:val="21"/>
                    </w:rPr>
                    <w:t>40</w:t>
                  </w:r>
                </w:p>
              </w:tc>
              <w:tc>
                <w:tcPr>
                  <w:tcW w:w="715" w:type="dxa"/>
                  <w:tcBorders>
                    <w:tl2br w:val="nil"/>
                    <w:tr2bl w:val="nil"/>
                  </w:tcBorders>
                  <w:vAlign w:val="center"/>
                </w:tcPr>
                <w:p w14:paraId="4DFF8D79">
                  <w:pPr>
                    <w:pStyle w:val="31"/>
                    <w:rPr>
                      <w:sz w:val="21"/>
                      <w:szCs w:val="21"/>
                    </w:rPr>
                  </w:pPr>
                  <w:r>
                    <w:rPr>
                      <w:rFonts w:hint="eastAsia"/>
                      <w:sz w:val="21"/>
                      <w:szCs w:val="21"/>
                    </w:rPr>
                    <w:t>34</w:t>
                  </w:r>
                </w:p>
              </w:tc>
              <w:tc>
                <w:tcPr>
                  <w:tcW w:w="1062" w:type="dxa"/>
                  <w:vMerge w:val="continue"/>
                  <w:tcBorders>
                    <w:tl2br w:val="nil"/>
                    <w:tr2bl w:val="nil"/>
                  </w:tcBorders>
                  <w:vAlign w:val="center"/>
                </w:tcPr>
                <w:p w14:paraId="5602F76C">
                  <w:pPr>
                    <w:pStyle w:val="31"/>
                    <w:rPr>
                      <w:sz w:val="21"/>
                      <w:szCs w:val="21"/>
                    </w:rPr>
                  </w:pPr>
                </w:p>
              </w:tc>
            </w:tr>
            <w:tr w14:paraId="331EB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1229FFBA">
                  <w:pPr>
                    <w:pStyle w:val="31"/>
                    <w:rPr>
                      <w:sz w:val="21"/>
                      <w:szCs w:val="21"/>
                    </w:rPr>
                  </w:pPr>
                  <w:r>
                    <w:rPr>
                      <w:rFonts w:hint="eastAsia"/>
                      <w:sz w:val="21"/>
                      <w:szCs w:val="21"/>
                    </w:rPr>
                    <w:t>6</w:t>
                  </w:r>
                </w:p>
              </w:tc>
              <w:tc>
                <w:tcPr>
                  <w:tcW w:w="1095" w:type="dxa"/>
                  <w:tcBorders>
                    <w:tl2br w:val="nil"/>
                    <w:tr2bl w:val="nil"/>
                  </w:tcBorders>
                  <w:vAlign w:val="center"/>
                </w:tcPr>
                <w:p w14:paraId="16BB1464">
                  <w:pPr>
                    <w:pStyle w:val="31"/>
                    <w:rPr>
                      <w:sz w:val="21"/>
                      <w:szCs w:val="21"/>
                    </w:rPr>
                  </w:pPr>
                  <w:r>
                    <w:rPr>
                      <w:rFonts w:hint="eastAsia"/>
                      <w:sz w:val="21"/>
                      <w:szCs w:val="21"/>
                    </w:rPr>
                    <w:t>电焊机</w:t>
                  </w:r>
                </w:p>
              </w:tc>
              <w:tc>
                <w:tcPr>
                  <w:tcW w:w="623" w:type="dxa"/>
                  <w:tcBorders>
                    <w:tl2br w:val="nil"/>
                    <w:tr2bl w:val="nil"/>
                  </w:tcBorders>
                  <w:vAlign w:val="center"/>
                </w:tcPr>
                <w:p w14:paraId="71FEFF91">
                  <w:pPr>
                    <w:pStyle w:val="31"/>
                    <w:rPr>
                      <w:sz w:val="21"/>
                      <w:szCs w:val="21"/>
                    </w:rPr>
                  </w:pPr>
                  <w:r>
                    <w:rPr>
                      <w:rFonts w:hint="eastAsia"/>
                      <w:sz w:val="21"/>
                      <w:szCs w:val="21"/>
                    </w:rPr>
                    <w:t>66</w:t>
                  </w:r>
                </w:p>
              </w:tc>
              <w:tc>
                <w:tcPr>
                  <w:tcW w:w="710" w:type="dxa"/>
                  <w:tcBorders>
                    <w:tl2br w:val="nil"/>
                    <w:tr2bl w:val="nil"/>
                  </w:tcBorders>
                  <w:vAlign w:val="center"/>
                </w:tcPr>
                <w:p w14:paraId="7BB3F4E2">
                  <w:pPr>
                    <w:pStyle w:val="31"/>
                    <w:rPr>
                      <w:sz w:val="21"/>
                      <w:szCs w:val="21"/>
                    </w:rPr>
                  </w:pPr>
                  <w:r>
                    <w:rPr>
                      <w:rFonts w:hint="eastAsia"/>
                      <w:sz w:val="21"/>
                      <w:szCs w:val="21"/>
                    </w:rPr>
                    <w:t>60</w:t>
                  </w:r>
                </w:p>
              </w:tc>
              <w:tc>
                <w:tcPr>
                  <w:tcW w:w="710" w:type="dxa"/>
                  <w:tcBorders>
                    <w:tl2br w:val="nil"/>
                    <w:tr2bl w:val="nil"/>
                  </w:tcBorders>
                  <w:vAlign w:val="center"/>
                </w:tcPr>
                <w:p w14:paraId="3BA92729">
                  <w:pPr>
                    <w:pStyle w:val="31"/>
                    <w:rPr>
                      <w:sz w:val="21"/>
                      <w:szCs w:val="21"/>
                    </w:rPr>
                  </w:pPr>
                  <w:r>
                    <w:rPr>
                      <w:rFonts w:hint="eastAsia"/>
                      <w:sz w:val="21"/>
                      <w:szCs w:val="21"/>
                    </w:rPr>
                    <w:t>54</w:t>
                  </w:r>
                </w:p>
              </w:tc>
              <w:tc>
                <w:tcPr>
                  <w:tcW w:w="710" w:type="dxa"/>
                  <w:tcBorders>
                    <w:tl2br w:val="nil"/>
                    <w:tr2bl w:val="nil"/>
                  </w:tcBorders>
                  <w:vAlign w:val="center"/>
                </w:tcPr>
                <w:p w14:paraId="16EAF4B6">
                  <w:pPr>
                    <w:pStyle w:val="31"/>
                    <w:rPr>
                      <w:sz w:val="21"/>
                      <w:szCs w:val="21"/>
                    </w:rPr>
                  </w:pPr>
                  <w:r>
                    <w:rPr>
                      <w:rFonts w:hint="eastAsia"/>
                      <w:sz w:val="21"/>
                      <w:szCs w:val="21"/>
                    </w:rPr>
                    <w:t>50</w:t>
                  </w:r>
                </w:p>
              </w:tc>
              <w:tc>
                <w:tcPr>
                  <w:tcW w:w="710" w:type="dxa"/>
                  <w:tcBorders>
                    <w:tl2br w:val="nil"/>
                    <w:tr2bl w:val="nil"/>
                  </w:tcBorders>
                  <w:vAlign w:val="center"/>
                </w:tcPr>
                <w:p w14:paraId="376F91AC">
                  <w:pPr>
                    <w:pStyle w:val="31"/>
                    <w:rPr>
                      <w:sz w:val="21"/>
                      <w:szCs w:val="21"/>
                    </w:rPr>
                  </w:pPr>
                  <w:r>
                    <w:rPr>
                      <w:rFonts w:hint="eastAsia"/>
                      <w:sz w:val="21"/>
                      <w:szCs w:val="21"/>
                    </w:rPr>
                    <w:t>48</w:t>
                  </w:r>
                </w:p>
              </w:tc>
              <w:tc>
                <w:tcPr>
                  <w:tcW w:w="710" w:type="dxa"/>
                  <w:tcBorders>
                    <w:tl2br w:val="nil"/>
                    <w:tr2bl w:val="nil"/>
                  </w:tcBorders>
                  <w:vAlign w:val="center"/>
                </w:tcPr>
                <w:p w14:paraId="2F5741DB">
                  <w:pPr>
                    <w:pStyle w:val="31"/>
                    <w:rPr>
                      <w:sz w:val="21"/>
                      <w:szCs w:val="21"/>
                    </w:rPr>
                  </w:pPr>
                  <w:r>
                    <w:rPr>
                      <w:rFonts w:hint="eastAsia"/>
                      <w:sz w:val="21"/>
                      <w:szCs w:val="21"/>
                    </w:rPr>
                    <w:t>46</w:t>
                  </w:r>
                </w:p>
              </w:tc>
              <w:tc>
                <w:tcPr>
                  <w:tcW w:w="710" w:type="dxa"/>
                  <w:tcBorders>
                    <w:tl2br w:val="nil"/>
                    <w:tr2bl w:val="nil"/>
                  </w:tcBorders>
                  <w:vAlign w:val="center"/>
                </w:tcPr>
                <w:p w14:paraId="25071D8B">
                  <w:pPr>
                    <w:pStyle w:val="31"/>
                    <w:rPr>
                      <w:sz w:val="21"/>
                      <w:szCs w:val="21"/>
                    </w:rPr>
                  </w:pPr>
                  <w:r>
                    <w:rPr>
                      <w:rFonts w:hint="eastAsia"/>
                      <w:sz w:val="21"/>
                      <w:szCs w:val="21"/>
                    </w:rPr>
                    <w:t>40</w:t>
                  </w:r>
                </w:p>
              </w:tc>
              <w:tc>
                <w:tcPr>
                  <w:tcW w:w="715" w:type="dxa"/>
                  <w:tcBorders>
                    <w:tl2br w:val="nil"/>
                    <w:tr2bl w:val="nil"/>
                  </w:tcBorders>
                  <w:vAlign w:val="center"/>
                </w:tcPr>
                <w:p w14:paraId="158A2B3A">
                  <w:pPr>
                    <w:pStyle w:val="31"/>
                    <w:rPr>
                      <w:sz w:val="21"/>
                      <w:szCs w:val="21"/>
                    </w:rPr>
                  </w:pPr>
                  <w:r>
                    <w:rPr>
                      <w:rFonts w:hint="eastAsia"/>
                      <w:sz w:val="21"/>
                      <w:szCs w:val="21"/>
                    </w:rPr>
                    <w:t>34</w:t>
                  </w:r>
                </w:p>
              </w:tc>
              <w:tc>
                <w:tcPr>
                  <w:tcW w:w="1062" w:type="dxa"/>
                  <w:vMerge w:val="continue"/>
                  <w:tcBorders>
                    <w:tl2br w:val="nil"/>
                    <w:tr2bl w:val="nil"/>
                  </w:tcBorders>
                  <w:vAlign w:val="center"/>
                </w:tcPr>
                <w:p w14:paraId="050A49EB">
                  <w:pPr>
                    <w:pStyle w:val="31"/>
                    <w:rPr>
                      <w:sz w:val="21"/>
                      <w:szCs w:val="21"/>
                    </w:rPr>
                  </w:pPr>
                </w:p>
              </w:tc>
            </w:tr>
            <w:tr w14:paraId="5DBD2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85" w:type="dxa"/>
                  <w:tcBorders>
                    <w:tl2br w:val="nil"/>
                    <w:tr2bl w:val="nil"/>
                  </w:tcBorders>
                  <w:vAlign w:val="center"/>
                </w:tcPr>
                <w:p w14:paraId="7389B637">
                  <w:pPr>
                    <w:pStyle w:val="31"/>
                    <w:rPr>
                      <w:sz w:val="21"/>
                      <w:szCs w:val="21"/>
                    </w:rPr>
                  </w:pPr>
                  <w:r>
                    <w:rPr>
                      <w:rFonts w:hint="eastAsia"/>
                      <w:sz w:val="21"/>
                      <w:szCs w:val="21"/>
                    </w:rPr>
                    <w:t>7</w:t>
                  </w:r>
                </w:p>
              </w:tc>
              <w:tc>
                <w:tcPr>
                  <w:tcW w:w="1095" w:type="dxa"/>
                  <w:tcBorders>
                    <w:tl2br w:val="nil"/>
                    <w:tr2bl w:val="nil"/>
                  </w:tcBorders>
                  <w:vAlign w:val="center"/>
                </w:tcPr>
                <w:p w14:paraId="6CE3FC0E">
                  <w:pPr>
                    <w:pStyle w:val="31"/>
                    <w:rPr>
                      <w:sz w:val="21"/>
                      <w:szCs w:val="21"/>
                    </w:rPr>
                  </w:pPr>
                  <w:r>
                    <w:rPr>
                      <w:rFonts w:hint="eastAsia"/>
                      <w:sz w:val="21"/>
                      <w:szCs w:val="21"/>
                    </w:rPr>
                    <w:t>切割机</w:t>
                  </w:r>
                </w:p>
              </w:tc>
              <w:tc>
                <w:tcPr>
                  <w:tcW w:w="623" w:type="dxa"/>
                  <w:tcBorders>
                    <w:tl2br w:val="nil"/>
                    <w:tr2bl w:val="nil"/>
                  </w:tcBorders>
                  <w:vAlign w:val="center"/>
                </w:tcPr>
                <w:p w14:paraId="4274C0CD">
                  <w:pPr>
                    <w:pStyle w:val="31"/>
                    <w:rPr>
                      <w:sz w:val="21"/>
                      <w:szCs w:val="21"/>
                    </w:rPr>
                  </w:pPr>
                  <w:r>
                    <w:rPr>
                      <w:rFonts w:hint="eastAsia"/>
                      <w:sz w:val="21"/>
                      <w:szCs w:val="21"/>
                    </w:rPr>
                    <w:t>71</w:t>
                  </w:r>
                </w:p>
              </w:tc>
              <w:tc>
                <w:tcPr>
                  <w:tcW w:w="710" w:type="dxa"/>
                  <w:tcBorders>
                    <w:tl2br w:val="nil"/>
                    <w:tr2bl w:val="nil"/>
                  </w:tcBorders>
                  <w:vAlign w:val="center"/>
                </w:tcPr>
                <w:p w14:paraId="49D39B91">
                  <w:pPr>
                    <w:pStyle w:val="31"/>
                    <w:rPr>
                      <w:sz w:val="21"/>
                      <w:szCs w:val="21"/>
                    </w:rPr>
                  </w:pPr>
                  <w:r>
                    <w:rPr>
                      <w:rFonts w:hint="eastAsia"/>
                      <w:sz w:val="21"/>
                      <w:szCs w:val="21"/>
                    </w:rPr>
                    <w:t>65</w:t>
                  </w:r>
                </w:p>
              </w:tc>
              <w:tc>
                <w:tcPr>
                  <w:tcW w:w="710" w:type="dxa"/>
                  <w:tcBorders>
                    <w:tl2br w:val="nil"/>
                    <w:tr2bl w:val="nil"/>
                  </w:tcBorders>
                  <w:vAlign w:val="center"/>
                </w:tcPr>
                <w:p w14:paraId="21AA52B6">
                  <w:pPr>
                    <w:pStyle w:val="31"/>
                    <w:rPr>
                      <w:sz w:val="21"/>
                      <w:szCs w:val="21"/>
                    </w:rPr>
                  </w:pPr>
                  <w:r>
                    <w:rPr>
                      <w:rFonts w:hint="eastAsia"/>
                      <w:sz w:val="21"/>
                      <w:szCs w:val="21"/>
                    </w:rPr>
                    <w:t>59</w:t>
                  </w:r>
                </w:p>
              </w:tc>
              <w:tc>
                <w:tcPr>
                  <w:tcW w:w="710" w:type="dxa"/>
                  <w:tcBorders>
                    <w:tl2br w:val="nil"/>
                    <w:tr2bl w:val="nil"/>
                  </w:tcBorders>
                  <w:vAlign w:val="center"/>
                </w:tcPr>
                <w:p w14:paraId="258B9B22">
                  <w:pPr>
                    <w:pStyle w:val="31"/>
                    <w:rPr>
                      <w:sz w:val="21"/>
                      <w:szCs w:val="21"/>
                    </w:rPr>
                  </w:pPr>
                  <w:r>
                    <w:rPr>
                      <w:rFonts w:hint="eastAsia"/>
                      <w:sz w:val="21"/>
                      <w:szCs w:val="21"/>
                    </w:rPr>
                    <w:t>55</w:t>
                  </w:r>
                </w:p>
              </w:tc>
              <w:tc>
                <w:tcPr>
                  <w:tcW w:w="710" w:type="dxa"/>
                  <w:tcBorders>
                    <w:tl2br w:val="nil"/>
                    <w:tr2bl w:val="nil"/>
                  </w:tcBorders>
                  <w:vAlign w:val="center"/>
                </w:tcPr>
                <w:p w14:paraId="2CEC4EC6">
                  <w:pPr>
                    <w:pStyle w:val="31"/>
                    <w:rPr>
                      <w:sz w:val="21"/>
                      <w:szCs w:val="21"/>
                    </w:rPr>
                  </w:pPr>
                  <w:r>
                    <w:rPr>
                      <w:rFonts w:hint="eastAsia"/>
                      <w:sz w:val="21"/>
                      <w:szCs w:val="21"/>
                    </w:rPr>
                    <w:t>53</w:t>
                  </w:r>
                </w:p>
              </w:tc>
              <w:tc>
                <w:tcPr>
                  <w:tcW w:w="710" w:type="dxa"/>
                  <w:tcBorders>
                    <w:tl2br w:val="nil"/>
                    <w:tr2bl w:val="nil"/>
                  </w:tcBorders>
                  <w:vAlign w:val="center"/>
                </w:tcPr>
                <w:p w14:paraId="64D9C790">
                  <w:pPr>
                    <w:pStyle w:val="31"/>
                    <w:rPr>
                      <w:sz w:val="21"/>
                      <w:szCs w:val="21"/>
                    </w:rPr>
                  </w:pPr>
                  <w:r>
                    <w:rPr>
                      <w:rFonts w:hint="eastAsia"/>
                      <w:sz w:val="21"/>
                      <w:szCs w:val="21"/>
                    </w:rPr>
                    <w:t>21</w:t>
                  </w:r>
                </w:p>
              </w:tc>
              <w:tc>
                <w:tcPr>
                  <w:tcW w:w="710" w:type="dxa"/>
                  <w:tcBorders>
                    <w:tl2br w:val="nil"/>
                    <w:tr2bl w:val="nil"/>
                  </w:tcBorders>
                  <w:vAlign w:val="center"/>
                </w:tcPr>
                <w:p w14:paraId="19275683">
                  <w:pPr>
                    <w:pStyle w:val="31"/>
                    <w:rPr>
                      <w:sz w:val="21"/>
                      <w:szCs w:val="21"/>
                    </w:rPr>
                  </w:pPr>
                  <w:r>
                    <w:rPr>
                      <w:rFonts w:hint="eastAsia"/>
                      <w:sz w:val="21"/>
                      <w:szCs w:val="21"/>
                    </w:rPr>
                    <w:t>45</w:t>
                  </w:r>
                </w:p>
              </w:tc>
              <w:tc>
                <w:tcPr>
                  <w:tcW w:w="715" w:type="dxa"/>
                  <w:tcBorders>
                    <w:tl2br w:val="nil"/>
                    <w:tr2bl w:val="nil"/>
                  </w:tcBorders>
                  <w:vAlign w:val="center"/>
                </w:tcPr>
                <w:p w14:paraId="2C14ED98">
                  <w:pPr>
                    <w:pStyle w:val="31"/>
                    <w:rPr>
                      <w:sz w:val="21"/>
                      <w:szCs w:val="21"/>
                    </w:rPr>
                  </w:pPr>
                  <w:r>
                    <w:rPr>
                      <w:rFonts w:hint="eastAsia"/>
                      <w:sz w:val="21"/>
                      <w:szCs w:val="21"/>
                    </w:rPr>
                    <w:t>39</w:t>
                  </w:r>
                </w:p>
              </w:tc>
              <w:tc>
                <w:tcPr>
                  <w:tcW w:w="1062" w:type="dxa"/>
                  <w:vMerge w:val="continue"/>
                  <w:tcBorders>
                    <w:tl2br w:val="nil"/>
                    <w:tr2bl w:val="nil"/>
                  </w:tcBorders>
                  <w:vAlign w:val="center"/>
                </w:tcPr>
                <w:p w14:paraId="059C42A3">
                  <w:pPr>
                    <w:pStyle w:val="31"/>
                    <w:rPr>
                      <w:sz w:val="21"/>
                      <w:szCs w:val="21"/>
                    </w:rPr>
                  </w:pPr>
                </w:p>
              </w:tc>
            </w:tr>
          </w:tbl>
          <w:p w14:paraId="3E553353">
            <w:pPr>
              <w:spacing w:line="500" w:lineRule="exact"/>
              <w:ind w:firstLine="480"/>
            </w:pPr>
            <w:r>
              <w:t>根据</w:t>
            </w:r>
            <w:r>
              <w:rPr>
                <w:lang w:val="zh-CN"/>
              </w:rPr>
              <w:t>《建筑施工场界环境噪声排放标准》（GB12523-2011）</w:t>
            </w:r>
            <w:r>
              <w:t>中有关规定，由</w:t>
            </w:r>
            <w:r>
              <w:rPr>
                <w:rFonts w:hint="eastAsia"/>
              </w:rPr>
              <w:t>上</w:t>
            </w:r>
            <w:r>
              <w:t>表可以看出：</w:t>
            </w:r>
          </w:p>
          <w:p w14:paraId="1AF7A689">
            <w:pPr>
              <w:spacing w:line="500" w:lineRule="exact"/>
              <w:ind w:firstLine="480"/>
            </w:pPr>
            <w:r>
              <w:t>①土石方施工阶段：施工现场昼间20m处，夜间100m处即可达到《建筑施工场界环境噪声排放标准》（GB12523-2011）要求，即：昼间70 dB（A）、夜间55dB（A）。</w:t>
            </w:r>
          </w:p>
          <w:p w14:paraId="5FEE0B9A">
            <w:pPr>
              <w:spacing w:line="500" w:lineRule="exact"/>
              <w:ind w:firstLine="480"/>
            </w:pPr>
            <w:r>
              <w:t>②结构施工阶段：施工现场昼间</w:t>
            </w:r>
            <w:r>
              <w:rPr>
                <w:rFonts w:hint="eastAsia"/>
              </w:rPr>
              <w:t>10</w:t>
            </w:r>
            <w:r>
              <w:t>m处，夜间</w:t>
            </w:r>
            <w:r>
              <w:rPr>
                <w:rFonts w:hint="eastAsia"/>
              </w:rPr>
              <w:t>3</w:t>
            </w:r>
            <w:r>
              <w:t>0m处可达到《建筑施工场界环境噪声排放标准》（GB12523-2011）要求，即昼间70dB（A）、夜间55 dB（A）。</w:t>
            </w:r>
          </w:p>
          <w:p w14:paraId="520A44F5">
            <w:pPr>
              <w:spacing w:line="500" w:lineRule="exact"/>
              <w:ind w:firstLine="480"/>
            </w:pPr>
            <w:r>
              <w:t>噪声影响范围主要在100m以内，噪声为暂时性的，影响短暂、范围小，随着施工的结束而消除。</w:t>
            </w:r>
          </w:p>
          <w:p w14:paraId="6FAB6541">
            <w:pPr>
              <w:spacing w:line="500" w:lineRule="exact"/>
              <w:ind w:firstLine="480"/>
            </w:pPr>
            <w:r>
              <w:t>（2）施工机械噪声对周围环境敏感点的影响分析</w:t>
            </w:r>
          </w:p>
          <w:p w14:paraId="575878D2">
            <w:pPr>
              <w:spacing w:line="500" w:lineRule="exact"/>
              <w:ind w:firstLine="480"/>
            </w:pPr>
            <w:r>
              <w:t>根据现场踏勘可知，本项目</w:t>
            </w:r>
            <w:r>
              <w:rPr>
                <w:rFonts w:hint="eastAsia"/>
              </w:rPr>
              <w:t>1</w:t>
            </w:r>
            <w:r>
              <w:t>00m范围内</w:t>
            </w:r>
            <w:r>
              <w:rPr>
                <w:rFonts w:hint="eastAsia"/>
              </w:rPr>
              <w:t>无</w:t>
            </w:r>
            <w:r>
              <w:t>声环境敏感</w:t>
            </w:r>
            <w:r>
              <w:rPr>
                <w:rFonts w:hint="eastAsia"/>
              </w:rPr>
              <w:t>目标</w:t>
            </w:r>
            <w:r>
              <w:t>，</w:t>
            </w:r>
            <w:r>
              <w:rPr>
                <w:rFonts w:hint="eastAsia"/>
              </w:rPr>
              <w:t>距离本项目最近的声环境敏感点为项目南侧320m处的毛家屯村居民，因此，项目建设过程产生的噪声不会对其产生影响。</w:t>
            </w:r>
          </w:p>
          <w:p w14:paraId="255DCFA2">
            <w:pPr>
              <w:spacing w:line="500" w:lineRule="exact"/>
              <w:ind w:firstLine="480"/>
            </w:pPr>
            <w:r>
              <w:t>3.3 施工期噪声防护措施</w:t>
            </w:r>
          </w:p>
          <w:p w14:paraId="62610E80">
            <w:pPr>
              <w:spacing w:line="500" w:lineRule="exact"/>
              <w:ind w:firstLine="480"/>
            </w:pPr>
            <w:r>
              <w:t>噪声防护措施通常有两种：一是降低噪声源；二是控制传播途径。针对本项目情况，拟通过合理安排施工计划和时间以及距离防护和隔声等措施减少施工噪声影响，</w:t>
            </w:r>
            <w:r>
              <w:rPr>
                <w:rFonts w:hint="eastAsia"/>
              </w:rPr>
              <w:t>且中午和晚上禁止施工，</w:t>
            </w:r>
            <w:r>
              <w:t>具体措施及治理效果如下：</w:t>
            </w:r>
          </w:p>
          <w:p w14:paraId="4B3F4BCD">
            <w:pPr>
              <w:spacing w:line="500" w:lineRule="exact"/>
              <w:ind w:firstLine="480"/>
            </w:pPr>
            <w:r>
              <w:t>（1）本项目应对推土机、挖掘机</w:t>
            </w:r>
            <w:r>
              <w:rPr>
                <w:rFonts w:hint="eastAsia"/>
              </w:rPr>
              <w:t>、汽车吊、卷扬机、电焊机</w:t>
            </w:r>
            <w:r>
              <w:t>等设备加强检查、维护和保养，保持润滑，紧固各部件，以减少机械运行噪声。整体设备应安放稳固，并与地面保持良好接触，尽量使用减振机座。</w:t>
            </w:r>
          </w:p>
          <w:p w14:paraId="60954795">
            <w:pPr>
              <w:spacing w:line="500" w:lineRule="exact"/>
              <w:ind w:firstLine="480"/>
            </w:pPr>
            <w:r>
              <w:t>（2）施工时对运输车辆采取进入施工场地减速、平稳启动的措施。</w:t>
            </w:r>
          </w:p>
          <w:p w14:paraId="3F999E9F">
            <w:pPr>
              <w:spacing w:line="500" w:lineRule="exact"/>
              <w:ind w:firstLine="480"/>
            </w:pPr>
            <w:r>
              <w:t>（3）在施工场地周围设置2.5m高的彩钢板围挡。</w:t>
            </w:r>
          </w:p>
          <w:p w14:paraId="78133EA3">
            <w:pPr>
              <w:spacing w:line="500" w:lineRule="exact"/>
              <w:ind w:firstLine="480"/>
            </w:pPr>
            <w:r>
              <w:t>（4）推土机、挖掘机</w:t>
            </w:r>
            <w:r>
              <w:rPr>
                <w:rFonts w:hint="eastAsia"/>
              </w:rPr>
              <w:t>、汽车吊、卷扬机、电焊机</w:t>
            </w:r>
            <w:r>
              <w:t>等设备施工时应尽量靠近场界内侧，降低对厂界周边的影响。</w:t>
            </w:r>
          </w:p>
          <w:p w14:paraId="1DC82285">
            <w:pPr>
              <w:spacing w:line="500" w:lineRule="exact"/>
              <w:ind w:firstLine="480"/>
            </w:pPr>
            <w:r>
              <w:t>（5）使用低频环保型振捣器并由专人操作，尽量减少与模板的碰撞。</w:t>
            </w:r>
          </w:p>
          <w:p w14:paraId="42E46B1E">
            <w:pPr>
              <w:spacing w:line="500" w:lineRule="exact"/>
              <w:ind w:firstLine="480"/>
            </w:pPr>
            <w:r>
              <w:t>经上述措施，可有效控制噪声对周围环境的影响。并且施工期噪声的影响是暂时的、局部的，采取一定的降噪措施、妥善安排作业计划、做到文明施工，其影响程度将大大减轻并随着施工期的结束而消失。</w:t>
            </w:r>
          </w:p>
          <w:p w14:paraId="7812AB7D">
            <w:pPr>
              <w:spacing w:line="500" w:lineRule="exact"/>
              <w:ind w:firstLine="480"/>
            </w:pPr>
            <w:r>
              <w:t>4</w:t>
            </w:r>
            <w:r>
              <w:rPr>
                <w:rFonts w:hint="eastAsia"/>
              </w:rPr>
              <w:t>、</w:t>
            </w:r>
            <w:r>
              <w:t>施工期固体废物影响分析</w:t>
            </w:r>
          </w:p>
          <w:p w14:paraId="4FE63EFB">
            <w:pPr>
              <w:spacing w:line="500" w:lineRule="exact"/>
              <w:ind w:firstLine="480"/>
            </w:pPr>
            <w:r>
              <w:t>施工期产生的固体废物主要为施工过程中产生的建筑垃圾和施工人员的生活垃圾，这些垃圾成分较为简单，数量很大，应集中处理，及时清运，根据不同的成分采用不同的处理方式：</w:t>
            </w:r>
          </w:p>
          <w:p w14:paraId="2C4F2BB2">
            <w:pPr>
              <w:spacing w:line="500" w:lineRule="exact"/>
              <w:ind w:firstLine="480"/>
            </w:pPr>
            <w:r>
              <w:t>（1）清场废物处置：应及时清运。表层土可集中堆存，用作绿化用土，不适于土地利用的表土可供附近填筑低凹地，或作其他用土。</w:t>
            </w:r>
          </w:p>
          <w:p w14:paraId="4266E26C">
            <w:pPr>
              <w:spacing w:line="500" w:lineRule="exact"/>
              <w:ind w:firstLine="480"/>
            </w:pPr>
            <w:r>
              <w:t>（2）施工弃土处置：地基开挖的废土除部分回填外，应统一规划处置，对弃土应设立堆土场，进行集中处置。</w:t>
            </w:r>
          </w:p>
          <w:p w14:paraId="061F240C">
            <w:pPr>
              <w:spacing w:line="500" w:lineRule="exact"/>
              <w:ind w:firstLine="480"/>
            </w:pPr>
            <w:r>
              <w:t>（3）施工生产废料处理：首先应考虑废料的回收利用。对钢筋、钢板</w:t>
            </w:r>
            <w:r>
              <w:rPr>
                <w:rFonts w:hint="eastAsia"/>
              </w:rPr>
              <w:t>、彩钢板</w:t>
            </w:r>
            <w:r>
              <w:t>等下角料可分类回收利用；对建筑垃圾，如混凝土废料、含砖、石、砂的杂土应集中堆放，定时清运到城市建设监管部门指定的地点。</w:t>
            </w:r>
          </w:p>
          <w:p w14:paraId="0BC23F83">
            <w:pPr>
              <w:widowControl/>
              <w:tabs>
                <w:tab w:val="left" w:pos="360"/>
              </w:tabs>
              <w:spacing w:line="500" w:lineRule="exact"/>
              <w:ind w:firstLine="480"/>
            </w:pPr>
            <w:r>
              <w:t>（4）施工生活垃圾处置：在施工人员集中地设置垃圾筒，指派专人定期将垃圾定时清运至</w:t>
            </w:r>
            <w:r>
              <w:rPr>
                <w:rFonts w:hint="eastAsia"/>
                <w:lang w:eastAsia="zh-CN"/>
              </w:rPr>
              <w:t>垃圾转运站</w:t>
            </w:r>
            <w:r>
              <w:t>。</w:t>
            </w:r>
          </w:p>
          <w:p w14:paraId="52AD1D17">
            <w:pPr>
              <w:spacing w:line="500" w:lineRule="exact"/>
              <w:ind w:firstLine="480"/>
            </w:pPr>
            <w:r>
              <w:rPr>
                <w:rFonts w:hint="eastAsia"/>
              </w:rPr>
              <w:t>5、</w:t>
            </w:r>
            <w:r>
              <w:t>施工期</w:t>
            </w:r>
            <w:r>
              <w:rPr>
                <w:rFonts w:hint="eastAsia"/>
              </w:rPr>
              <w:t>生态</w:t>
            </w:r>
            <w:r>
              <w:t>影响分析</w:t>
            </w:r>
          </w:p>
          <w:p w14:paraId="68912283">
            <w:pPr>
              <w:ind w:firstLine="480"/>
            </w:pPr>
            <w:r>
              <w:t>本项目施工过程中将进行少量的土石方填挖，同时有一定量的施工机械及人员活动。施工期对区域生态环境的影响主要表现在土壤扰动后，可能造成土壤的侵蚀及水土流失。项目建设过程中应精心规划用地，合理安排施工，尽量减少施工开挖面积。加强施工人员生态保护教育，各种施工活动应严格控制在施工区域内，以免造成</w:t>
            </w:r>
            <w:r>
              <w:rPr>
                <w:rFonts w:hint="eastAsia"/>
                <w:lang w:eastAsia="zh-CN"/>
              </w:rPr>
              <w:t>生态</w:t>
            </w:r>
            <w:r>
              <w:t>不必要的破坏。</w:t>
            </w:r>
          </w:p>
          <w:p w14:paraId="4554CDD0">
            <w:pPr>
              <w:spacing w:line="360" w:lineRule="auto"/>
              <w:ind w:firstLine="480"/>
            </w:pPr>
            <w:r>
              <w:t>（</w:t>
            </w:r>
            <w:r>
              <w:rPr>
                <w:rFonts w:hint="eastAsia"/>
              </w:rPr>
              <w:t>1</w:t>
            </w:r>
            <w:r>
              <w:t>）在项目设计中应尽量做到</w:t>
            </w:r>
            <w:r>
              <w:rPr>
                <w:rFonts w:hint="eastAsia"/>
              </w:rPr>
              <w:t>“</w:t>
            </w:r>
            <w:r>
              <w:t>挖填平衡</w:t>
            </w:r>
            <w:r>
              <w:rPr>
                <w:rFonts w:hint="eastAsia"/>
              </w:rPr>
              <w:t>”</w:t>
            </w:r>
            <w:r>
              <w:t>，利用挖方作填方，避免产生弃土、弃石；将施工活动严格控制在拟建工程占地范围内，避免对周围较大范围产生影响；</w:t>
            </w:r>
          </w:p>
          <w:p w14:paraId="7E5DC164">
            <w:pPr>
              <w:spacing w:line="360" w:lineRule="auto"/>
              <w:ind w:firstLine="480"/>
            </w:pPr>
            <w:r>
              <w:t>（</w:t>
            </w:r>
            <w:r>
              <w:rPr>
                <w:rFonts w:hint="eastAsia"/>
              </w:rPr>
              <w:t>2</w:t>
            </w:r>
            <w:r>
              <w:t>）合理安排施工计划，避免在雨季施工；</w:t>
            </w:r>
          </w:p>
          <w:p w14:paraId="57F2FFB9">
            <w:pPr>
              <w:spacing w:line="360" w:lineRule="auto"/>
              <w:ind w:firstLine="480"/>
            </w:pPr>
            <w:r>
              <w:t>（</w:t>
            </w:r>
            <w:r>
              <w:rPr>
                <w:rFonts w:hint="eastAsia"/>
              </w:rPr>
              <w:t>3</w:t>
            </w:r>
            <w:r>
              <w:t>）合理划分场地施工分区，避免同时大面积的工程土石方开挖，造成场地大面积表层土的松动，及时碾压夯实施工完毕的厂址区域；对施工材料、土方堆存，在雨季要采取防护堤挡护措施，避免水土流失；</w:t>
            </w:r>
          </w:p>
          <w:p w14:paraId="6995AB08">
            <w:pPr>
              <w:spacing w:line="360" w:lineRule="auto"/>
              <w:ind w:firstLine="480"/>
            </w:pPr>
            <w:r>
              <w:t>（</w:t>
            </w:r>
            <w:r>
              <w:rPr>
                <w:rFonts w:hint="eastAsia"/>
              </w:rPr>
              <w:t>4</w:t>
            </w:r>
            <w:r>
              <w:t>）厂区平整，土方开挖造成土坡须采用直线形削坡，使得厂区上下坡度减缓；</w:t>
            </w:r>
          </w:p>
          <w:p w14:paraId="643B08CB">
            <w:pPr>
              <w:spacing w:line="360" w:lineRule="auto"/>
              <w:ind w:firstLine="480"/>
            </w:pPr>
            <w:r>
              <w:t>（</w:t>
            </w:r>
            <w:r>
              <w:rPr>
                <w:rFonts w:hint="eastAsia"/>
              </w:rPr>
              <w:t>5</w:t>
            </w:r>
            <w:r>
              <w:t>）施工结束后，要及时清理现场，对边坡进行永久性固化处理，避免施工余料、边坡土壤和石砾及其它杂物被大雨冲刷，造成农田、沟渠淤积；</w:t>
            </w:r>
          </w:p>
          <w:p w14:paraId="0C28EE49">
            <w:pPr>
              <w:spacing w:line="360" w:lineRule="auto"/>
              <w:ind w:firstLine="480"/>
            </w:pPr>
            <w:r>
              <w:t>（</w:t>
            </w:r>
            <w:r>
              <w:rPr>
                <w:rFonts w:hint="eastAsia"/>
              </w:rPr>
              <w:t>6</w:t>
            </w:r>
            <w:r>
              <w:t>）要加强场区和厂界周围的植树绿化工作，以尽快恢复植被，保持水土，缓解生态破坏。</w:t>
            </w:r>
          </w:p>
          <w:p w14:paraId="30723927">
            <w:pPr>
              <w:ind w:firstLine="480"/>
            </w:pPr>
            <w:r>
              <w:t>经上述措施，可有效控制</w:t>
            </w:r>
            <w:r>
              <w:rPr>
                <w:rFonts w:hint="eastAsia"/>
              </w:rPr>
              <w:t>对生态</w:t>
            </w:r>
            <w:r>
              <w:t>的影响。并且妥善安排作业计划、做到文明施工，其影响程度将大大减轻</w:t>
            </w:r>
            <w:r>
              <w:rPr>
                <w:rFonts w:hint="eastAsia"/>
              </w:rPr>
              <w:t>对生态环境影响。</w:t>
            </w:r>
          </w:p>
          <w:p w14:paraId="6F6E095E">
            <w:pPr>
              <w:pStyle w:val="13"/>
              <w:ind w:left="1680" w:right="1680" w:firstLine="480"/>
            </w:pPr>
          </w:p>
          <w:p w14:paraId="6F855304">
            <w:pPr>
              <w:ind w:firstLine="480"/>
            </w:pPr>
          </w:p>
          <w:p w14:paraId="2461729E">
            <w:pPr>
              <w:pStyle w:val="2"/>
            </w:pPr>
          </w:p>
          <w:p w14:paraId="1F9BDD25"/>
          <w:p w14:paraId="0F02518A">
            <w:pPr>
              <w:pStyle w:val="2"/>
            </w:pPr>
          </w:p>
          <w:p w14:paraId="39556CEB">
            <w:pPr>
              <w:pStyle w:val="13"/>
              <w:ind w:left="1680" w:right="1680" w:firstLine="480"/>
            </w:pPr>
          </w:p>
          <w:p w14:paraId="513BB821">
            <w:pPr>
              <w:ind w:left="0" w:leftChars="0" w:firstLine="0" w:firstLineChars="0"/>
            </w:pPr>
          </w:p>
        </w:tc>
      </w:tr>
      <w:tr w14:paraId="159BA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6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14:paraId="5773ACF1">
            <w:pPr>
              <w:pStyle w:val="31"/>
            </w:pPr>
            <w:r>
              <w:rPr>
                <w:rFonts w:hint="eastAsia"/>
              </w:rPr>
              <w:t>运营</w:t>
            </w:r>
          </w:p>
          <w:p w14:paraId="3CD198AF">
            <w:pPr>
              <w:pStyle w:val="31"/>
            </w:pPr>
            <w:r>
              <w:rPr>
                <w:rFonts w:hint="eastAsia"/>
              </w:rPr>
              <w:t>期环</w:t>
            </w:r>
          </w:p>
          <w:p w14:paraId="7B3A6EC8">
            <w:pPr>
              <w:pStyle w:val="31"/>
            </w:pPr>
            <w:r>
              <w:rPr>
                <w:rFonts w:hint="eastAsia"/>
              </w:rPr>
              <w:t>境影</w:t>
            </w:r>
          </w:p>
          <w:p w14:paraId="3F29EE63">
            <w:pPr>
              <w:pStyle w:val="31"/>
            </w:pPr>
            <w:r>
              <w:rPr>
                <w:rFonts w:hint="eastAsia"/>
              </w:rPr>
              <w:t>响和</w:t>
            </w:r>
          </w:p>
          <w:p w14:paraId="30E47FCD">
            <w:pPr>
              <w:pStyle w:val="31"/>
            </w:pPr>
            <w:r>
              <w:rPr>
                <w:rFonts w:hint="eastAsia"/>
              </w:rPr>
              <w:t>保护</w:t>
            </w:r>
          </w:p>
          <w:p w14:paraId="6919CCAF">
            <w:pPr>
              <w:pStyle w:val="31"/>
            </w:pPr>
            <w:r>
              <w:rPr>
                <w:rFonts w:hint="eastAsia"/>
              </w:rPr>
              <w:t>措施</w:t>
            </w:r>
          </w:p>
        </w:tc>
        <w:tc>
          <w:tcPr>
            <w:tcW w:w="8601" w:type="dxa"/>
            <w:tcBorders>
              <w:top w:val="single" w:color="000000" w:sz="8" w:space="0"/>
              <w:left w:val="single" w:color="000000" w:sz="8" w:space="0"/>
              <w:bottom w:val="single" w:color="000000" w:sz="8" w:space="0"/>
              <w:right w:val="single" w:color="000000" w:sz="8" w:space="0"/>
            </w:tcBorders>
            <w:shd w:val="clear" w:color="auto" w:fill="auto"/>
          </w:tcPr>
          <w:p w14:paraId="2DE40A7E">
            <w:pPr>
              <w:spacing w:line="500" w:lineRule="exact"/>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一、废气</w:t>
            </w:r>
          </w:p>
          <w:p w14:paraId="76F985EF">
            <w:pPr>
              <w:spacing w:line="50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1、废气源强及治理措施</w:t>
            </w:r>
          </w:p>
          <w:p w14:paraId="313E1118">
            <w:pPr>
              <w:spacing w:line="500" w:lineRule="exact"/>
              <w:ind w:firstLine="480"/>
              <w:rPr>
                <w:highlight w:val="none"/>
              </w:rPr>
            </w:pPr>
            <w:r>
              <w:rPr>
                <w:highlight w:val="none"/>
              </w:rPr>
              <w:t>本项目废气污染源主要</w:t>
            </w:r>
            <w:r>
              <w:rPr>
                <w:rFonts w:hint="eastAsia"/>
                <w:highlight w:val="none"/>
              </w:rPr>
              <w:t>为数控滚齿机(高速运转)产生的油雾；热处理过程中渗碳产生的挥发性有机物；热处理过程中淬火</w:t>
            </w:r>
            <w:r>
              <w:rPr>
                <w:rFonts w:hint="eastAsia"/>
                <w:highlight w:val="none"/>
                <w:lang w:val="en-US" w:eastAsia="zh-CN"/>
              </w:rPr>
              <w:t>/</w:t>
            </w:r>
            <w:r>
              <w:rPr>
                <w:rFonts w:hint="eastAsia"/>
                <w:highlight w:val="none"/>
              </w:rPr>
              <w:t>回火产生的油雾和挥发性有机物（以非甲烷总烃代）；抛丸过程产生的颗粒物。废气源强及治理措施情况见下表。</w:t>
            </w:r>
          </w:p>
          <w:p w14:paraId="3B7E5551">
            <w:pPr>
              <w:pStyle w:val="36"/>
              <w:rPr>
                <w:sz w:val="21"/>
                <w:szCs w:val="21"/>
                <w:highlight w:val="none"/>
              </w:rPr>
            </w:pPr>
            <w:r>
              <w:rPr>
                <w:rFonts w:hint="eastAsia"/>
                <w:sz w:val="21"/>
                <w:szCs w:val="21"/>
                <w:highlight w:val="none"/>
              </w:rPr>
              <w:t>表4-3 废气源强、治理措施一览表</w:t>
            </w:r>
          </w:p>
          <w:tbl>
            <w:tblPr>
              <w:tblStyle w:val="22"/>
              <w:tblW w:w="83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17"/>
              <w:gridCol w:w="540"/>
              <w:gridCol w:w="525"/>
              <w:gridCol w:w="525"/>
              <w:gridCol w:w="585"/>
              <w:gridCol w:w="480"/>
              <w:gridCol w:w="495"/>
              <w:gridCol w:w="405"/>
              <w:gridCol w:w="495"/>
              <w:gridCol w:w="510"/>
              <w:gridCol w:w="487"/>
              <w:gridCol w:w="450"/>
              <w:gridCol w:w="510"/>
              <w:gridCol w:w="1302"/>
            </w:tblGrid>
            <w:tr w14:paraId="37585E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454" w:type="dxa"/>
                  <w:vMerge w:val="restart"/>
                  <w:tcBorders>
                    <w:tl2br w:val="nil"/>
                    <w:tr2bl w:val="nil"/>
                  </w:tcBorders>
                  <w:vAlign w:val="center"/>
                </w:tcPr>
                <w:p w14:paraId="61B68AB8">
                  <w:pPr>
                    <w:spacing w:line="240" w:lineRule="auto"/>
                    <w:ind w:firstLine="0" w:firstLineChars="0"/>
                    <w:jc w:val="center"/>
                    <w:rPr>
                      <w:bCs/>
                      <w:sz w:val="21"/>
                      <w:szCs w:val="21"/>
                      <w:highlight w:val="none"/>
                    </w:rPr>
                  </w:pPr>
                  <w:r>
                    <w:rPr>
                      <w:rFonts w:hint="eastAsia"/>
                      <w:bCs/>
                      <w:sz w:val="21"/>
                      <w:szCs w:val="21"/>
                      <w:highlight w:val="none"/>
                    </w:rPr>
                    <w:t>产排污环节</w:t>
                  </w:r>
                </w:p>
              </w:tc>
              <w:tc>
                <w:tcPr>
                  <w:tcW w:w="617" w:type="dxa"/>
                  <w:vMerge w:val="restart"/>
                  <w:tcBorders>
                    <w:tl2br w:val="nil"/>
                    <w:tr2bl w:val="nil"/>
                  </w:tcBorders>
                  <w:vAlign w:val="center"/>
                </w:tcPr>
                <w:p w14:paraId="2A3B9E18">
                  <w:pPr>
                    <w:spacing w:line="240" w:lineRule="auto"/>
                    <w:ind w:firstLine="0" w:firstLineChars="0"/>
                    <w:jc w:val="center"/>
                    <w:rPr>
                      <w:bCs/>
                      <w:sz w:val="21"/>
                      <w:szCs w:val="21"/>
                      <w:highlight w:val="none"/>
                    </w:rPr>
                  </w:pPr>
                  <w:r>
                    <w:rPr>
                      <w:bCs/>
                      <w:sz w:val="21"/>
                      <w:szCs w:val="21"/>
                      <w:highlight w:val="none"/>
                    </w:rPr>
                    <w:t>污染物</w:t>
                  </w:r>
                  <w:r>
                    <w:rPr>
                      <w:rFonts w:hint="eastAsia"/>
                      <w:bCs/>
                      <w:sz w:val="21"/>
                      <w:szCs w:val="21"/>
                      <w:highlight w:val="none"/>
                    </w:rPr>
                    <w:t>种类</w:t>
                  </w:r>
                </w:p>
              </w:tc>
              <w:tc>
                <w:tcPr>
                  <w:tcW w:w="1065" w:type="dxa"/>
                  <w:gridSpan w:val="2"/>
                  <w:tcBorders>
                    <w:tl2br w:val="nil"/>
                    <w:tr2bl w:val="nil"/>
                  </w:tcBorders>
                  <w:vAlign w:val="center"/>
                </w:tcPr>
                <w:p w14:paraId="1B7F7405">
                  <w:pPr>
                    <w:spacing w:line="240" w:lineRule="auto"/>
                    <w:ind w:firstLine="0" w:firstLineChars="0"/>
                    <w:jc w:val="center"/>
                    <w:rPr>
                      <w:bCs/>
                      <w:sz w:val="21"/>
                      <w:szCs w:val="21"/>
                      <w:highlight w:val="none"/>
                    </w:rPr>
                  </w:pPr>
                  <w:r>
                    <w:rPr>
                      <w:bCs/>
                      <w:sz w:val="21"/>
                      <w:szCs w:val="21"/>
                      <w:highlight w:val="none"/>
                    </w:rPr>
                    <w:t>产生情况</w:t>
                  </w:r>
                </w:p>
              </w:tc>
              <w:tc>
                <w:tcPr>
                  <w:tcW w:w="525" w:type="dxa"/>
                  <w:vMerge w:val="restart"/>
                  <w:tcBorders>
                    <w:tl2br w:val="nil"/>
                    <w:tr2bl w:val="nil"/>
                  </w:tcBorders>
                  <w:vAlign w:val="center"/>
                </w:tcPr>
                <w:p w14:paraId="437EF1A0">
                  <w:pPr>
                    <w:spacing w:line="240" w:lineRule="auto"/>
                    <w:ind w:firstLine="0" w:firstLineChars="0"/>
                    <w:jc w:val="center"/>
                    <w:rPr>
                      <w:bCs/>
                      <w:sz w:val="21"/>
                      <w:szCs w:val="21"/>
                      <w:highlight w:val="none"/>
                    </w:rPr>
                  </w:pPr>
                  <w:r>
                    <w:rPr>
                      <w:rFonts w:hint="eastAsia"/>
                      <w:bCs/>
                      <w:sz w:val="21"/>
                      <w:szCs w:val="21"/>
                      <w:highlight w:val="none"/>
                    </w:rPr>
                    <w:t>排放形式</w:t>
                  </w:r>
                </w:p>
              </w:tc>
              <w:tc>
                <w:tcPr>
                  <w:tcW w:w="2460" w:type="dxa"/>
                  <w:gridSpan w:val="5"/>
                  <w:tcBorders>
                    <w:tl2br w:val="nil"/>
                    <w:tr2bl w:val="nil"/>
                  </w:tcBorders>
                  <w:vAlign w:val="center"/>
                </w:tcPr>
                <w:p w14:paraId="4CF428DD">
                  <w:pPr>
                    <w:spacing w:line="240" w:lineRule="auto"/>
                    <w:ind w:firstLine="0" w:firstLineChars="0"/>
                    <w:jc w:val="center"/>
                    <w:rPr>
                      <w:bCs/>
                      <w:sz w:val="21"/>
                      <w:szCs w:val="21"/>
                      <w:highlight w:val="none"/>
                    </w:rPr>
                  </w:pPr>
                  <w:r>
                    <w:rPr>
                      <w:bCs/>
                      <w:sz w:val="21"/>
                      <w:szCs w:val="21"/>
                      <w:highlight w:val="none"/>
                    </w:rPr>
                    <w:t>治理措施</w:t>
                  </w:r>
                </w:p>
              </w:tc>
              <w:tc>
                <w:tcPr>
                  <w:tcW w:w="1957" w:type="dxa"/>
                  <w:gridSpan w:val="4"/>
                  <w:tcBorders>
                    <w:tl2br w:val="nil"/>
                    <w:tr2bl w:val="nil"/>
                  </w:tcBorders>
                  <w:vAlign w:val="center"/>
                </w:tcPr>
                <w:p w14:paraId="7332491A">
                  <w:pPr>
                    <w:spacing w:line="240" w:lineRule="auto"/>
                    <w:ind w:firstLine="0" w:firstLineChars="0"/>
                    <w:jc w:val="center"/>
                    <w:rPr>
                      <w:bCs/>
                      <w:sz w:val="21"/>
                      <w:szCs w:val="21"/>
                      <w:highlight w:val="none"/>
                    </w:rPr>
                  </w:pPr>
                  <w:r>
                    <w:rPr>
                      <w:bCs/>
                      <w:sz w:val="21"/>
                      <w:szCs w:val="21"/>
                      <w:highlight w:val="none"/>
                    </w:rPr>
                    <w:t>排放情况</w:t>
                  </w:r>
                </w:p>
              </w:tc>
              <w:tc>
                <w:tcPr>
                  <w:tcW w:w="1302" w:type="dxa"/>
                  <w:vMerge w:val="restart"/>
                  <w:tcBorders>
                    <w:tl2br w:val="nil"/>
                    <w:tr2bl w:val="nil"/>
                  </w:tcBorders>
                  <w:vAlign w:val="center"/>
                </w:tcPr>
                <w:p w14:paraId="50A0F845">
                  <w:pPr>
                    <w:spacing w:line="240" w:lineRule="auto"/>
                    <w:ind w:firstLine="0" w:firstLineChars="0"/>
                    <w:jc w:val="center"/>
                    <w:rPr>
                      <w:bCs/>
                      <w:sz w:val="21"/>
                      <w:szCs w:val="21"/>
                      <w:highlight w:val="none"/>
                    </w:rPr>
                  </w:pPr>
                  <w:r>
                    <w:rPr>
                      <w:rFonts w:hint="eastAsia"/>
                      <w:bCs/>
                      <w:sz w:val="21"/>
                      <w:szCs w:val="21"/>
                      <w:highlight w:val="none"/>
                    </w:rPr>
                    <w:t>排放标准</w:t>
                  </w:r>
                </w:p>
              </w:tc>
            </w:tr>
            <w:tr w14:paraId="21A365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1581" w:hRule="atLeast"/>
                <w:jc w:val="center"/>
              </w:trPr>
              <w:tc>
                <w:tcPr>
                  <w:tcW w:w="454" w:type="dxa"/>
                  <w:vMerge w:val="continue"/>
                  <w:tcBorders>
                    <w:tl2br w:val="nil"/>
                    <w:tr2bl w:val="nil"/>
                  </w:tcBorders>
                  <w:vAlign w:val="center"/>
                </w:tcPr>
                <w:p w14:paraId="5650BD74">
                  <w:pPr>
                    <w:spacing w:line="240" w:lineRule="auto"/>
                    <w:ind w:firstLine="0" w:firstLineChars="0"/>
                    <w:jc w:val="center"/>
                    <w:rPr>
                      <w:bCs/>
                      <w:sz w:val="21"/>
                      <w:szCs w:val="21"/>
                      <w:highlight w:val="none"/>
                    </w:rPr>
                  </w:pPr>
                </w:p>
              </w:tc>
              <w:tc>
                <w:tcPr>
                  <w:tcW w:w="617" w:type="dxa"/>
                  <w:vMerge w:val="continue"/>
                  <w:tcBorders>
                    <w:tl2br w:val="nil"/>
                    <w:tr2bl w:val="nil"/>
                  </w:tcBorders>
                  <w:vAlign w:val="center"/>
                </w:tcPr>
                <w:p w14:paraId="1DDDBDF7">
                  <w:pPr>
                    <w:spacing w:line="240" w:lineRule="auto"/>
                    <w:ind w:firstLine="0" w:firstLineChars="0"/>
                    <w:jc w:val="center"/>
                    <w:rPr>
                      <w:bCs/>
                      <w:sz w:val="21"/>
                      <w:szCs w:val="21"/>
                      <w:highlight w:val="none"/>
                    </w:rPr>
                  </w:pPr>
                </w:p>
              </w:tc>
              <w:tc>
                <w:tcPr>
                  <w:tcW w:w="540" w:type="dxa"/>
                  <w:tcBorders>
                    <w:tl2br w:val="nil"/>
                    <w:tr2bl w:val="nil"/>
                  </w:tcBorders>
                  <w:vAlign w:val="center"/>
                </w:tcPr>
                <w:p w14:paraId="55E1F03F">
                  <w:pPr>
                    <w:spacing w:line="240" w:lineRule="auto"/>
                    <w:ind w:firstLine="0" w:firstLineChars="0"/>
                    <w:jc w:val="center"/>
                    <w:rPr>
                      <w:bCs/>
                      <w:sz w:val="21"/>
                      <w:szCs w:val="21"/>
                      <w:highlight w:val="none"/>
                    </w:rPr>
                  </w:pPr>
                  <w:r>
                    <w:rPr>
                      <w:bCs/>
                      <w:sz w:val="21"/>
                      <w:szCs w:val="21"/>
                      <w:highlight w:val="none"/>
                    </w:rPr>
                    <w:t>产生量（</w:t>
                  </w:r>
                  <w:r>
                    <w:rPr>
                      <w:sz w:val="21"/>
                      <w:szCs w:val="21"/>
                      <w:highlight w:val="none"/>
                    </w:rPr>
                    <w:t>t/a</w:t>
                  </w:r>
                  <w:r>
                    <w:rPr>
                      <w:bCs/>
                      <w:sz w:val="21"/>
                      <w:szCs w:val="21"/>
                      <w:highlight w:val="none"/>
                    </w:rPr>
                    <w:t>）</w:t>
                  </w:r>
                </w:p>
              </w:tc>
              <w:tc>
                <w:tcPr>
                  <w:tcW w:w="525" w:type="dxa"/>
                  <w:tcBorders>
                    <w:tl2br w:val="nil"/>
                    <w:tr2bl w:val="nil"/>
                  </w:tcBorders>
                  <w:vAlign w:val="center"/>
                </w:tcPr>
                <w:p w14:paraId="38C6F7F9">
                  <w:pPr>
                    <w:spacing w:line="240" w:lineRule="auto"/>
                    <w:ind w:firstLine="0" w:firstLineChars="0"/>
                    <w:jc w:val="center"/>
                    <w:rPr>
                      <w:bCs/>
                      <w:sz w:val="21"/>
                      <w:szCs w:val="21"/>
                      <w:highlight w:val="none"/>
                    </w:rPr>
                  </w:pPr>
                  <w:r>
                    <w:rPr>
                      <w:rFonts w:hint="eastAsia"/>
                      <w:bCs/>
                      <w:sz w:val="21"/>
                      <w:szCs w:val="21"/>
                      <w:highlight w:val="none"/>
                    </w:rPr>
                    <w:t>产生浓度(mg/m</w:t>
                  </w:r>
                  <w:r>
                    <w:rPr>
                      <w:rFonts w:hint="eastAsia"/>
                      <w:bCs/>
                      <w:sz w:val="21"/>
                      <w:szCs w:val="21"/>
                      <w:highlight w:val="none"/>
                      <w:vertAlign w:val="superscript"/>
                    </w:rPr>
                    <w:t>3</w:t>
                  </w:r>
                  <w:r>
                    <w:rPr>
                      <w:rFonts w:hint="eastAsia"/>
                      <w:bCs/>
                      <w:sz w:val="21"/>
                      <w:szCs w:val="21"/>
                      <w:highlight w:val="none"/>
                    </w:rPr>
                    <w:t>)</w:t>
                  </w:r>
                </w:p>
              </w:tc>
              <w:tc>
                <w:tcPr>
                  <w:tcW w:w="525" w:type="dxa"/>
                  <w:vMerge w:val="continue"/>
                  <w:tcBorders>
                    <w:tl2br w:val="nil"/>
                    <w:tr2bl w:val="nil"/>
                  </w:tcBorders>
                  <w:vAlign w:val="center"/>
                </w:tcPr>
                <w:p w14:paraId="05C25363">
                  <w:pPr>
                    <w:spacing w:line="240" w:lineRule="auto"/>
                    <w:ind w:firstLine="0" w:firstLineChars="0"/>
                    <w:jc w:val="center"/>
                    <w:rPr>
                      <w:bCs/>
                      <w:sz w:val="21"/>
                      <w:szCs w:val="21"/>
                      <w:highlight w:val="none"/>
                    </w:rPr>
                  </w:pPr>
                </w:p>
              </w:tc>
              <w:tc>
                <w:tcPr>
                  <w:tcW w:w="585" w:type="dxa"/>
                  <w:tcBorders>
                    <w:tl2br w:val="nil"/>
                    <w:tr2bl w:val="nil"/>
                  </w:tcBorders>
                  <w:vAlign w:val="center"/>
                </w:tcPr>
                <w:p w14:paraId="73A5EFA3">
                  <w:pPr>
                    <w:spacing w:line="240" w:lineRule="auto"/>
                    <w:ind w:firstLine="0" w:firstLineChars="0"/>
                    <w:jc w:val="center"/>
                    <w:rPr>
                      <w:bCs/>
                      <w:sz w:val="21"/>
                      <w:szCs w:val="21"/>
                      <w:highlight w:val="none"/>
                    </w:rPr>
                  </w:pPr>
                  <w:r>
                    <w:rPr>
                      <w:rFonts w:hint="eastAsia"/>
                      <w:bCs/>
                      <w:sz w:val="21"/>
                      <w:szCs w:val="21"/>
                      <w:highlight w:val="none"/>
                    </w:rPr>
                    <w:t>处理能力(</w:t>
                  </w:r>
                  <w:r>
                    <w:rPr>
                      <w:sz w:val="21"/>
                      <w:szCs w:val="21"/>
                      <w:highlight w:val="none"/>
                    </w:rPr>
                    <w:t>m</w:t>
                  </w:r>
                  <w:r>
                    <w:rPr>
                      <w:sz w:val="21"/>
                      <w:szCs w:val="21"/>
                      <w:highlight w:val="none"/>
                      <w:vertAlign w:val="superscript"/>
                    </w:rPr>
                    <w:t>3</w:t>
                  </w:r>
                  <w:r>
                    <w:rPr>
                      <w:sz w:val="21"/>
                      <w:szCs w:val="21"/>
                      <w:highlight w:val="none"/>
                    </w:rPr>
                    <w:t>/h</w:t>
                  </w:r>
                  <w:r>
                    <w:rPr>
                      <w:rFonts w:hint="eastAsia"/>
                      <w:sz w:val="21"/>
                      <w:szCs w:val="21"/>
                      <w:highlight w:val="none"/>
                    </w:rPr>
                    <w:t>)</w:t>
                  </w:r>
                </w:p>
              </w:tc>
              <w:tc>
                <w:tcPr>
                  <w:tcW w:w="480" w:type="dxa"/>
                  <w:tcBorders>
                    <w:tl2br w:val="nil"/>
                    <w:tr2bl w:val="nil"/>
                  </w:tcBorders>
                  <w:vAlign w:val="center"/>
                </w:tcPr>
                <w:p w14:paraId="4B30794C">
                  <w:pPr>
                    <w:spacing w:line="240" w:lineRule="auto"/>
                    <w:ind w:firstLine="0" w:firstLineChars="0"/>
                    <w:jc w:val="center"/>
                    <w:rPr>
                      <w:bCs/>
                      <w:sz w:val="21"/>
                      <w:szCs w:val="21"/>
                      <w:highlight w:val="none"/>
                    </w:rPr>
                  </w:pPr>
                  <w:r>
                    <w:rPr>
                      <w:rFonts w:hint="eastAsia"/>
                      <w:bCs/>
                      <w:sz w:val="21"/>
                      <w:szCs w:val="21"/>
                      <w:highlight w:val="none"/>
                    </w:rPr>
                    <w:t>收集效率(</w:t>
                  </w:r>
                  <w:r>
                    <w:rPr>
                      <w:bCs/>
                      <w:sz w:val="21"/>
                      <w:szCs w:val="21"/>
                      <w:highlight w:val="none"/>
                    </w:rPr>
                    <w:t>%</w:t>
                  </w:r>
                  <w:r>
                    <w:rPr>
                      <w:rFonts w:hint="eastAsia"/>
                      <w:bCs/>
                      <w:sz w:val="21"/>
                      <w:szCs w:val="21"/>
                      <w:highlight w:val="none"/>
                    </w:rPr>
                    <w:t>)</w:t>
                  </w:r>
                </w:p>
              </w:tc>
              <w:tc>
                <w:tcPr>
                  <w:tcW w:w="495" w:type="dxa"/>
                  <w:tcBorders>
                    <w:tl2br w:val="nil"/>
                    <w:tr2bl w:val="nil"/>
                  </w:tcBorders>
                  <w:vAlign w:val="center"/>
                </w:tcPr>
                <w:p w14:paraId="3252CDE3">
                  <w:pPr>
                    <w:spacing w:line="240" w:lineRule="auto"/>
                    <w:ind w:firstLine="0" w:firstLineChars="0"/>
                    <w:jc w:val="center"/>
                    <w:rPr>
                      <w:bCs/>
                      <w:sz w:val="21"/>
                      <w:szCs w:val="21"/>
                      <w:highlight w:val="none"/>
                    </w:rPr>
                  </w:pPr>
                  <w:r>
                    <w:rPr>
                      <w:bCs/>
                      <w:sz w:val="21"/>
                      <w:szCs w:val="21"/>
                      <w:highlight w:val="none"/>
                    </w:rPr>
                    <w:t>工艺</w:t>
                  </w:r>
                </w:p>
              </w:tc>
              <w:tc>
                <w:tcPr>
                  <w:tcW w:w="405" w:type="dxa"/>
                  <w:tcBorders>
                    <w:tl2br w:val="nil"/>
                    <w:tr2bl w:val="nil"/>
                  </w:tcBorders>
                  <w:vAlign w:val="center"/>
                </w:tcPr>
                <w:p w14:paraId="2996EA64">
                  <w:pPr>
                    <w:spacing w:line="240" w:lineRule="auto"/>
                    <w:ind w:firstLine="0" w:firstLineChars="0"/>
                    <w:jc w:val="center"/>
                    <w:rPr>
                      <w:bCs/>
                      <w:sz w:val="21"/>
                      <w:szCs w:val="21"/>
                      <w:highlight w:val="none"/>
                    </w:rPr>
                  </w:pPr>
                  <w:r>
                    <w:rPr>
                      <w:rFonts w:hint="eastAsia"/>
                      <w:bCs/>
                      <w:sz w:val="21"/>
                      <w:szCs w:val="21"/>
                      <w:highlight w:val="none"/>
                    </w:rPr>
                    <w:t>去除率(</w:t>
                  </w:r>
                  <w:r>
                    <w:rPr>
                      <w:bCs/>
                      <w:sz w:val="21"/>
                      <w:szCs w:val="21"/>
                      <w:highlight w:val="none"/>
                    </w:rPr>
                    <w:t>%</w:t>
                  </w:r>
                  <w:r>
                    <w:rPr>
                      <w:rFonts w:hint="eastAsia"/>
                      <w:bCs/>
                      <w:sz w:val="21"/>
                      <w:szCs w:val="21"/>
                      <w:highlight w:val="none"/>
                    </w:rPr>
                    <w:t>)</w:t>
                  </w:r>
                </w:p>
                <w:p w14:paraId="47DFB919">
                  <w:pPr>
                    <w:spacing w:line="240" w:lineRule="auto"/>
                    <w:ind w:firstLine="0" w:firstLineChars="0"/>
                    <w:jc w:val="center"/>
                    <w:rPr>
                      <w:bCs/>
                      <w:sz w:val="21"/>
                      <w:szCs w:val="21"/>
                      <w:highlight w:val="none"/>
                    </w:rPr>
                  </w:pPr>
                </w:p>
              </w:tc>
              <w:tc>
                <w:tcPr>
                  <w:tcW w:w="495" w:type="dxa"/>
                  <w:tcBorders>
                    <w:tl2br w:val="nil"/>
                    <w:tr2bl w:val="nil"/>
                  </w:tcBorders>
                  <w:vAlign w:val="center"/>
                </w:tcPr>
                <w:p w14:paraId="5FFA1003">
                  <w:pPr>
                    <w:spacing w:line="240" w:lineRule="auto"/>
                    <w:ind w:firstLine="0" w:firstLineChars="0"/>
                    <w:jc w:val="center"/>
                    <w:rPr>
                      <w:bCs/>
                      <w:sz w:val="21"/>
                      <w:szCs w:val="21"/>
                      <w:highlight w:val="none"/>
                    </w:rPr>
                  </w:pPr>
                  <w:r>
                    <w:rPr>
                      <w:rFonts w:hint="eastAsia"/>
                      <w:bCs/>
                      <w:sz w:val="21"/>
                      <w:szCs w:val="21"/>
                      <w:highlight w:val="none"/>
                    </w:rPr>
                    <w:t>是否为可行性技术</w:t>
                  </w:r>
                </w:p>
              </w:tc>
              <w:tc>
                <w:tcPr>
                  <w:tcW w:w="510" w:type="dxa"/>
                  <w:tcBorders>
                    <w:tl2br w:val="nil"/>
                    <w:tr2bl w:val="nil"/>
                  </w:tcBorders>
                  <w:vAlign w:val="center"/>
                </w:tcPr>
                <w:p w14:paraId="020C2475">
                  <w:pPr>
                    <w:spacing w:line="240" w:lineRule="auto"/>
                    <w:ind w:firstLine="0" w:firstLineChars="0"/>
                    <w:jc w:val="center"/>
                    <w:rPr>
                      <w:bCs/>
                      <w:sz w:val="21"/>
                      <w:szCs w:val="21"/>
                      <w:highlight w:val="none"/>
                    </w:rPr>
                  </w:pPr>
                  <w:r>
                    <w:rPr>
                      <w:bCs/>
                      <w:sz w:val="21"/>
                      <w:szCs w:val="21"/>
                      <w:highlight w:val="none"/>
                    </w:rPr>
                    <w:t>排放浓度</w:t>
                  </w:r>
                  <w:r>
                    <w:rPr>
                      <w:rFonts w:hint="eastAsia"/>
                      <w:bCs/>
                      <w:sz w:val="21"/>
                      <w:szCs w:val="21"/>
                      <w:highlight w:val="none"/>
                    </w:rPr>
                    <w:t>(</w:t>
                  </w:r>
                  <w:r>
                    <w:rPr>
                      <w:bCs/>
                      <w:sz w:val="21"/>
                      <w:szCs w:val="21"/>
                      <w:highlight w:val="none"/>
                    </w:rPr>
                    <w:t>mg/m</w:t>
                  </w:r>
                  <w:r>
                    <w:rPr>
                      <w:bCs/>
                      <w:sz w:val="21"/>
                      <w:szCs w:val="21"/>
                      <w:highlight w:val="none"/>
                      <w:vertAlign w:val="superscript"/>
                    </w:rPr>
                    <w:t>3</w:t>
                  </w:r>
                  <w:r>
                    <w:rPr>
                      <w:rFonts w:hint="eastAsia"/>
                      <w:bCs/>
                      <w:sz w:val="21"/>
                      <w:szCs w:val="21"/>
                      <w:highlight w:val="none"/>
                    </w:rPr>
                    <w:t>)</w:t>
                  </w:r>
                </w:p>
              </w:tc>
              <w:tc>
                <w:tcPr>
                  <w:tcW w:w="487" w:type="dxa"/>
                  <w:tcBorders>
                    <w:tl2br w:val="nil"/>
                    <w:tr2bl w:val="nil"/>
                  </w:tcBorders>
                  <w:vAlign w:val="center"/>
                </w:tcPr>
                <w:p w14:paraId="4A7E09F0">
                  <w:pPr>
                    <w:spacing w:line="240" w:lineRule="auto"/>
                    <w:ind w:firstLine="0" w:firstLineChars="0"/>
                    <w:jc w:val="center"/>
                    <w:rPr>
                      <w:bCs/>
                      <w:sz w:val="21"/>
                      <w:szCs w:val="21"/>
                      <w:highlight w:val="none"/>
                    </w:rPr>
                  </w:pPr>
                  <w:r>
                    <w:rPr>
                      <w:rFonts w:hint="eastAsia"/>
                      <w:bCs/>
                      <w:sz w:val="21"/>
                      <w:szCs w:val="21"/>
                      <w:highlight w:val="none"/>
                    </w:rPr>
                    <w:t>排放速率(kg/h)</w:t>
                  </w:r>
                </w:p>
              </w:tc>
              <w:tc>
                <w:tcPr>
                  <w:tcW w:w="450" w:type="dxa"/>
                  <w:tcBorders>
                    <w:tl2br w:val="nil"/>
                    <w:tr2bl w:val="nil"/>
                  </w:tcBorders>
                  <w:vAlign w:val="center"/>
                </w:tcPr>
                <w:p w14:paraId="781FD262">
                  <w:pPr>
                    <w:spacing w:line="240" w:lineRule="auto"/>
                    <w:ind w:firstLine="0" w:firstLineChars="0"/>
                    <w:jc w:val="center"/>
                    <w:rPr>
                      <w:bCs/>
                      <w:sz w:val="21"/>
                      <w:szCs w:val="21"/>
                      <w:highlight w:val="none"/>
                    </w:rPr>
                  </w:pPr>
                  <w:r>
                    <w:rPr>
                      <w:rFonts w:hint="eastAsia"/>
                      <w:bCs/>
                      <w:sz w:val="21"/>
                      <w:szCs w:val="21"/>
                      <w:highlight w:val="none"/>
                    </w:rPr>
                    <w:t>有组织</w:t>
                  </w:r>
                  <w:r>
                    <w:rPr>
                      <w:bCs/>
                      <w:sz w:val="21"/>
                      <w:szCs w:val="21"/>
                      <w:highlight w:val="none"/>
                    </w:rPr>
                    <w:t>排放量</w:t>
                  </w:r>
                  <w:r>
                    <w:rPr>
                      <w:rFonts w:hint="eastAsia"/>
                      <w:bCs/>
                      <w:sz w:val="21"/>
                      <w:szCs w:val="21"/>
                      <w:highlight w:val="none"/>
                    </w:rPr>
                    <w:t>(</w:t>
                  </w:r>
                  <w:r>
                    <w:rPr>
                      <w:sz w:val="21"/>
                      <w:szCs w:val="21"/>
                      <w:highlight w:val="none"/>
                    </w:rPr>
                    <w:t>t/a</w:t>
                  </w:r>
                  <w:r>
                    <w:rPr>
                      <w:rFonts w:hint="eastAsia"/>
                      <w:sz w:val="21"/>
                      <w:szCs w:val="21"/>
                      <w:highlight w:val="none"/>
                    </w:rPr>
                    <w:t>)</w:t>
                  </w:r>
                </w:p>
              </w:tc>
              <w:tc>
                <w:tcPr>
                  <w:tcW w:w="510" w:type="dxa"/>
                  <w:tcBorders>
                    <w:tl2br w:val="nil"/>
                    <w:tr2bl w:val="nil"/>
                  </w:tcBorders>
                  <w:vAlign w:val="center"/>
                </w:tcPr>
                <w:p w14:paraId="27C16882">
                  <w:pPr>
                    <w:spacing w:line="240" w:lineRule="auto"/>
                    <w:ind w:firstLine="0" w:firstLineChars="0"/>
                    <w:jc w:val="center"/>
                    <w:rPr>
                      <w:bCs/>
                      <w:sz w:val="21"/>
                      <w:szCs w:val="21"/>
                      <w:highlight w:val="none"/>
                    </w:rPr>
                  </w:pPr>
                  <w:r>
                    <w:rPr>
                      <w:rFonts w:hint="eastAsia"/>
                      <w:bCs/>
                      <w:sz w:val="21"/>
                      <w:szCs w:val="21"/>
                      <w:highlight w:val="none"/>
                    </w:rPr>
                    <w:t>无组织排放量(t/a)</w:t>
                  </w:r>
                </w:p>
              </w:tc>
              <w:tc>
                <w:tcPr>
                  <w:tcW w:w="1302" w:type="dxa"/>
                  <w:vMerge w:val="continue"/>
                  <w:tcBorders>
                    <w:tl2br w:val="nil"/>
                    <w:tr2bl w:val="nil"/>
                  </w:tcBorders>
                  <w:vAlign w:val="center"/>
                </w:tcPr>
                <w:p w14:paraId="33337437">
                  <w:pPr>
                    <w:spacing w:line="240" w:lineRule="auto"/>
                    <w:ind w:firstLine="0" w:firstLineChars="0"/>
                    <w:jc w:val="center"/>
                    <w:rPr>
                      <w:bCs/>
                      <w:sz w:val="21"/>
                      <w:szCs w:val="21"/>
                      <w:highlight w:val="none"/>
                    </w:rPr>
                  </w:pPr>
                </w:p>
              </w:tc>
            </w:tr>
            <w:tr w14:paraId="09E3F8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990" w:hRule="atLeast"/>
                <w:jc w:val="center"/>
              </w:trPr>
              <w:tc>
                <w:tcPr>
                  <w:tcW w:w="454" w:type="dxa"/>
                  <w:tcBorders>
                    <w:tl2br w:val="nil"/>
                    <w:tr2bl w:val="nil"/>
                  </w:tcBorders>
                  <w:vAlign w:val="center"/>
                </w:tcPr>
                <w:p w14:paraId="7C28B312">
                  <w:pPr>
                    <w:spacing w:line="240" w:lineRule="auto"/>
                    <w:ind w:firstLine="0" w:firstLineChars="0"/>
                    <w:jc w:val="center"/>
                    <w:rPr>
                      <w:bCs/>
                      <w:sz w:val="21"/>
                      <w:szCs w:val="21"/>
                      <w:highlight w:val="none"/>
                    </w:rPr>
                  </w:pPr>
                  <w:r>
                    <w:rPr>
                      <w:rFonts w:hint="eastAsia"/>
                      <w:bCs/>
                      <w:sz w:val="21"/>
                      <w:szCs w:val="21"/>
                      <w:highlight w:val="none"/>
                    </w:rPr>
                    <w:t>数控滚齿机高速运转</w:t>
                  </w:r>
                </w:p>
              </w:tc>
              <w:tc>
                <w:tcPr>
                  <w:tcW w:w="617" w:type="dxa"/>
                  <w:tcBorders>
                    <w:tl2br w:val="nil"/>
                    <w:tr2bl w:val="nil"/>
                  </w:tcBorders>
                  <w:vAlign w:val="center"/>
                </w:tcPr>
                <w:p w14:paraId="75B0A740">
                  <w:pPr>
                    <w:pStyle w:val="31"/>
                    <w:rPr>
                      <w:bCs/>
                      <w:sz w:val="21"/>
                      <w:highlight w:val="none"/>
                    </w:rPr>
                  </w:pPr>
                  <w:r>
                    <w:rPr>
                      <w:rFonts w:hint="eastAsia"/>
                      <w:sz w:val="21"/>
                      <w:highlight w:val="none"/>
                    </w:rPr>
                    <w:t>油雾</w:t>
                  </w:r>
                </w:p>
              </w:tc>
              <w:tc>
                <w:tcPr>
                  <w:tcW w:w="540" w:type="dxa"/>
                  <w:tcBorders>
                    <w:tl2br w:val="nil"/>
                    <w:tr2bl w:val="nil"/>
                  </w:tcBorders>
                  <w:vAlign w:val="center"/>
                </w:tcPr>
                <w:p w14:paraId="1CE2B1A8">
                  <w:pPr>
                    <w:spacing w:line="240" w:lineRule="auto"/>
                    <w:ind w:firstLine="0" w:firstLineChars="0"/>
                    <w:jc w:val="center"/>
                    <w:rPr>
                      <w:bCs/>
                      <w:sz w:val="21"/>
                      <w:szCs w:val="21"/>
                      <w:highlight w:val="none"/>
                    </w:rPr>
                  </w:pPr>
                  <w:r>
                    <w:rPr>
                      <w:rFonts w:hint="eastAsia"/>
                      <w:bCs/>
                      <w:sz w:val="21"/>
                      <w:szCs w:val="21"/>
                      <w:highlight w:val="none"/>
                    </w:rPr>
                    <w:t>-</w:t>
                  </w:r>
                </w:p>
              </w:tc>
              <w:tc>
                <w:tcPr>
                  <w:tcW w:w="525" w:type="dxa"/>
                  <w:tcBorders>
                    <w:tl2br w:val="nil"/>
                    <w:tr2bl w:val="nil"/>
                  </w:tcBorders>
                  <w:vAlign w:val="center"/>
                </w:tcPr>
                <w:p w14:paraId="3153A286">
                  <w:pPr>
                    <w:spacing w:line="240" w:lineRule="auto"/>
                    <w:ind w:firstLine="0" w:firstLineChars="0"/>
                    <w:jc w:val="center"/>
                    <w:rPr>
                      <w:bCs/>
                      <w:sz w:val="21"/>
                      <w:szCs w:val="21"/>
                      <w:highlight w:val="none"/>
                    </w:rPr>
                  </w:pPr>
                  <w:r>
                    <w:rPr>
                      <w:rFonts w:hint="eastAsia"/>
                      <w:bCs/>
                      <w:sz w:val="21"/>
                      <w:szCs w:val="21"/>
                      <w:highlight w:val="none"/>
                    </w:rPr>
                    <w:t>-</w:t>
                  </w:r>
                </w:p>
              </w:tc>
              <w:tc>
                <w:tcPr>
                  <w:tcW w:w="525" w:type="dxa"/>
                  <w:tcBorders>
                    <w:tl2br w:val="nil"/>
                    <w:tr2bl w:val="nil"/>
                  </w:tcBorders>
                  <w:vAlign w:val="center"/>
                </w:tcPr>
                <w:p w14:paraId="0D6EB5A0">
                  <w:pPr>
                    <w:spacing w:line="240" w:lineRule="auto"/>
                    <w:ind w:firstLine="0" w:firstLineChars="0"/>
                    <w:jc w:val="center"/>
                    <w:rPr>
                      <w:bCs/>
                      <w:sz w:val="21"/>
                      <w:szCs w:val="21"/>
                      <w:highlight w:val="none"/>
                    </w:rPr>
                  </w:pPr>
                  <w:r>
                    <w:rPr>
                      <w:rFonts w:hint="eastAsia"/>
                      <w:bCs/>
                      <w:sz w:val="21"/>
                      <w:szCs w:val="21"/>
                      <w:highlight w:val="none"/>
                    </w:rPr>
                    <w:t>无组织</w:t>
                  </w:r>
                </w:p>
              </w:tc>
              <w:tc>
                <w:tcPr>
                  <w:tcW w:w="585" w:type="dxa"/>
                  <w:tcBorders>
                    <w:tl2br w:val="nil"/>
                    <w:tr2bl w:val="nil"/>
                  </w:tcBorders>
                  <w:vAlign w:val="center"/>
                </w:tcPr>
                <w:p w14:paraId="36BBC73E">
                  <w:pPr>
                    <w:spacing w:line="240" w:lineRule="auto"/>
                    <w:ind w:firstLine="0" w:firstLineChars="0"/>
                    <w:jc w:val="center"/>
                    <w:rPr>
                      <w:bCs/>
                      <w:sz w:val="21"/>
                      <w:szCs w:val="21"/>
                      <w:highlight w:val="none"/>
                    </w:rPr>
                  </w:pPr>
                  <w:r>
                    <w:rPr>
                      <w:rFonts w:hint="eastAsia"/>
                      <w:bCs/>
                      <w:sz w:val="21"/>
                      <w:szCs w:val="21"/>
                      <w:highlight w:val="none"/>
                    </w:rPr>
                    <w:t>1900</w:t>
                  </w:r>
                </w:p>
              </w:tc>
              <w:tc>
                <w:tcPr>
                  <w:tcW w:w="480" w:type="dxa"/>
                  <w:tcBorders>
                    <w:tl2br w:val="nil"/>
                    <w:tr2bl w:val="nil"/>
                  </w:tcBorders>
                  <w:vAlign w:val="center"/>
                </w:tcPr>
                <w:p w14:paraId="2247425C">
                  <w:pPr>
                    <w:spacing w:line="240" w:lineRule="auto"/>
                    <w:ind w:firstLine="0" w:firstLineChars="0"/>
                    <w:jc w:val="center"/>
                    <w:rPr>
                      <w:bCs/>
                      <w:sz w:val="21"/>
                      <w:szCs w:val="21"/>
                      <w:highlight w:val="none"/>
                    </w:rPr>
                  </w:pPr>
                  <w:r>
                    <w:rPr>
                      <w:rFonts w:hint="eastAsia"/>
                      <w:bCs/>
                      <w:sz w:val="21"/>
                      <w:szCs w:val="21"/>
                      <w:highlight w:val="none"/>
                    </w:rPr>
                    <w:t>90</w:t>
                  </w:r>
                </w:p>
              </w:tc>
              <w:tc>
                <w:tcPr>
                  <w:tcW w:w="495" w:type="dxa"/>
                  <w:tcBorders>
                    <w:tl2br w:val="nil"/>
                    <w:tr2bl w:val="nil"/>
                  </w:tcBorders>
                  <w:vAlign w:val="center"/>
                </w:tcPr>
                <w:p w14:paraId="373CF270">
                  <w:pPr>
                    <w:spacing w:line="240" w:lineRule="auto"/>
                    <w:ind w:firstLine="0" w:firstLineChars="0"/>
                    <w:jc w:val="center"/>
                    <w:rPr>
                      <w:bCs/>
                      <w:sz w:val="21"/>
                      <w:szCs w:val="21"/>
                      <w:highlight w:val="none"/>
                    </w:rPr>
                  </w:pPr>
                  <w:r>
                    <w:rPr>
                      <w:rFonts w:hint="eastAsia"/>
                      <w:bCs/>
                      <w:sz w:val="21"/>
                      <w:szCs w:val="21"/>
                      <w:highlight w:val="none"/>
                    </w:rPr>
                    <w:t>工业油烟净化器</w:t>
                  </w:r>
                </w:p>
              </w:tc>
              <w:tc>
                <w:tcPr>
                  <w:tcW w:w="405" w:type="dxa"/>
                  <w:tcBorders>
                    <w:tl2br w:val="nil"/>
                    <w:tr2bl w:val="nil"/>
                  </w:tcBorders>
                  <w:vAlign w:val="center"/>
                </w:tcPr>
                <w:p w14:paraId="08E5801E">
                  <w:pPr>
                    <w:spacing w:line="240" w:lineRule="auto"/>
                    <w:ind w:firstLine="0" w:firstLineChars="0"/>
                    <w:jc w:val="center"/>
                    <w:rPr>
                      <w:bCs/>
                      <w:sz w:val="21"/>
                      <w:szCs w:val="21"/>
                      <w:highlight w:val="none"/>
                    </w:rPr>
                  </w:pPr>
                  <w:r>
                    <w:rPr>
                      <w:rFonts w:hint="eastAsia"/>
                      <w:bCs/>
                      <w:sz w:val="21"/>
                      <w:szCs w:val="21"/>
                      <w:highlight w:val="none"/>
                    </w:rPr>
                    <w:t>90</w:t>
                  </w:r>
                </w:p>
              </w:tc>
              <w:tc>
                <w:tcPr>
                  <w:tcW w:w="495" w:type="dxa"/>
                  <w:tcBorders>
                    <w:tl2br w:val="nil"/>
                    <w:tr2bl w:val="nil"/>
                  </w:tcBorders>
                  <w:vAlign w:val="center"/>
                </w:tcPr>
                <w:p w14:paraId="08BC30F0">
                  <w:pPr>
                    <w:spacing w:line="240" w:lineRule="auto"/>
                    <w:ind w:firstLine="0" w:firstLineChars="0"/>
                    <w:jc w:val="center"/>
                    <w:rPr>
                      <w:bCs/>
                      <w:sz w:val="21"/>
                      <w:szCs w:val="21"/>
                      <w:highlight w:val="none"/>
                    </w:rPr>
                  </w:pPr>
                  <w:r>
                    <w:rPr>
                      <w:rFonts w:hint="eastAsia"/>
                      <w:bCs/>
                      <w:sz w:val="21"/>
                      <w:szCs w:val="21"/>
                      <w:highlight w:val="none"/>
                    </w:rPr>
                    <w:t>是</w:t>
                  </w:r>
                </w:p>
              </w:tc>
              <w:tc>
                <w:tcPr>
                  <w:tcW w:w="510" w:type="dxa"/>
                  <w:tcBorders>
                    <w:tl2br w:val="nil"/>
                    <w:tr2bl w:val="nil"/>
                  </w:tcBorders>
                  <w:vAlign w:val="center"/>
                </w:tcPr>
                <w:p w14:paraId="67B71AA4">
                  <w:pPr>
                    <w:spacing w:line="240" w:lineRule="auto"/>
                    <w:ind w:firstLine="0" w:firstLineChars="0"/>
                    <w:jc w:val="center"/>
                    <w:rPr>
                      <w:bCs/>
                      <w:sz w:val="21"/>
                      <w:szCs w:val="21"/>
                      <w:highlight w:val="none"/>
                    </w:rPr>
                  </w:pPr>
                  <w:r>
                    <w:rPr>
                      <w:rFonts w:hint="eastAsia"/>
                      <w:bCs/>
                      <w:sz w:val="21"/>
                      <w:szCs w:val="21"/>
                      <w:highlight w:val="none"/>
                    </w:rPr>
                    <w:t>-</w:t>
                  </w:r>
                </w:p>
              </w:tc>
              <w:tc>
                <w:tcPr>
                  <w:tcW w:w="487" w:type="dxa"/>
                  <w:tcBorders>
                    <w:tl2br w:val="nil"/>
                    <w:tr2bl w:val="nil"/>
                  </w:tcBorders>
                  <w:vAlign w:val="center"/>
                </w:tcPr>
                <w:p w14:paraId="2BDB1FC6">
                  <w:pPr>
                    <w:spacing w:line="240" w:lineRule="auto"/>
                    <w:ind w:firstLine="0" w:firstLineChars="0"/>
                    <w:jc w:val="center"/>
                    <w:rPr>
                      <w:bCs/>
                      <w:sz w:val="21"/>
                      <w:szCs w:val="21"/>
                      <w:highlight w:val="none"/>
                    </w:rPr>
                  </w:pPr>
                  <w:r>
                    <w:rPr>
                      <w:rFonts w:hint="eastAsia"/>
                      <w:bCs/>
                      <w:sz w:val="21"/>
                      <w:szCs w:val="21"/>
                      <w:highlight w:val="none"/>
                    </w:rPr>
                    <w:t>-</w:t>
                  </w:r>
                </w:p>
              </w:tc>
              <w:tc>
                <w:tcPr>
                  <w:tcW w:w="450" w:type="dxa"/>
                  <w:tcBorders>
                    <w:tl2br w:val="nil"/>
                    <w:tr2bl w:val="nil"/>
                  </w:tcBorders>
                  <w:vAlign w:val="center"/>
                </w:tcPr>
                <w:p w14:paraId="7B11E1E4">
                  <w:pPr>
                    <w:spacing w:line="240" w:lineRule="auto"/>
                    <w:ind w:firstLine="0" w:firstLineChars="0"/>
                    <w:jc w:val="center"/>
                    <w:rPr>
                      <w:bCs/>
                      <w:sz w:val="21"/>
                      <w:szCs w:val="21"/>
                      <w:highlight w:val="none"/>
                    </w:rPr>
                  </w:pPr>
                  <w:r>
                    <w:rPr>
                      <w:rFonts w:hint="eastAsia"/>
                      <w:bCs/>
                      <w:sz w:val="21"/>
                      <w:szCs w:val="21"/>
                      <w:highlight w:val="none"/>
                    </w:rPr>
                    <w:t>-</w:t>
                  </w:r>
                </w:p>
              </w:tc>
              <w:tc>
                <w:tcPr>
                  <w:tcW w:w="510" w:type="dxa"/>
                  <w:tcBorders>
                    <w:tl2br w:val="nil"/>
                    <w:tr2bl w:val="nil"/>
                  </w:tcBorders>
                  <w:vAlign w:val="center"/>
                </w:tcPr>
                <w:p w14:paraId="073EF619">
                  <w:pPr>
                    <w:spacing w:line="240" w:lineRule="auto"/>
                    <w:ind w:firstLine="0" w:firstLineChars="0"/>
                    <w:jc w:val="center"/>
                    <w:rPr>
                      <w:bCs/>
                      <w:sz w:val="21"/>
                      <w:szCs w:val="21"/>
                      <w:highlight w:val="none"/>
                    </w:rPr>
                  </w:pPr>
                  <w:r>
                    <w:rPr>
                      <w:rFonts w:hint="eastAsia"/>
                      <w:bCs/>
                      <w:sz w:val="21"/>
                      <w:szCs w:val="21"/>
                      <w:highlight w:val="none"/>
                    </w:rPr>
                    <w:t>-</w:t>
                  </w:r>
                </w:p>
              </w:tc>
              <w:tc>
                <w:tcPr>
                  <w:tcW w:w="1302" w:type="dxa"/>
                  <w:tcBorders>
                    <w:tl2br w:val="nil"/>
                    <w:tr2bl w:val="nil"/>
                  </w:tcBorders>
                  <w:vAlign w:val="center"/>
                </w:tcPr>
                <w:p w14:paraId="0D124109">
                  <w:pPr>
                    <w:pStyle w:val="31"/>
                    <w:rPr>
                      <w:bCs/>
                      <w:sz w:val="21"/>
                      <w:highlight w:val="none"/>
                    </w:rPr>
                  </w:pPr>
                  <w:r>
                    <w:rPr>
                      <w:rFonts w:hint="eastAsia"/>
                      <w:bCs/>
                      <w:sz w:val="21"/>
                      <w:highlight w:val="none"/>
                    </w:rPr>
                    <w:t>-</w:t>
                  </w:r>
                </w:p>
              </w:tc>
            </w:tr>
            <w:tr w14:paraId="35CC7B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990" w:hRule="atLeast"/>
                <w:jc w:val="center"/>
              </w:trPr>
              <w:tc>
                <w:tcPr>
                  <w:tcW w:w="454" w:type="dxa"/>
                  <w:tcBorders>
                    <w:tl2br w:val="nil"/>
                    <w:tr2bl w:val="nil"/>
                  </w:tcBorders>
                  <w:vAlign w:val="center"/>
                </w:tcPr>
                <w:p w14:paraId="4F6A1AE9">
                  <w:pPr>
                    <w:spacing w:line="240" w:lineRule="auto"/>
                    <w:ind w:firstLine="0" w:firstLineChars="0"/>
                    <w:jc w:val="center"/>
                    <w:rPr>
                      <w:bCs/>
                      <w:sz w:val="21"/>
                      <w:szCs w:val="21"/>
                      <w:highlight w:val="none"/>
                    </w:rPr>
                  </w:pPr>
                  <w:r>
                    <w:rPr>
                      <w:rFonts w:hint="eastAsia"/>
                      <w:bCs/>
                      <w:sz w:val="21"/>
                      <w:szCs w:val="21"/>
                      <w:highlight w:val="none"/>
                    </w:rPr>
                    <w:t>渗碳</w:t>
                  </w:r>
                </w:p>
              </w:tc>
              <w:tc>
                <w:tcPr>
                  <w:tcW w:w="617" w:type="dxa"/>
                  <w:tcBorders>
                    <w:tl2br w:val="nil"/>
                    <w:tr2bl w:val="nil"/>
                  </w:tcBorders>
                  <w:vAlign w:val="center"/>
                </w:tcPr>
                <w:p w14:paraId="5C60CE09">
                  <w:pPr>
                    <w:pStyle w:val="31"/>
                    <w:rPr>
                      <w:sz w:val="21"/>
                      <w:highlight w:val="none"/>
                    </w:rPr>
                  </w:pPr>
                  <w:r>
                    <w:rPr>
                      <w:rFonts w:hint="eastAsia"/>
                      <w:sz w:val="21"/>
                      <w:highlight w:val="none"/>
                    </w:rPr>
                    <w:t>挥发性有机物</w:t>
                  </w:r>
                </w:p>
              </w:tc>
              <w:tc>
                <w:tcPr>
                  <w:tcW w:w="540" w:type="dxa"/>
                  <w:tcBorders>
                    <w:tl2br w:val="nil"/>
                    <w:tr2bl w:val="nil"/>
                  </w:tcBorders>
                  <w:vAlign w:val="center"/>
                </w:tcPr>
                <w:p w14:paraId="2FA294D1">
                  <w:pPr>
                    <w:spacing w:line="240" w:lineRule="auto"/>
                    <w:ind w:firstLine="0" w:firstLineChars="0"/>
                    <w:jc w:val="center"/>
                    <w:rPr>
                      <w:rFonts w:ascii="Arial" w:hAnsi="Arial" w:cs="Arial"/>
                      <w:sz w:val="21"/>
                      <w:szCs w:val="21"/>
                      <w:highlight w:val="none"/>
                    </w:rPr>
                  </w:pPr>
                  <w:r>
                    <w:rPr>
                      <w:rFonts w:hint="eastAsia"/>
                      <w:sz w:val="21"/>
                      <w:szCs w:val="21"/>
                      <w:highlight w:val="none"/>
                    </w:rPr>
                    <w:t>1.1336</w:t>
                  </w:r>
                  <w:r>
                    <w:rPr>
                      <w:rFonts w:ascii="Arial" w:hAnsi="Arial" w:cs="Arial"/>
                      <w:sz w:val="21"/>
                      <w:szCs w:val="21"/>
                      <w:highlight w:val="none"/>
                    </w:rPr>
                    <w:t>×</w:t>
                  </w:r>
                </w:p>
                <w:p w14:paraId="21381FF1">
                  <w:pPr>
                    <w:spacing w:line="240" w:lineRule="auto"/>
                    <w:ind w:firstLine="0" w:firstLineChars="0"/>
                    <w:jc w:val="center"/>
                    <w:rPr>
                      <w:bCs/>
                      <w:sz w:val="21"/>
                      <w:szCs w:val="21"/>
                      <w:highlight w:val="none"/>
                    </w:rPr>
                  </w:pPr>
                  <w:r>
                    <w:rPr>
                      <w:rFonts w:hint="eastAsia"/>
                      <w:sz w:val="21"/>
                      <w:szCs w:val="21"/>
                      <w:highlight w:val="none"/>
                    </w:rPr>
                    <w:t>10</w:t>
                  </w:r>
                  <w:r>
                    <w:rPr>
                      <w:rFonts w:hint="eastAsia"/>
                      <w:sz w:val="21"/>
                      <w:szCs w:val="21"/>
                      <w:highlight w:val="none"/>
                      <w:vertAlign w:val="superscript"/>
                    </w:rPr>
                    <w:t>-3</w:t>
                  </w:r>
                </w:p>
              </w:tc>
              <w:tc>
                <w:tcPr>
                  <w:tcW w:w="525" w:type="dxa"/>
                  <w:tcBorders>
                    <w:tl2br w:val="nil"/>
                    <w:tr2bl w:val="nil"/>
                  </w:tcBorders>
                  <w:vAlign w:val="center"/>
                </w:tcPr>
                <w:p w14:paraId="7E142442">
                  <w:pPr>
                    <w:spacing w:line="240" w:lineRule="auto"/>
                    <w:ind w:firstLine="0" w:firstLineChars="0"/>
                    <w:jc w:val="center"/>
                    <w:rPr>
                      <w:bCs/>
                      <w:sz w:val="21"/>
                      <w:szCs w:val="21"/>
                      <w:highlight w:val="none"/>
                    </w:rPr>
                  </w:pPr>
                  <w:r>
                    <w:rPr>
                      <w:rFonts w:hint="eastAsia"/>
                      <w:bCs/>
                      <w:sz w:val="21"/>
                      <w:szCs w:val="21"/>
                      <w:highlight w:val="none"/>
                    </w:rPr>
                    <w:t>-</w:t>
                  </w:r>
                </w:p>
              </w:tc>
              <w:tc>
                <w:tcPr>
                  <w:tcW w:w="525" w:type="dxa"/>
                  <w:tcBorders>
                    <w:tl2br w:val="nil"/>
                    <w:tr2bl w:val="nil"/>
                  </w:tcBorders>
                  <w:vAlign w:val="center"/>
                </w:tcPr>
                <w:p w14:paraId="7C461889">
                  <w:pPr>
                    <w:spacing w:line="240" w:lineRule="auto"/>
                    <w:ind w:firstLine="0" w:firstLineChars="0"/>
                    <w:jc w:val="center"/>
                    <w:rPr>
                      <w:bCs/>
                      <w:sz w:val="21"/>
                      <w:szCs w:val="21"/>
                      <w:highlight w:val="none"/>
                    </w:rPr>
                  </w:pPr>
                  <w:r>
                    <w:rPr>
                      <w:rFonts w:hint="eastAsia"/>
                      <w:bCs/>
                      <w:sz w:val="21"/>
                      <w:szCs w:val="21"/>
                      <w:highlight w:val="none"/>
                    </w:rPr>
                    <w:t>无组织</w:t>
                  </w:r>
                </w:p>
              </w:tc>
              <w:tc>
                <w:tcPr>
                  <w:tcW w:w="585" w:type="dxa"/>
                  <w:tcBorders>
                    <w:tl2br w:val="nil"/>
                    <w:tr2bl w:val="nil"/>
                  </w:tcBorders>
                  <w:vAlign w:val="center"/>
                </w:tcPr>
                <w:p w14:paraId="25A6772E">
                  <w:pPr>
                    <w:spacing w:line="240" w:lineRule="auto"/>
                    <w:ind w:firstLine="0" w:firstLineChars="0"/>
                    <w:jc w:val="center"/>
                    <w:rPr>
                      <w:bCs/>
                      <w:sz w:val="21"/>
                      <w:szCs w:val="21"/>
                      <w:highlight w:val="none"/>
                    </w:rPr>
                  </w:pPr>
                  <w:r>
                    <w:rPr>
                      <w:rFonts w:hint="eastAsia"/>
                      <w:bCs/>
                      <w:sz w:val="21"/>
                      <w:szCs w:val="21"/>
                      <w:highlight w:val="none"/>
                    </w:rPr>
                    <w:t>-</w:t>
                  </w:r>
                </w:p>
              </w:tc>
              <w:tc>
                <w:tcPr>
                  <w:tcW w:w="480" w:type="dxa"/>
                  <w:tcBorders>
                    <w:tl2br w:val="nil"/>
                    <w:tr2bl w:val="nil"/>
                  </w:tcBorders>
                  <w:vAlign w:val="center"/>
                </w:tcPr>
                <w:p w14:paraId="0A824AC9">
                  <w:pPr>
                    <w:spacing w:line="240" w:lineRule="auto"/>
                    <w:ind w:firstLine="0" w:firstLineChars="0"/>
                    <w:jc w:val="center"/>
                    <w:rPr>
                      <w:bCs/>
                      <w:sz w:val="21"/>
                      <w:szCs w:val="21"/>
                      <w:highlight w:val="none"/>
                    </w:rPr>
                  </w:pPr>
                  <w:r>
                    <w:rPr>
                      <w:rFonts w:hint="eastAsia"/>
                      <w:bCs/>
                      <w:sz w:val="21"/>
                      <w:szCs w:val="21"/>
                      <w:highlight w:val="none"/>
                    </w:rPr>
                    <w:t>-</w:t>
                  </w:r>
                </w:p>
              </w:tc>
              <w:tc>
                <w:tcPr>
                  <w:tcW w:w="495" w:type="dxa"/>
                  <w:tcBorders>
                    <w:tl2br w:val="nil"/>
                    <w:tr2bl w:val="nil"/>
                  </w:tcBorders>
                  <w:vAlign w:val="center"/>
                </w:tcPr>
                <w:p w14:paraId="65C868BE">
                  <w:pPr>
                    <w:spacing w:line="240" w:lineRule="auto"/>
                    <w:ind w:firstLine="0" w:firstLineChars="0"/>
                    <w:jc w:val="center"/>
                    <w:rPr>
                      <w:bCs/>
                      <w:sz w:val="21"/>
                      <w:szCs w:val="21"/>
                      <w:highlight w:val="none"/>
                    </w:rPr>
                  </w:pPr>
                  <w:r>
                    <w:rPr>
                      <w:rFonts w:hint="eastAsia"/>
                      <w:bCs/>
                      <w:sz w:val="21"/>
                      <w:szCs w:val="21"/>
                      <w:highlight w:val="none"/>
                    </w:rPr>
                    <w:t>环形燃烧器</w:t>
                  </w:r>
                </w:p>
              </w:tc>
              <w:tc>
                <w:tcPr>
                  <w:tcW w:w="405" w:type="dxa"/>
                  <w:tcBorders>
                    <w:tl2br w:val="nil"/>
                    <w:tr2bl w:val="nil"/>
                  </w:tcBorders>
                  <w:vAlign w:val="center"/>
                </w:tcPr>
                <w:p w14:paraId="34B84679">
                  <w:pPr>
                    <w:spacing w:line="240" w:lineRule="auto"/>
                    <w:ind w:firstLine="0" w:firstLineChars="0"/>
                    <w:jc w:val="center"/>
                    <w:rPr>
                      <w:bCs/>
                      <w:sz w:val="21"/>
                      <w:szCs w:val="21"/>
                      <w:highlight w:val="none"/>
                    </w:rPr>
                  </w:pPr>
                  <w:r>
                    <w:rPr>
                      <w:rFonts w:hint="eastAsia"/>
                      <w:bCs/>
                      <w:sz w:val="21"/>
                      <w:szCs w:val="21"/>
                      <w:highlight w:val="none"/>
                    </w:rPr>
                    <w:t>90</w:t>
                  </w:r>
                </w:p>
              </w:tc>
              <w:tc>
                <w:tcPr>
                  <w:tcW w:w="495" w:type="dxa"/>
                  <w:tcBorders>
                    <w:tl2br w:val="nil"/>
                    <w:tr2bl w:val="nil"/>
                  </w:tcBorders>
                  <w:vAlign w:val="center"/>
                </w:tcPr>
                <w:p w14:paraId="2506918B">
                  <w:pPr>
                    <w:spacing w:line="240" w:lineRule="auto"/>
                    <w:ind w:firstLine="0" w:firstLineChars="0"/>
                    <w:jc w:val="center"/>
                    <w:rPr>
                      <w:bCs/>
                      <w:sz w:val="21"/>
                      <w:szCs w:val="21"/>
                      <w:highlight w:val="none"/>
                    </w:rPr>
                  </w:pPr>
                  <w:r>
                    <w:rPr>
                      <w:rFonts w:hint="eastAsia"/>
                      <w:bCs/>
                      <w:sz w:val="21"/>
                      <w:szCs w:val="21"/>
                      <w:highlight w:val="none"/>
                    </w:rPr>
                    <w:t>是</w:t>
                  </w:r>
                </w:p>
              </w:tc>
              <w:tc>
                <w:tcPr>
                  <w:tcW w:w="510" w:type="dxa"/>
                  <w:tcBorders>
                    <w:tl2br w:val="nil"/>
                    <w:tr2bl w:val="nil"/>
                  </w:tcBorders>
                  <w:vAlign w:val="center"/>
                </w:tcPr>
                <w:p w14:paraId="0D18B605">
                  <w:pPr>
                    <w:spacing w:line="240" w:lineRule="auto"/>
                    <w:ind w:firstLine="0" w:firstLineChars="0"/>
                    <w:jc w:val="center"/>
                    <w:rPr>
                      <w:bCs/>
                      <w:sz w:val="21"/>
                      <w:szCs w:val="21"/>
                      <w:highlight w:val="none"/>
                    </w:rPr>
                  </w:pPr>
                  <w:r>
                    <w:rPr>
                      <w:rFonts w:hint="eastAsia"/>
                      <w:bCs/>
                      <w:sz w:val="21"/>
                      <w:szCs w:val="21"/>
                      <w:highlight w:val="none"/>
                    </w:rPr>
                    <w:t>-</w:t>
                  </w:r>
                </w:p>
              </w:tc>
              <w:tc>
                <w:tcPr>
                  <w:tcW w:w="487" w:type="dxa"/>
                  <w:tcBorders>
                    <w:tl2br w:val="nil"/>
                    <w:tr2bl w:val="nil"/>
                  </w:tcBorders>
                  <w:vAlign w:val="center"/>
                </w:tcPr>
                <w:p w14:paraId="52275FF6">
                  <w:pPr>
                    <w:spacing w:line="240" w:lineRule="auto"/>
                    <w:ind w:firstLine="0" w:firstLineChars="0"/>
                    <w:jc w:val="center"/>
                    <w:rPr>
                      <w:rFonts w:ascii="Arial" w:hAnsi="Arial" w:cs="Arial"/>
                      <w:sz w:val="21"/>
                      <w:szCs w:val="21"/>
                      <w:highlight w:val="none"/>
                    </w:rPr>
                  </w:pPr>
                  <w:r>
                    <w:rPr>
                      <w:rFonts w:hint="eastAsia"/>
                      <w:sz w:val="21"/>
                      <w:szCs w:val="21"/>
                      <w:highlight w:val="none"/>
                    </w:rPr>
                    <w:t>8.7</w:t>
                  </w:r>
                  <w:r>
                    <w:rPr>
                      <w:rFonts w:ascii="Arial" w:hAnsi="Arial" w:cs="Arial"/>
                      <w:sz w:val="21"/>
                      <w:szCs w:val="21"/>
                      <w:highlight w:val="none"/>
                    </w:rPr>
                    <w:t>×</w:t>
                  </w:r>
                </w:p>
                <w:p w14:paraId="3FAB7C1A">
                  <w:pPr>
                    <w:spacing w:line="240" w:lineRule="auto"/>
                    <w:ind w:firstLine="0" w:firstLineChars="0"/>
                    <w:jc w:val="center"/>
                    <w:rPr>
                      <w:bCs/>
                      <w:sz w:val="21"/>
                      <w:szCs w:val="21"/>
                      <w:highlight w:val="none"/>
                    </w:rPr>
                  </w:pPr>
                  <w:r>
                    <w:rPr>
                      <w:rFonts w:hint="eastAsia"/>
                      <w:sz w:val="21"/>
                      <w:szCs w:val="21"/>
                      <w:highlight w:val="none"/>
                    </w:rPr>
                    <w:t>10</w:t>
                  </w:r>
                  <w:r>
                    <w:rPr>
                      <w:rFonts w:hint="eastAsia"/>
                      <w:sz w:val="21"/>
                      <w:szCs w:val="21"/>
                      <w:highlight w:val="none"/>
                      <w:vertAlign w:val="superscript"/>
                    </w:rPr>
                    <w:t>-3</w:t>
                  </w:r>
                </w:p>
              </w:tc>
              <w:tc>
                <w:tcPr>
                  <w:tcW w:w="450" w:type="dxa"/>
                  <w:tcBorders>
                    <w:tl2br w:val="nil"/>
                    <w:tr2bl w:val="nil"/>
                  </w:tcBorders>
                  <w:vAlign w:val="center"/>
                </w:tcPr>
                <w:p w14:paraId="75D5E998">
                  <w:pPr>
                    <w:spacing w:line="240" w:lineRule="auto"/>
                    <w:ind w:firstLine="0" w:firstLineChars="0"/>
                    <w:jc w:val="center"/>
                    <w:rPr>
                      <w:bCs/>
                      <w:sz w:val="21"/>
                      <w:szCs w:val="21"/>
                      <w:highlight w:val="none"/>
                    </w:rPr>
                  </w:pPr>
                  <w:r>
                    <w:rPr>
                      <w:rFonts w:hint="eastAsia"/>
                      <w:bCs/>
                      <w:sz w:val="21"/>
                      <w:szCs w:val="21"/>
                      <w:highlight w:val="none"/>
                    </w:rPr>
                    <w:t>-</w:t>
                  </w:r>
                </w:p>
              </w:tc>
              <w:tc>
                <w:tcPr>
                  <w:tcW w:w="510" w:type="dxa"/>
                  <w:tcBorders>
                    <w:tl2br w:val="nil"/>
                    <w:tr2bl w:val="nil"/>
                  </w:tcBorders>
                  <w:vAlign w:val="center"/>
                </w:tcPr>
                <w:p w14:paraId="59C06FF9">
                  <w:pPr>
                    <w:spacing w:line="240" w:lineRule="auto"/>
                    <w:ind w:firstLine="0" w:firstLineChars="0"/>
                    <w:jc w:val="center"/>
                    <w:rPr>
                      <w:rFonts w:ascii="Arial" w:hAnsi="Arial" w:cs="Arial"/>
                      <w:sz w:val="21"/>
                      <w:szCs w:val="21"/>
                      <w:highlight w:val="none"/>
                    </w:rPr>
                  </w:pPr>
                  <w:r>
                    <w:rPr>
                      <w:rFonts w:hint="eastAsia"/>
                      <w:sz w:val="21"/>
                      <w:szCs w:val="21"/>
                      <w:highlight w:val="none"/>
                    </w:rPr>
                    <w:t>0.5668</w:t>
                  </w:r>
                  <w:r>
                    <w:rPr>
                      <w:rFonts w:ascii="Arial" w:hAnsi="Arial" w:cs="Arial"/>
                      <w:sz w:val="21"/>
                      <w:szCs w:val="21"/>
                      <w:highlight w:val="none"/>
                    </w:rPr>
                    <w:t>×</w:t>
                  </w:r>
                </w:p>
                <w:p w14:paraId="7F9745A2">
                  <w:pPr>
                    <w:spacing w:line="240" w:lineRule="auto"/>
                    <w:ind w:firstLine="0" w:firstLineChars="0"/>
                    <w:jc w:val="center"/>
                    <w:rPr>
                      <w:bCs/>
                      <w:sz w:val="21"/>
                      <w:szCs w:val="21"/>
                      <w:highlight w:val="none"/>
                    </w:rPr>
                  </w:pPr>
                  <w:r>
                    <w:rPr>
                      <w:rFonts w:hint="eastAsia"/>
                      <w:sz w:val="21"/>
                      <w:szCs w:val="21"/>
                      <w:highlight w:val="none"/>
                    </w:rPr>
                    <w:t>10</w:t>
                  </w:r>
                  <w:r>
                    <w:rPr>
                      <w:rFonts w:hint="eastAsia"/>
                      <w:sz w:val="21"/>
                      <w:szCs w:val="21"/>
                      <w:highlight w:val="none"/>
                      <w:vertAlign w:val="superscript"/>
                    </w:rPr>
                    <w:t>-3</w:t>
                  </w:r>
                </w:p>
              </w:tc>
              <w:tc>
                <w:tcPr>
                  <w:tcW w:w="1302" w:type="dxa"/>
                  <w:tcBorders>
                    <w:tl2br w:val="nil"/>
                    <w:tr2bl w:val="nil"/>
                  </w:tcBorders>
                  <w:vAlign w:val="center"/>
                </w:tcPr>
                <w:p w14:paraId="6118C62B">
                  <w:pPr>
                    <w:pStyle w:val="31"/>
                    <w:rPr>
                      <w:bCs/>
                      <w:sz w:val="21"/>
                      <w:highlight w:val="none"/>
                    </w:rPr>
                  </w:pPr>
                  <w:r>
                    <w:rPr>
                      <w:bCs/>
                      <w:sz w:val="21"/>
                      <w:highlight w:val="none"/>
                    </w:rPr>
                    <w:t>《工业企业挥发性有机物排放控制标准》（DB13/2322-2016）</w:t>
                  </w:r>
                </w:p>
              </w:tc>
            </w:tr>
            <w:tr w14:paraId="30A593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454" w:type="dxa"/>
                  <w:vMerge w:val="restart"/>
                  <w:tcBorders>
                    <w:tl2br w:val="nil"/>
                    <w:tr2bl w:val="nil"/>
                  </w:tcBorders>
                  <w:vAlign w:val="center"/>
                </w:tcPr>
                <w:p w14:paraId="7D0B7628">
                  <w:pPr>
                    <w:spacing w:line="240" w:lineRule="auto"/>
                    <w:ind w:firstLine="0" w:firstLineChars="0"/>
                    <w:jc w:val="center"/>
                    <w:rPr>
                      <w:bCs/>
                      <w:sz w:val="21"/>
                      <w:szCs w:val="21"/>
                      <w:highlight w:val="none"/>
                    </w:rPr>
                  </w:pPr>
                  <w:r>
                    <w:rPr>
                      <w:rFonts w:hint="eastAsia"/>
                      <w:bCs/>
                      <w:sz w:val="21"/>
                      <w:szCs w:val="21"/>
                      <w:highlight w:val="none"/>
                    </w:rPr>
                    <w:t>淬火回火</w:t>
                  </w:r>
                </w:p>
              </w:tc>
              <w:tc>
                <w:tcPr>
                  <w:tcW w:w="617" w:type="dxa"/>
                  <w:tcBorders>
                    <w:tl2br w:val="nil"/>
                    <w:tr2bl w:val="nil"/>
                  </w:tcBorders>
                  <w:vAlign w:val="center"/>
                </w:tcPr>
                <w:p w14:paraId="7A68F87E">
                  <w:pPr>
                    <w:pStyle w:val="31"/>
                    <w:rPr>
                      <w:sz w:val="21"/>
                      <w:highlight w:val="none"/>
                    </w:rPr>
                  </w:pPr>
                  <w:r>
                    <w:rPr>
                      <w:rFonts w:hint="eastAsia"/>
                      <w:sz w:val="21"/>
                      <w:highlight w:val="none"/>
                    </w:rPr>
                    <w:t>挥发性有机物（以非甲烷总烃代）</w:t>
                  </w:r>
                </w:p>
              </w:tc>
              <w:tc>
                <w:tcPr>
                  <w:tcW w:w="540" w:type="dxa"/>
                  <w:tcBorders>
                    <w:tl2br w:val="nil"/>
                    <w:tr2bl w:val="nil"/>
                  </w:tcBorders>
                  <w:vAlign w:val="center"/>
                </w:tcPr>
                <w:p w14:paraId="78CBCECE">
                  <w:pPr>
                    <w:spacing w:line="240" w:lineRule="auto"/>
                    <w:ind w:firstLine="0" w:firstLineChars="0"/>
                    <w:jc w:val="center"/>
                    <w:rPr>
                      <w:bCs/>
                      <w:sz w:val="21"/>
                      <w:szCs w:val="21"/>
                      <w:highlight w:val="none"/>
                    </w:rPr>
                  </w:pPr>
                  <w:r>
                    <w:rPr>
                      <w:rFonts w:hint="eastAsia"/>
                      <w:bCs/>
                      <w:sz w:val="21"/>
                      <w:szCs w:val="21"/>
                      <w:highlight w:val="none"/>
                    </w:rPr>
                    <w:t>1.9</w:t>
                  </w:r>
                  <w:r>
                    <w:rPr>
                      <w:bCs/>
                      <w:sz w:val="21"/>
                      <w:szCs w:val="21"/>
                      <w:highlight w:val="none"/>
                    </w:rPr>
                    <w:t>×</w:t>
                  </w:r>
                </w:p>
                <w:p w14:paraId="3E5F0723">
                  <w:pPr>
                    <w:spacing w:line="240" w:lineRule="auto"/>
                    <w:ind w:firstLine="0" w:firstLineChars="0"/>
                    <w:jc w:val="center"/>
                    <w:rPr>
                      <w:bCs/>
                      <w:sz w:val="21"/>
                      <w:szCs w:val="21"/>
                      <w:highlight w:val="none"/>
                    </w:rPr>
                  </w:pPr>
                  <w:r>
                    <w:rPr>
                      <w:rFonts w:hint="eastAsia"/>
                      <w:bCs/>
                      <w:sz w:val="21"/>
                      <w:szCs w:val="21"/>
                      <w:highlight w:val="none"/>
                    </w:rPr>
                    <w:t>10</w:t>
                  </w:r>
                  <w:r>
                    <w:rPr>
                      <w:rFonts w:hint="eastAsia"/>
                      <w:bCs/>
                      <w:sz w:val="21"/>
                      <w:szCs w:val="21"/>
                      <w:highlight w:val="none"/>
                      <w:vertAlign w:val="superscript"/>
                    </w:rPr>
                    <w:t>-5</w:t>
                  </w:r>
                </w:p>
              </w:tc>
              <w:tc>
                <w:tcPr>
                  <w:tcW w:w="525" w:type="dxa"/>
                  <w:tcBorders>
                    <w:tl2br w:val="nil"/>
                    <w:tr2bl w:val="nil"/>
                  </w:tcBorders>
                  <w:vAlign w:val="center"/>
                </w:tcPr>
                <w:p w14:paraId="77A4F0EA">
                  <w:pPr>
                    <w:spacing w:line="240" w:lineRule="auto"/>
                    <w:ind w:firstLine="0" w:firstLineChars="0"/>
                    <w:jc w:val="center"/>
                    <w:rPr>
                      <w:bCs/>
                      <w:sz w:val="21"/>
                      <w:szCs w:val="21"/>
                      <w:highlight w:val="none"/>
                    </w:rPr>
                  </w:pPr>
                  <w:r>
                    <w:rPr>
                      <w:rFonts w:hint="eastAsia"/>
                      <w:bCs/>
                      <w:sz w:val="21"/>
                      <w:szCs w:val="21"/>
                      <w:highlight w:val="none"/>
                    </w:rPr>
                    <w:t>5.952</w:t>
                  </w:r>
                  <w:r>
                    <w:rPr>
                      <w:bCs/>
                      <w:sz w:val="21"/>
                      <w:szCs w:val="21"/>
                      <w:highlight w:val="none"/>
                    </w:rPr>
                    <w:t>×</w:t>
                  </w:r>
                  <w:r>
                    <w:rPr>
                      <w:rFonts w:hint="eastAsia"/>
                      <w:bCs/>
                      <w:sz w:val="21"/>
                      <w:szCs w:val="21"/>
                      <w:highlight w:val="none"/>
                    </w:rPr>
                    <w:t>10</w:t>
                  </w:r>
                  <w:r>
                    <w:rPr>
                      <w:rFonts w:hint="eastAsia"/>
                      <w:bCs/>
                      <w:sz w:val="21"/>
                      <w:szCs w:val="21"/>
                      <w:highlight w:val="none"/>
                      <w:vertAlign w:val="superscript"/>
                    </w:rPr>
                    <w:t>-4</w:t>
                  </w:r>
                </w:p>
              </w:tc>
              <w:tc>
                <w:tcPr>
                  <w:tcW w:w="525" w:type="dxa"/>
                  <w:vMerge w:val="restart"/>
                  <w:tcBorders>
                    <w:tl2br w:val="nil"/>
                    <w:tr2bl w:val="nil"/>
                  </w:tcBorders>
                  <w:vAlign w:val="center"/>
                </w:tcPr>
                <w:p w14:paraId="021480BC">
                  <w:pPr>
                    <w:spacing w:line="240" w:lineRule="auto"/>
                    <w:ind w:firstLine="0" w:firstLineChars="0"/>
                    <w:jc w:val="center"/>
                    <w:rPr>
                      <w:bCs/>
                      <w:sz w:val="21"/>
                      <w:szCs w:val="21"/>
                      <w:highlight w:val="none"/>
                    </w:rPr>
                  </w:pPr>
                  <w:r>
                    <w:rPr>
                      <w:rFonts w:hint="eastAsia"/>
                      <w:bCs/>
                      <w:sz w:val="21"/>
                      <w:szCs w:val="21"/>
                      <w:highlight w:val="none"/>
                    </w:rPr>
                    <w:t>有组织</w:t>
                  </w:r>
                </w:p>
              </w:tc>
              <w:tc>
                <w:tcPr>
                  <w:tcW w:w="585" w:type="dxa"/>
                  <w:vMerge w:val="restart"/>
                  <w:tcBorders>
                    <w:tl2br w:val="nil"/>
                    <w:tr2bl w:val="nil"/>
                  </w:tcBorders>
                  <w:vAlign w:val="center"/>
                </w:tcPr>
                <w:p w14:paraId="7F158600">
                  <w:pPr>
                    <w:spacing w:line="240" w:lineRule="auto"/>
                    <w:ind w:firstLine="0" w:firstLineChars="0"/>
                    <w:jc w:val="center"/>
                    <w:rPr>
                      <w:bCs/>
                      <w:sz w:val="21"/>
                      <w:szCs w:val="21"/>
                      <w:highlight w:val="none"/>
                    </w:rPr>
                  </w:pPr>
                  <w:r>
                    <w:rPr>
                      <w:rFonts w:hint="eastAsia"/>
                      <w:bCs/>
                      <w:sz w:val="21"/>
                      <w:szCs w:val="21"/>
                      <w:highlight w:val="none"/>
                    </w:rPr>
                    <w:t>20000</w:t>
                  </w:r>
                </w:p>
              </w:tc>
              <w:tc>
                <w:tcPr>
                  <w:tcW w:w="480" w:type="dxa"/>
                  <w:vMerge w:val="restart"/>
                  <w:tcBorders>
                    <w:tl2br w:val="nil"/>
                    <w:tr2bl w:val="nil"/>
                  </w:tcBorders>
                  <w:vAlign w:val="center"/>
                </w:tcPr>
                <w:p w14:paraId="75A80339">
                  <w:pPr>
                    <w:spacing w:line="240" w:lineRule="auto"/>
                    <w:ind w:firstLine="0" w:firstLineChars="0"/>
                    <w:jc w:val="center"/>
                    <w:rPr>
                      <w:bCs/>
                      <w:sz w:val="21"/>
                      <w:szCs w:val="21"/>
                      <w:highlight w:val="none"/>
                    </w:rPr>
                  </w:pPr>
                  <w:r>
                    <w:rPr>
                      <w:rFonts w:hint="eastAsia"/>
                      <w:bCs/>
                      <w:sz w:val="21"/>
                      <w:szCs w:val="21"/>
                      <w:highlight w:val="none"/>
                    </w:rPr>
                    <w:t>90</w:t>
                  </w:r>
                </w:p>
              </w:tc>
              <w:tc>
                <w:tcPr>
                  <w:tcW w:w="495" w:type="dxa"/>
                  <w:vMerge w:val="restart"/>
                  <w:tcBorders>
                    <w:tl2br w:val="nil"/>
                    <w:tr2bl w:val="nil"/>
                  </w:tcBorders>
                  <w:vAlign w:val="center"/>
                </w:tcPr>
                <w:p w14:paraId="69FBAE42">
                  <w:pPr>
                    <w:spacing w:line="240" w:lineRule="auto"/>
                    <w:ind w:firstLine="0" w:firstLineChars="0"/>
                    <w:jc w:val="center"/>
                    <w:rPr>
                      <w:bCs/>
                      <w:sz w:val="21"/>
                      <w:szCs w:val="21"/>
                      <w:highlight w:val="none"/>
                    </w:rPr>
                  </w:pPr>
                  <w:r>
                    <w:rPr>
                      <w:rFonts w:hint="eastAsia"/>
                      <w:bCs/>
                      <w:sz w:val="21"/>
                      <w:szCs w:val="21"/>
                      <w:highlight w:val="none"/>
                    </w:rPr>
                    <w:t>静电式油烟净化器+</w:t>
                  </w:r>
                </w:p>
                <w:p w14:paraId="0D24650E">
                  <w:pPr>
                    <w:spacing w:line="240" w:lineRule="auto"/>
                    <w:ind w:firstLine="0" w:firstLineChars="0"/>
                    <w:jc w:val="center"/>
                    <w:rPr>
                      <w:bCs/>
                      <w:sz w:val="21"/>
                      <w:szCs w:val="21"/>
                      <w:highlight w:val="none"/>
                    </w:rPr>
                  </w:pPr>
                  <w:r>
                    <w:rPr>
                      <w:rFonts w:hint="eastAsia"/>
                      <w:bCs/>
                      <w:sz w:val="21"/>
                      <w:szCs w:val="21"/>
                      <w:highlight w:val="none"/>
                    </w:rPr>
                    <w:t>活性炭吸附装置</w:t>
                  </w:r>
                </w:p>
              </w:tc>
              <w:tc>
                <w:tcPr>
                  <w:tcW w:w="405" w:type="dxa"/>
                  <w:tcBorders>
                    <w:tl2br w:val="nil"/>
                    <w:tr2bl w:val="nil"/>
                  </w:tcBorders>
                  <w:vAlign w:val="center"/>
                </w:tcPr>
                <w:p w14:paraId="0D80BA69">
                  <w:pPr>
                    <w:spacing w:line="240" w:lineRule="auto"/>
                    <w:ind w:firstLine="0" w:firstLineChars="0"/>
                    <w:jc w:val="center"/>
                    <w:rPr>
                      <w:bCs/>
                      <w:sz w:val="21"/>
                      <w:szCs w:val="21"/>
                      <w:highlight w:val="none"/>
                    </w:rPr>
                  </w:pPr>
                  <w:r>
                    <w:rPr>
                      <w:rFonts w:hint="eastAsia"/>
                      <w:bCs/>
                      <w:sz w:val="21"/>
                      <w:szCs w:val="21"/>
                      <w:highlight w:val="none"/>
                    </w:rPr>
                    <w:t>18</w:t>
                  </w:r>
                </w:p>
              </w:tc>
              <w:tc>
                <w:tcPr>
                  <w:tcW w:w="495" w:type="dxa"/>
                  <w:vMerge w:val="restart"/>
                  <w:tcBorders>
                    <w:tl2br w:val="nil"/>
                    <w:tr2bl w:val="nil"/>
                  </w:tcBorders>
                  <w:vAlign w:val="center"/>
                </w:tcPr>
                <w:p w14:paraId="1123C423">
                  <w:pPr>
                    <w:spacing w:line="240" w:lineRule="auto"/>
                    <w:ind w:firstLine="0" w:firstLineChars="0"/>
                    <w:jc w:val="center"/>
                    <w:rPr>
                      <w:bCs/>
                      <w:sz w:val="21"/>
                      <w:szCs w:val="21"/>
                      <w:highlight w:val="none"/>
                    </w:rPr>
                  </w:pPr>
                  <w:r>
                    <w:rPr>
                      <w:rFonts w:hint="eastAsia"/>
                      <w:bCs/>
                      <w:sz w:val="21"/>
                      <w:szCs w:val="21"/>
                      <w:highlight w:val="none"/>
                    </w:rPr>
                    <w:t>是</w:t>
                  </w:r>
                </w:p>
              </w:tc>
              <w:tc>
                <w:tcPr>
                  <w:tcW w:w="510" w:type="dxa"/>
                  <w:tcBorders>
                    <w:tl2br w:val="nil"/>
                    <w:tr2bl w:val="nil"/>
                  </w:tcBorders>
                  <w:vAlign w:val="center"/>
                </w:tcPr>
                <w:p w14:paraId="734169F4">
                  <w:pPr>
                    <w:spacing w:line="240" w:lineRule="auto"/>
                    <w:ind w:firstLine="0" w:firstLineChars="0"/>
                    <w:jc w:val="center"/>
                    <w:rPr>
                      <w:bCs/>
                      <w:sz w:val="21"/>
                      <w:szCs w:val="21"/>
                      <w:highlight w:val="none"/>
                    </w:rPr>
                  </w:pPr>
                  <w:r>
                    <w:rPr>
                      <w:rFonts w:hint="eastAsia"/>
                      <w:bCs/>
                      <w:sz w:val="21"/>
                      <w:szCs w:val="21"/>
                      <w:highlight w:val="none"/>
                    </w:rPr>
                    <w:t>4.3929</w:t>
                  </w:r>
                  <w:r>
                    <w:rPr>
                      <w:bCs/>
                      <w:sz w:val="21"/>
                      <w:szCs w:val="21"/>
                      <w:highlight w:val="none"/>
                    </w:rPr>
                    <w:t>×</w:t>
                  </w:r>
                </w:p>
                <w:p w14:paraId="1F376FDA">
                  <w:pPr>
                    <w:spacing w:line="240" w:lineRule="auto"/>
                    <w:ind w:firstLine="0" w:firstLineChars="0"/>
                    <w:jc w:val="center"/>
                    <w:rPr>
                      <w:bCs/>
                      <w:sz w:val="21"/>
                      <w:szCs w:val="21"/>
                      <w:highlight w:val="none"/>
                    </w:rPr>
                  </w:pPr>
                  <w:r>
                    <w:rPr>
                      <w:rFonts w:hint="eastAsia"/>
                      <w:bCs/>
                      <w:sz w:val="21"/>
                      <w:szCs w:val="21"/>
                      <w:highlight w:val="none"/>
                    </w:rPr>
                    <w:t>10</w:t>
                  </w:r>
                  <w:r>
                    <w:rPr>
                      <w:rFonts w:hint="eastAsia"/>
                      <w:bCs/>
                      <w:sz w:val="21"/>
                      <w:szCs w:val="21"/>
                      <w:highlight w:val="none"/>
                      <w:vertAlign w:val="superscript"/>
                    </w:rPr>
                    <w:t>-4</w:t>
                  </w:r>
                </w:p>
              </w:tc>
              <w:tc>
                <w:tcPr>
                  <w:tcW w:w="487" w:type="dxa"/>
                  <w:tcBorders>
                    <w:tl2br w:val="nil"/>
                    <w:tr2bl w:val="nil"/>
                  </w:tcBorders>
                  <w:vAlign w:val="center"/>
                </w:tcPr>
                <w:p w14:paraId="016A874F">
                  <w:pPr>
                    <w:spacing w:line="240" w:lineRule="auto"/>
                    <w:ind w:firstLine="0" w:firstLineChars="0"/>
                    <w:jc w:val="center"/>
                    <w:rPr>
                      <w:bCs/>
                      <w:sz w:val="21"/>
                      <w:szCs w:val="21"/>
                      <w:highlight w:val="none"/>
                    </w:rPr>
                  </w:pPr>
                  <w:r>
                    <w:rPr>
                      <w:rFonts w:hint="eastAsia"/>
                      <w:bCs/>
                      <w:sz w:val="21"/>
                      <w:szCs w:val="21"/>
                      <w:highlight w:val="none"/>
                    </w:rPr>
                    <w:t>8.7857</w:t>
                  </w:r>
                  <w:r>
                    <w:rPr>
                      <w:bCs/>
                      <w:sz w:val="21"/>
                      <w:szCs w:val="21"/>
                      <w:highlight w:val="none"/>
                    </w:rPr>
                    <w:t>×</w:t>
                  </w:r>
                </w:p>
                <w:p w14:paraId="4C81D9CB">
                  <w:pPr>
                    <w:spacing w:line="240" w:lineRule="auto"/>
                    <w:ind w:firstLine="0" w:firstLineChars="0"/>
                    <w:jc w:val="center"/>
                    <w:rPr>
                      <w:bCs/>
                      <w:sz w:val="21"/>
                      <w:szCs w:val="21"/>
                      <w:highlight w:val="none"/>
                    </w:rPr>
                  </w:pPr>
                  <w:r>
                    <w:rPr>
                      <w:rFonts w:hint="eastAsia"/>
                      <w:bCs/>
                      <w:sz w:val="21"/>
                      <w:szCs w:val="21"/>
                      <w:highlight w:val="none"/>
                    </w:rPr>
                    <w:t>10</w:t>
                  </w:r>
                  <w:r>
                    <w:rPr>
                      <w:rFonts w:hint="eastAsia"/>
                      <w:bCs/>
                      <w:sz w:val="21"/>
                      <w:szCs w:val="21"/>
                      <w:highlight w:val="none"/>
                      <w:vertAlign w:val="superscript"/>
                    </w:rPr>
                    <w:t>-6</w:t>
                  </w:r>
                </w:p>
              </w:tc>
              <w:tc>
                <w:tcPr>
                  <w:tcW w:w="450" w:type="dxa"/>
                  <w:tcBorders>
                    <w:tl2br w:val="nil"/>
                    <w:tr2bl w:val="nil"/>
                  </w:tcBorders>
                  <w:vAlign w:val="center"/>
                </w:tcPr>
                <w:p w14:paraId="32A5B059">
                  <w:pPr>
                    <w:spacing w:line="240" w:lineRule="auto"/>
                    <w:ind w:firstLine="0" w:firstLineChars="0"/>
                    <w:jc w:val="center"/>
                    <w:rPr>
                      <w:bCs/>
                      <w:sz w:val="21"/>
                      <w:szCs w:val="21"/>
                      <w:highlight w:val="none"/>
                    </w:rPr>
                  </w:pPr>
                  <w:r>
                    <w:rPr>
                      <w:rFonts w:hint="eastAsia"/>
                      <w:bCs/>
                      <w:sz w:val="21"/>
                      <w:szCs w:val="21"/>
                      <w:highlight w:val="none"/>
                    </w:rPr>
                    <w:t>1.4022</w:t>
                  </w:r>
                  <w:r>
                    <w:rPr>
                      <w:bCs/>
                      <w:sz w:val="21"/>
                      <w:szCs w:val="21"/>
                      <w:highlight w:val="none"/>
                    </w:rPr>
                    <w:t>×</w:t>
                  </w:r>
                </w:p>
                <w:p w14:paraId="1C0CBE3D">
                  <w:pPr>
                    <w:spacing w:line="240" w:lineRule="auto"/>
                    <w:ind w:firstLine="0" w:firstLineChars="0"/>
                    <w:jc w:val="center"/>
                    <w:rPr>
                      <w:bCs/>
                      <w:sz w:val="21"/>
                      <w:szCs w:val="21"/>
                      <w:highlight w:val="none"/>
                    </w:rPr>
                  </w:pPr>
                  <w:r>
                    <w:rPr>
                      <w:rFonts w:hint="eastAsia"/>
                      <w:bCs/>
                      <w:sz w:val="21"/>
                      <w:szCs w:val="21"/>
                      <w:highlight w:val="none"/>
                    </w:rPr>
                    <w:t>10</w:t>
                  </w:r>
                  <w:r>
                    <w:rPr>
                      <w:rFonts w:hint="eastAsia"/>
                      <w:bCs/>
                      <w:sz w:val="21"/>
                      <w:szCs w:val="21"/>
                      <w:highlight w:val="none"/>
                      <w:vertAlign w:val="superscript"/>
                    </w:rPr>
                    <w:t>-5</w:t>
                  </w:r>
                </w:p>
              </w:tc>
              <w:tc>
                <w:tcPr>
                  <w:tcW w:w="510" w:type="dxa"/>
                  <w:tcBorders>
                    <w:tl2br w:val="nil"/>
                    <w:tr2bl w:val="nil"/>
                  </w:tcBorders>
                  <w:vAlign w:val="center"/>
                </w:tcPr>
                <w:p w14:paraId="08632448">
                  <w:pPr>
                    <w:spacing w:line="240" w:lineRule="auto"/>
                    <w:ind w:firstLine="0" w:firstLineChars="0"/>
                    <w:jc w:val="center"/>
                    <w:rPr>
                      <w:rFonts w:ascii="Arial" w:hAnsi="Arial" w:cs="Arial"/>
                      <w:sz w:val="21"/>
                      <w:szCs w:val="21"/>
                      <w:highlight w:val="none"/>
                    </w:rPr>
                  </w:pPr>
                  <w:r>
                    <w:rPr>
                      <w:rFonts w:hint="eastAsia"/>
                      <w:sz w:val="21"/>
                      <w:szCs w:val="21"/>
                      <w:highlight w:val="none"/>
                    </w:rPr>
                    <w:t>1.9</w:t>
                  </w:r>
                  <w:r>
                    <w:rPr>
                      <w:rFonts w:ascii="Arial" w:hAnsi="Arial" w:cs="Arial"/>
                      <w:sz w:val="21"/>
                      <w:szCs w:val="21"/>
                      <w:highlight w:val="none"/>
                    </w:rPr>
                    <w:t>×</w:t>
                  </w:r>
                </w:p>
                <w:p w14:paraId="25DC84A9">
                  <w:pPr>
                    <w:spacing w:line="240" w:lineRule="auto"/>
                    <w:ind w:firstLine="0" w:firstLineChars="0"/>
                    <w:jc w:val="center"/>
                    <w:rPr>
                      <w:sz w:val="21"/>
                      <w:szCs w:val="21"/>
                      <w:highlight w:val="none"/>
                      <w:vertAlign w:val="superscript"/>
                    </w:rPr>
                  </w:pPr>
                  <w:r>
                    <w:rPr>
                      <w:rFonts w:hint="eastAsia"/>
                      <w:sz w:val="21"/>
                      <w:szCs w:val="21"/>
                      <w:highlight w:val="none"/>
                    </w:rPr>
                    <w:t>10</w:t>
                  </w:r>
                  <w:r>
                    <w:rPr>
                      <w:rFonts w:hint="eastAsia"/>
                      <w:sz w:val="21"/>
                      <w:szCs w:val="21"/>
                      <w:highlight w:val="none"/>
                      <w:vertAlign w:val="superscript"/>
                    </w:rPr>
                    <w:t>-6</w:t>
                  </w:r>
                </w:p>
                <w:p w14:paraId="703772C4">
                  <w:pPr>
                    <w:spacing w:line="240" w:lineRule="auto"/>
                    <w:ind w:firstLine="0" w:firstLineChars="0"/>
                    <w:jc w:val="center"/>
                    <w:rPr>
                      <w:bCs/>
                      <w:sz w:val="21"/>
                      <w:szCs w:val="21"/>
                      <w:highlight w:val="none"/>
                    </w:rPr>
                  </w:pPr>
                  <w:r>
                    <w:rPr>
                      <w:rFonts w:hint="eastAsia"/>
                      <w:sz w:val="21"/>
                      <w:szCs w:val="21"/>
                      <w:highlight w:val="none"/>
                    </w:rPr>
                    <w:t>t/a</w:t>
                  </w:r>
                </w:p>
              </w:tc>
              <w:tc>
                <w:tcPr>
                  <w:tcW w:w="1302" w:type="dxa"/>
                  <w:tcBorders>
                    <w:tl2br w:val="nil"/>
                    <w:tr2bl w:val="nil"/>
                  </w:tcBorders>
                  <w:vAlign w:val="center"/>
                </w:tcPr>
                <w:p w14:paraId="249371E9">
                  <w:pPr>
                    <w:spacing w:line="240" w:lineRule="auto"/>
                    <w:ind w:firstLine="0" w:firstLineChars="0"/>
                    <w:jc w:val="center"/>
                    <w:rPr>
                      <w:bCs/>
                      <w:sz w:val="21"/>
                      <w:szCs w:val="21"/>
                      <w:highlight w:val="none"/>
                    </w:rPr>
                  </w:pPr>
                  <w:r>
                    <w:rPr>
                      <w:bCs/>
                      <w:sz w:val="21"/>
                      <w:szCs w:val="21"/>
                      <w:highlight w:val="none"/>
                    </w:rPr>
                    <w:t>《工业企业挥发性有机物排放控制标准》（DB13/2322-2016）</w:t>
                  </w:r>
                </w:p>
              </w:tc>
            </w:tr>
            <w:tr w14:paraId="7712B5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454" w:type="dxa"/>
                  <w:vMerge w:val="continue"/>
                  <w:tcBorders>
                    <w:tl2br w:val="nil"/>
                    <w:tr2bl w:val="nil"/>
                  </w:tcBorders>
                  <w:vAlign w:val="center"/>
                </w:tcPr>
                <w:p w14:paraId="2D6F09BC">
                  <w:pPr>
                    <w:spacing w:line="240" w:lineRule="auto"/>
                    <w:ind w:firstLine="0" w:firstLineChars="0"/>
                    <w:jc w:val="center"/>
                    <w:rPr>
                      <w:bCs/>
                      <w:sz w:val="21"/>
                      <w:szCs w:val="21"/>
                      <w:highlight w:val="none"/>
                    </w:rPr>
                  </w:pPr>
                </w:p>
              </w:tc>
              <w:tc>
                <w:tcPr>
                  <w:tcW w:w="617" w:type="dxa"/>
                  <w:tcBorders>
                    <w:tl2br w:val="nil"/>
                    <w:tr2bl w:val="nil"/>
                  </w:tcBorders>
                  <w:vAlign w:val="center"/>
                </w:tcPr>
                <w:p w14:paraId="4086F729">
                  <w:pPr>
                    <w:pStyle w:val="31"/>
                    <w:rPr>
                      <w:sz w:val="21"/>
                      <w:highlight w:val="none"/>
                    </w:rPr>
                  </w:pPr>
                  <w:r>
                    <w:rPr>
                      <w:rFonts w:hint="eastAsia"/>
                      <w:sz w:val="21"/>
                      <w:highlight w:val="none"/>
                    </w:rPr>
                    <w:t>油雾</w:t>
                  </w:r>
                </w:p>
              </w:tc>
              <w:tc>
                <w:tcPr>
                  <w:tcW w:w="540" w:type="dxa"/>
                  <w:tcBorders>
                    <w:tl2br w:val="nil"/>
                    <w:tr2bl w:val="nil"/>
                  </w:tcBorders>
                  <w:vAlign w:val="center"/>
                </w:tcPr>
                <w:p w14:paraId="1EFA8C78">
                  <w:pPr>
                    <w:spacing w:line="240" w:lineRule="auto"/>
                    <w:ind w:firstLine="0" w:firstLineChars="0"/>
                    <w:jc w:val="center"/>
                    <w:rPr>
                      <w:bCs/>
                      <w:sz w:val="21"/>
                      <w:szCs w:val="21"/>
                      <w:highlight w:val="none"/>
                    </w:rPr>
                  </w:pPr>
                  <w:r>
                    <w:rPr>
                      <w:rFonts w:hint="eastAsia"/>
                      <w:bCs/>
                      <w:sz w:val="21"/>
                      <w:szCs w:val="21"/>
                      <w:highlight w:val="none"/>
                    </w:rPr>
                    <w:t>0.38</w:t>
                  </w:r>
                </w:p>
              </w:tc>
              <w:tc>
                <w:tcPr>
                  <w:tcW w:w="525" w:type="dxa"/>
                  <w:tcBorders>
                    <w:tl2br w:val="nil"/>
                    <w:tr2bl w:val="nil"/>
                  </w:tcBorders>
                  <w:vAlign w:val="center"/>
                </w:tcPr>
                <w:p w14:paraId="3E1ABCE3">
                  <w:pPr>
                    <w:spacing w:line="240" w:lineRule="auto"/>
                    <w:ind w:firstLine="0" w:firstLineChars="0"/>
                    <w:jc w:val="center"/>
                    <w:rPr>
                      <w:bCs/>
                      <w:sz w:val="21"/>
                      <w:szCs w:val="21"/>
                      <w:highlight w:val="none"/>
                    </w:rPr>
                  </w:pPr>
                  <w:r>
                    <w:rPr>
                      <w:rFonts w:hint="eastAsia"/>
                      <w:bCs/>
                      <w:sz w:val="21"/>
                      <w:szCs w:val="21"/>
                      <w:highlight w:val="none"/>
                    </w:rPr>
                    <w:t>11.9</w:t>
                  </w:r>
                </w:p>
              </w:tc>
              <w:tc>
                <w:tcPr>
                  <w:tcW w:w="525" w:type="dxa"/>
                  <w:vMerge w:val="continue"/>
                  <w:tcBorders>
                    <w:tl2br w:val="nil"/>
                    <w:tr2bl w:val="nil"/>
                  </w:tcBorders>
                  <w:vAlign w:val="center"/>
                </w:tcPr>
                <w:p w14:paraId="7C416EB4">
                  <w:pPr>
                    <w:spacing w:line="240" w:lineRule="auto"/>
                    <w:ind w:firstLine="0" w:firstLineChars="0"/>
                    <w:jc w:val="center"/>
                    <w:rPr>
                      <w:bCs/>
                      <w:sz w:val="21"/>
                      <w:szCs w:val="21"/>
                      <w:highlight w:val="none"/>
                    </w:rPr>
                  </w:pPr>
                </w:p>
              </w:tc>
              <w:tc>
                <w:tcPr>
                  <w:tcW w:w="585" w:type="dxa"/>
                  <w:vMerge w:val="continue"/>
                  <w:tcBorders>
                    <w:tl2br w:val="nil"/>
                    <w:tr2bl w:val="nil"/>
                  </w:tcBorders>
                  <w:vAlign w:val="center"/>
                </w:tcPr>
                <w:p w14:paraId="30C1E294">
                  <w:pPr>
                    <w:spacing w:line="240" w:lineRule="auto"/>
                    <w:ind w:firstLine="0" w:firstLineChars="0"/>
                    <w:jc w:val="center"/>
                    <w:rPr>
                      <w:bCs/>
                      <w:sz w:val="21"/>
                      <w:szCs w:val="21"/>
                      <w:highlight w:val="none"/>
                    </w:rPr>
                  </w:pPr>
                </w:p>
              </w:tc>
              <w:tc>
                <w:tcPr>
                  <w:tcW w:w="480" w:type="dxa"/>
                  <w:vMerge w:val="continue"/>
                  <w:tcBorders>
                    <w:tl2br w:val="nil"/>
                    <w:tr2bl w:val="nil"/>
                  </w:tcBorders>
                  <w:vAlign w:val="center"/>
                </w:tcPr>
                <w:p w14:paraId="339B96C2">
                  <w:pPr>
                    <w:spacing w:line="240" w:lineRule="auto"/>
                    <w:ind w:firstLine="0" w:firstLineChars="0"/>
                    <w:jc w:val="center"/>
                    <w:rPr>
                      <w:bCs/>
                      <w:sz w:val="21"/>
                      <w:szCs w:val="21"/>
                      <w:highlight w:val="none"/>
                    </w:rPr>
                  </w:pPr>
                </w:p>
              </w:tc>
              <w:tc>
                <w:tcPr>
                  <w:tcW w:w="495" w:type="dxa"/>
                  <w:vMerge w:val="continue"/>
                  <w:tcBorders>
                    <w:tl2br w:val="nil"/>
                    <w:tr2bl w:val="nil"/>
                  </w:tcBorders>
                  <w:vAlign w:val="center"/>
                </w:tcPr>
                <w:p w14:paraId="571D1F4A">
                  <w:pPr>
                    <w:spacing w:line="240" w:lineRule="auto"/>
                    <w:ind w:firstLine="0" w:firstLineChars="0"/>
                    <w:jc w:val="center"/>
                    <w:rPr>
                      <w:bCs/>
                      <w:sz w:val="21"/>
                      <w:szCs w:val="21"/>
                      <w:highlight w:val="none"/>
                    </w:rPr>
                  </w:pPr>
                </w:p>
              </w:tc>
              <w:tc>
                <w:tcPr>
                  <w:tcW w:w="405" w:type="dxa"/>
                  <w:tcBorders>
                    <w:tl2br w:val="nil"/>
                    <w:tr2bl w:val="nil"/>
                  </w:tcBorders>
                  <w:vAlign w:val="center"/>
                </w:tcPr>
                <w:p w14:paraId="66931CDF">
                  <w:pPr>
                    <w:spacing w:line="240" w:lineRule="auto"/>
                    <w:ind w:firstLine="0" w:firstLineChars="0"/>
                    <w:jc w:val="center"/>
                    <w:rPr>
                      <w:bCs/>
                      <w:sz w:val="21"/>
                      <w:szCs w:val="21"/>
                      <w:highlight w:val="none"/>
                    </w:rPr>
                  </w:pPr>
                  <w:r>
                    <w:rPr>
                      <w:rFonts w:hint="eastAsia"/>
                      <w:bCs/>
                      <w:sz w:val="21"/>
                      <w:szCs w:val="21"/>
                      <w:highlight w:val="none"/>
                    </w:rPr>
                    <w:t>90</w:t>
                  </w:r>
                </w:p>
              </w:tc>
              <w:tc>
                <w:tcPr>
                  <w:tcW w:w="495" w:type="dxa"/>
                  <w:vMerge w:val="continue"/>
                  <w:tcBorders>
                    <w:tl2br w:val="nil"/>
                    <w:tr2bl w:val="nil"/>
                  </w:tcBorders>
                  <w:vAlign w:val="center"/>
                </w:tcPr>
                <w:p w14:paraId="5450677A">
                  <w:pPr>
                    <w:spacing w:line="240" w:lineRule="auto"/>
                    <w:ind w:firstLine="0" w:firstLineChars="0"/>
                    <w:jc w:val="center"/>
                    <w:rPr>
                      <w:bCs/>
                      <w:sz w:val="21"/>
                      <w:szCs w:val="21"/>
                      <w:highlight w:val="none"/>
                    </w:rPr>
                  </w:pPr>
                </w:p>
              </w:tc>
              <w:tc>
                <w:tcPr>
                  <w:tcW w:w="510" w:type="dxa"/>
                  <w:tcBorders>
                    <w:tl2br w:val="nil"/>
                    <w:tr2bl w:val="nil"/>
                  </w:tcBorders>
                  <w:vAlign w:val="center"/>
                </w:tcPr>
                <w:p w14:paraId="36E6275D">
                  <w:pPr>
                    <w:spacing w:line="240" w:lineRule="auto"/>
                    <w:ind w:firstLine="0" w:firstLineChars="0"/>
                    <w:jc w:val="center"/>
                    <w:rPr>
                      <w:bCs/>
                      <w:sz w:val="21"/>
                      <w:szCs w:val="21"/>
                      <w:highlight w:val="none"/>
                    </w:rPr>
                  </w:pPr>
                  <w:r>
                    <w:rPr>
                      <w:rFonts w:hint="eastAsia"/>
                      <w:bCs/>
                      <w:sz w:val="21"/>
                      <w:szCs w:val="21"/>
                      <w:highlight w:val="none"/>
                    </w:rPr>
                    <w:t>1.07</w:t>
                  </w:r>
                </w:p>
              </w:tc>
              <w:tc>
                <w:tcPr>
                  <w:tcW w:w="487" w:type="dxa"/>
                  <w:tcBorders>
                    <w:tl2br w:val="nil"/>
                    <w:tr2bl w:val="nil"/>
                  </w:tcBorders>
                  <w:vAlign w:val="center"/>
                </w:tcPr>
                <w:p w14:paraId="3F21F2E8">
                  <w:pPr>
                    <w:spacing w:line="240" w:lineRule="auto"/>
                    <w:ind w:firstLine="0" w:firstLineChars="0"/>
                    <w:jc w:val="center"/>
                    <w:rPr>
                      <w:bCs/>
                      <w:sz w:val="21"/>
                      <w:szCs w:val="21"/>
                      <w:highlight w:val="none"/>
                    </w:rPr>
                  </w:pPr>
                  <w:r>
                    <w:rPr>
                      <w:rFonts w:hint="eastAsia"/>
                      <w:bCs/>
                      <w:sz w:val="21"/>
                      <w:szCs w:val="21"/>
                      <w:highlight w:val="none"/>
                    </w:rPr>
                    <w:t>0.0214</w:t>
                  </w:r>
                </w:p>
              </w:tc>
              <w:tc>
                <w:tcPr>
                  <w:tcW w:w="450" w:type="dxa"/>
                  <w:tcBorders>
                    <w:tl2br w:val="nil"/>
                    <w:tr2bl w:val="nil"/>
                  </w:tcBorders>
                  <w:vAlign w:val="center"/>
                </w:tcPr>
                <w:p w14:paraId="3CE8248B">
                  <w:pPr>
                    <w:spacing w:line="240" w:lineRule="auto"/>
                    <w:ind w:firstLine="0" w:firstLineChars="0"/>
                    <w:jc w:val="center"/>
                    <w:rPr>
                      <w:bCs/>
                      <w:sz w:val="21"/>
                      <w:szCs w:val="21"/>
                      <w:highlight w:val="none"/>
                    </w:rPr>
                  </w:pPr>
                  <w:r>
                    <w:rPr>
                      <w:rFonts w:hint="eastAsia"/>
                      <w:bCs/>
                      <w:sz w:val="21"/>
                      <w:szCs w:val="21"/>
                      <w:highlight w:val="none"/>
                    </w:rPr>
                    <w:t>0.0342</w:t>
                  </w:r>
                </w:p>
              </w:tc>
              <w:tc>
                <w:tcPr>
                  <w:tcW w:w="510" w:type="dxa"/>
                  <w:tcBorders>
                    <w:tl2br w:val="nil"/>
                    <w:tr2bl w:val="nil"/>
                  </w:tcBorders>
                  <w:vAlign w:val="center"/>
                </w:tcPr>
                <w:p w14:paraId="2CE4751E">
                  <w:pPr>
                    <w:spacing w:line="240" w:lineRule="auto"/>
                    <w:ind w:firstLine="0" w:firstLineChars="0"/>
                    <w:jc w:val="center"/>
                    <w:rPr>
                      <w:bCs/>
                      <w:sz w:val="21"/>
                      <w:szCs w:val="21"/>
                      <w:highlight w:val="none"/>
                    </w:rPr>
                  </w:pPr>
                  <w:r>
                    <w:rPr>
                      <w:rFonts w:hint="eastAsia"/>
                      <w:bCs/>
                      <w:sz w:val="21"/>
                      <w:szCs w:val="21"/>
                      <w:highlight w:val="none"/>
                    </w:rPr>
                    <w:t>0.019</w:t>
                  </w:r>
                </w:p>
              </w:tc>
              <w:tc>
                <w:tcPr>
                  <w:tcW w:w="1302" w:type="dxa"/>
                  <w:tcBorders>
                    <w:tl2br w:val="nil"/>
                    <w:tr2bl w:val="nil"/>
                  </w:tcBorders>
                  <w:vAlign w:val="center"/>
                </w:tcPr>
                <w:p w14:paraId="7FA08113">
                  <w:pPr>
                    <w:spacing w:line="240" w:lineRule="auto"/>
                    <w:ind w:firstLine="0" w:firstLineChars="0"/>
                    <w:jc w:val="center"/>
                    <w:rPr>
                      <w:bCs/>
                      <w:sz w:val="21"/>
                      <w:szCs w:val="21"/>
                      <w:highlight w:val="none"/>
                    </w:rPr>
                  </w:pPr>
                  <w:r>
                    <w:rPr>
                      <w:rFonts w:hint="eastAsia"/>
                      <w:bCs/>
                      <w:sz w:val="21"/>
                      <w:szCs w:val="21"/>
                      <w:highlight w:val="none"/>
                    </w:rPr>
                    <w:t>《钢铁工业大气污染物超低排放标准》（DB13/2169-2018）</w:t>
                  </w:r>
                </w:p>
              </w:tc>
            </w:tr>
            <w:tr w14:paraId="6AFFDB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454" w:type="dxa"/>
                  <w:tcBorders>
                    <w:tl2br w:val="nil"/>
                    <w:tr2bl w:val="nil"/>
                  </w:tcBorders>
                  <w:vAlign w:val="center"/>
                </w:tcPr>
                <w:p w14:paraId="06C96DF5">
                  <w:pPr>
                    <w:spacing w:line="240" w:lineRule="auto"/>
                    <w:ind w:firstLine="0" w:firstLineChars="0"/>
                    <w:jc w:val="center"/>
                    <w:rPr>
                      <w:rFonts w:hint="eastAsia" w:eastAsia="宋体"/>
                      <w:bCs/>
                      <w:sz w:val="21"/>
                      <w:szCs w:val="21"/>
                      <w:highlight w:val="none"/>
                      <w:lang w:val="en-US" w:eastAsia="zh-CN"/>
                    </w:rPr>
                  </w:pPr>
                  <w:r>
                    <w:rPr>
                      <w:rFonts w:hint="eastAsia"/>
                      <w:bCs/>
                      <w:sz w:val="21"/>
                      <w:szCs w:val="21"/>
                      <w:highlight w:val="none"/>
                    </w:rPr>
                    <w:t>抛丸</w:t>
                  </w:r>
                  <w:r>
                    <w:rPr>
                      <w:rFonts w:hint="eastAsia"/>
                      <w:bCs/>
                      <w:sz w:val="21"/>
                      <w:szCs w:val="21"/>
                      <w:highlight w:val="none"/>
                      <w:lang w:val="en-US" w:eastAsia="zh-CN"/>
                    </w:rPr>
                    <w:t xml:space="preserve"> </w:t>
                  </w:r>
                </w:p>
              </w:tc>
              <w:tc>
                <w:tcPr>
                  <w:tcW w:w="617" w:type="dxa"/>
                  <w:tcBorders>
                    <w:tl2br w:val="nil"/>
                    <w:tr2bl w:val="nil"/>
                  </w:tcBorders>
                  <w:vAlign w:val="center"/>
                </w:tcPr>
                <w:p w14:paraId="7A10887A">
                  <w:pPr>
                    <w:pStyle w:val="31"/>
                    <w:rPr>
                      <w:bCs/>
                      <w:sz w:val="21"/>
                      <w:highlight w:val="none"/>
                    </w:rPr>
                  </w:pPr>
                  <w:r>
                    <w:rPr>
                      <w:rFonts w:hint="eastAsia"/>
                      <w:sz w:val="21"/>
                      <w:highlight w:val="none"/>
                    </w:rPr>
                    <w:t>颗粒物</w:t>
                  </w:r>
                </w:p>
              </w:tc>
              <w:tc>
                <w:tcPr>
                  <w:tcW w:w="540" w:type="dxa"/>
                  <w:tcBorders>
                    <w:tl2br w:val="nil"/>
                    <w:tr2bl w:val="nil"/>
                  </w:tcBorders>
                  <w:vAlign w:val="center"/>
                </w:tcPr>
                <w:p w14:paraId="3A264EBB">
                  <w:pPr>
                    <w:spacing w:line="240" w:lineRule="auto"/>
                    <w:ind w:firstLine="0" w:firstLineChars="0"/>
                    <w:jc w:val="center"/>
                    <w:rPr>
                      <w:bCs/>
                      <w:sz w:val="21"/>
                      <w:szCs w:val="21"/>
                      <w:highlight w:val="none"/>
                    </w:rPr>
                  </w:pPr>
                  <w:r>
                    <w:rPr>
                      <w:rFonts w:hint="eastAsia"/>
                      <w:bCs/>
                      <w:sz w:val="21"/>
                      <w:szCs w:val="21"/>
                      <w:highlight w:val="none"/>
                    </w:rPr>
                    <w:t>4.38</w:t>
                  </w:r>
                </w:p>
              </w:tc>
              <w:tc>
                <w:tcPr>
                  <w:tcW w:w="525" w:type="dxa"/>
                  <w:tcBorders>
                    <w:tl2br w:val="nil"/>
                    <w:tr2bl w:val="nil"/>
                  </w:tcBorders>
                  <w:vAlign w:val="center"/>
                </w:tcPr>
                <w:p w14:paraId="49482381">
                  <w:pPr>
                    <w:spacing w:line="240" w:lineRule="auto"/>
                    <w:ind w:firstLine="0" w:firstLineChars="0"/>
                    <w:jc w:val="center"/>
                    <w:rPr>
                      <w:bCs/>
                      <w:sz w:val="21"/>
                      <w:szCs w:val="21"/>
                      <w:highlight w:val="none"/>
                    </w:rPr>
                  </w:pPr>
                  <w:r>
                    <w:rPr>
                      <w:rFonts w:hint="eastAsia"/>
                      <w:bCs/>
                      <w:sz w:val="21"/>
                      <w:szCs w:val="21"/>
                      <w:highlight w:val="none"/>
                    </w:rPr>
                    <w:t>730</w:t>
                  </w:r>
                </w:p>
              </w:tc>
              <w:tc>
                <w:tcPr>
                  <w:tcW w:w="525" w:type="dxa"/>
                  <w:tcBorders>
                    <w:tl2br w:val="nil"/>
                    <w:tr2bl w:val="nil"/>
                  </w:tcBorders>
                  <w:vAlign w:val="center"/>
                </w:tcPr>
                <w:p w14:paraId="5A2AD651">
                  <w:pPr>
                    <w:spacing w:line="240" w:lineRule="auto"/>
                    <w:ind w:firstLine="0" w:firstLineChars="0"/>
                    <w:jc w:val="center"/>
                    <w:rPr>
                      <w:bCs/>
                      <w:sz w:val="21"/>
                      <w:szCs w:val="21"/>
                      <w:highlight w:val="none"/>
                    </w:rPr>
                  </w:pPr>
                  <w:r>
                    <w:rPr>
                      <w:rFonts w:hint="eastAsia"/>
                      <w:bCs/>
                      <w:sz w:val="21"/>
                      <w:szCs w:val="21"/>
                      <w:highlight w:val="none"/>
                    </w:rPr>
                    <w:t>有组织</w:t>
                  </w:r>
                </w:p>
              </w:tc>
              <w:tc>
                <w:tcPr>
                  <w:tcW w:w="585" w:type="dxa"/>
                  <w:tcBorders>
                    <w:tl2br w:val="nil"/>
                    <w:tr2bl w:val="nil"/>
                  </w:tcBorders>
                  <w:vAlign w:val="center"/>
                </w:tcPr>
                <w:p w14:paraId="2D89B352">
                  <w:pPr>
                    <w:spacing w:line="240" w:lineRule="auto"/>
                    <w:ind w:firstLine="0" w:firstLineChars="0"/>
                    <w:jc w:val="center"/>
                    <w:rPr>
                      <w:bCs/>
                      <w:sz w:val="21"/>
                      <w:szCs w:val="21"/>
                      <w:highlight w:val="none"/>
                    </w:rPr>
                  </w:pPr>
                  <w:r>
                    <w:rPr>
                      <w:rFonts w:hint="eastAsia"/>
                      <w:bCs/>
                      <w:sz w:val="21"/>
                      <w:szCs w:val="21"/>
                      <w:highlight w:val="none"/>
                    </w:rPr>
                    <w:t>3000</w:t>
                  </w:r>
                </w:p>
              </w:tc>
              <w:tc>
                <w:tcPr>
                  <w:tcW w:w="480" w:type="dxa"/>
                  <w:tcBorders>
                    <w:tl2br w:val="nil"/>
                    <w:tr2bl w:val="nil"/>
                  </w:tcBorders>
                  <w:vAlign w:val="center"/>
                </w:tcPr>
                <w:p w14:paraId="205C23FA">
                  <w:pPr>
                    <w:spacing w:line="240" w:lineRule="auto"/>
                    <w:ind w:firstLine="0" w:firstLineChars="0"/>
                    <w:jc w:val="center"/>
                    <w:rPr>
                      <w:bCs/>
                      <w:sz w:val="21"/>
                      <w:szCs w:val="21"/>
                      <w:highlight w:val="none"/>
                    </w:rPr>
                  </w:pPr>
                  <w:r>
                    <w:rPr>
                      <w:rFonts w:hint="eastAsia"/>
                      <w:bCs/>
                      <w:sz w:val="21"/>
                      <w:szCs w:val="21"/>
                      <w:highlight w:val="none"/>
                    </w:rPr>
                    <w:t>99</w:t>
                  </w:r>
                </w:p>
              </w:tc>
              <w:tc>
                <w:tcPr>
                  <w:tcW w:w="495" w:type="dxa"/>
                  <w:tcBorders>
                    <w:tl2br w:val="nil"/>
                    <w:tr2bl w:val="nil"/>
                  </w:tcBorders>
                  <w:vAlign w:val="center"/>
                </w:tcPr>
                <w:p w14:paraId="3D67EB0C">
                  <w:pPr>
                    <w:spacing w:line="240" w:lineRule="auto"/>
                    <w:ind w:firstLine="0" w:firstLineChars="0"/>
                    <w:jc w:val="center"/>
                    <w:rPr>
                      <w:bCs/>
                      <w:sz w:val="21"/>
                      <w:szCs w:val="21"/>
                      <w:highlight w:val="none"/>
                    </w:rPr>
                  </w:pPr>
                  <w:r>
                    <w:rPr>
                      <w:rFonts w:hint="eastAsia"/>
                      <w:bCs/>
                      <w:sz w:val="21"/>
                      <w:szCs w:val="21"/>
                      <w:highlight w:val="none"/>
                    </w:rPr>
                    <w:t>脉冲布袋除尘器</w:t>
                  </w:r>
                </w:p>
              </w:tc>
              <w:tc>
                <w:tcPr>
                  <w:tcW w:w="405" w:type="dxa"/>
                  <w:tcBorders>
                    <w:tl2br w:val="nil"/>
                    <w:tr2bl w:val="nil"/>
                  </w:tcBorders>
                  <w:vAlign w:val="center"/>
                </w:tcPr>
                <w:p w14:paraId="3154BD33">
                  <w:pPr>
                    <w:spacing w:line="240" w:lineRule="auto"/>
                    <w:ind w:firstLine="0" w:firstLineChars="0"/>
                    <w:jc w:val="center"/>
                    <w:rPr>
                      <w:bCs/>
                      <w:sz w:val="21"/>
                      <w:szCs w:val="21"/>
                      <w:highlight w:val="none"/>
                    </w:rPr>
                  </w:pPr>
                  <w:r>
                    <w:rPr>
                      <w:rFonts w:hint="eastAsia"/>
                      <w:bCs/>
                      <w:sz w:val="21"/>
                      <w:szCs w:val="21"/>
                      <w:highlight w:val="none"/>
                    </w:rPr>
                    <w:t>99</w:t>
                  </w:r>
                </w:p>
              </w:tc>
              <w:tc>
                <w:tcPr>
                  <w:tcW w:w="495" w:type="dxa"/>
                  <w:tcBorders>
                    <w:tl2br w:val="nil"/>
                    <w:tr2bl w:val="nil"/>
                  </w:tcBorders>
                  <w:vAlign w:val="center"/>
                </w:tcPr>
                <w:p w14:paraId="09742FBD">
                  <w:pPr>
                    <w:spacing w:line="240" w:lineRule="auto"/>
                    <w:ind w:firstLine="0" w:firstLineChars="0"/>
                    <w:jc w:val="center"/>
                    <w:rPr>
                      <w:bCs/>
                      <w:sz w:val="21"/>
                      <w:szCs w:val="21"/>
                      <w:highlight w:val="none"/>
                    </w:rPr>
                  </w:pPr>
                  <w:r>
                    <w:rPr>
                      <w:rFonts w:hint="eastAsia"/>
                      <w:bCs/>
                      <w:sz w:val="21"/>
                      <w:szCs w:val="21"/>
                      <w:highlight w:val="none"/>
                    </w:rPr>
                    <w:t>是</w:t>
                  </w:r>
                </w:p>
              </w:tc>
              <w:tc>
                <w:tcPr>
                  <w:tcW w:w="510" w:type="dxa"/>
                  <w:tcBorders>
                    <w:tl2br w:val="nil"/>
                    <w:tr2bl w:val="nil"/>
                  </w:tcBorders>
                  <w:vAlign w:val="center"/>
                </w:tcPr>
                <w:p w14:paraId="31270462">
                  <w:pPr>
                    <w:spacing w:line="240" w:lineRule="auto"/>
                    <w:ind w:firstLine="0" w:firstLineChars="0"/>
                    <w:jc w:val="center"/>
                    <w:rPr>
                      <w:bCs/>
                      <w:sz w:val="21"/>
                      <w:szCs w:val="21"/>
                      <w:highlight w:val="none"/>
                    </w:rPr>
                  </w:pPr>
                  <w:r>
                    <w:rPr>
                      <w:rFonts w:hint="eastAsia"/>
                      <w:bCs/>
                      <w:sz w:val="21"/>
                      <w:szCs w:val="21"/>
                      <w:highlight w:val="none"/>
                    </w:rPr>
                    <w:t>7.233</w:t>
                  </w:r>
                </w:p>
              </w:tc>
              <w:tc>
                <w:tcPr>
                  <w:tcW w:w="487" w:type="dxa"/>
                  <w:tcBorders>
                    <w:tl2br w:val="nil"/>
                    <w:tr2bl w:val="nil"/>
                  </w:tcBorders>
                  <w:vAlign w:val="center"/>
                </w:tcPr>
                <w:p w14:paraId="28C38E3B">
                  <w:pPr>
                    <w:spacing w:line="240" w:lineRule="auto"/>
                    <w:ind w:firstLine="0" w:firstLineChars="0"/>
                    <w:jc w:val="center"/>
                    <w:rPr>
                      <w:bCs/>
                      <w:sz w:val="21"/>
                      <w:szCs w:val="21"/>
                      <w:highlight w:val="none"/>
                    </w:rPr>
                  </w:pPr>
                  <w:r>
                    <w:rPr>
                      <w:rFonts w:hint="eastAsia"/>
                      <w:bCs/>
                      <w:sz w:val="21"/>
                      <w:szCs w:val="21"/>
                      <w:highlight w:val="none"/>
                    </w:rPr>
                    <w:t>0.0217</w:t>
                  </w:r>
                </w:p>
              </w:tc>
              <w:tc>
                <w:tcPr>
                  <w:tcW w:w="450" w:type="dxa"/>
                  <w:tcBorders>
                    <w:tl2br w:val="nil"/>
                    <w:tr2bl w:val="nil"/>
                  </w:tcBorders>
                  <w:vAlign w:val="center"/>
                </w:tcPr>
                <w:p w14:paraId="79F489F1">
                  <w:pPr>
                    <w:spacing w:line="240" w:lineRule="auto"/>
                    <w:ind w:firstLine="0" w:firstLineChars="0"/>
                    <w:jc w:val="center"/>
                    <w:rPr>
                      <w:bCs/>
                      <w:sz w:val="21"/>
                      <w:szCs w:val="21"/>
                      <w:highlight w:val="none"/>
                    </w:rPr>
                  </w:pPr>
                  <w:r>
                    <w:rPr>
                      <w:rFonts w:hint="eastAsia"/>
                      <w:bCs/>
                      <w:sz w:val="21"/>
                      <w:szCs w:val="21"/>
                      <w:highlight w:val="none"/>
                    </w:rPr>
                    <w:t>0.0434</w:t>
                  </w:r>
                </w:p>
              </w:tc>
              <w:tc>
                <w:tcPr>
                  <w:tcW w:w="510" w:type="dxa"/>
                  <w:tcBorders>
                    <w:tl2br w:val="nil"/>
                    <w:tr2bl w:val="nil"/>
                  </w:tcBorders>
                  <w:vAlign w:val="center"/>
                </w:tcPr>
                <w:p w14:paraId="332D34C5">
                  <w:pPr>
                    <w:spacing w:line="240" w:lineRule="auto"/>
                    <w:ind w:firstLine="0" w:firstLineChars="0"/>
                    <w:jc w:val="center"/>
                    <w:rPr>
                      <w:rFonts w:hint="default" w:eastAsia="宋体"/>
                      <w:bCs/>
                      <w:sz w:val="21"/>
                      <w:szCs w:val="21"/>
                      <w:highlight w:val="none"/>
                      <w:lang w:val="en-US" w:eastAsia="zh-CN"/>
                    </w:rPr>
                  </w:pPr>
                  <w:r>
                    <w:rPr>
                      <w:rFonts w:hint="eastAsia"/>
                      <w:bCs/>
                      <w:sz w:val="21"/>
                      <w:szCs w:val="21"/>
                      <w:highlight w:val="none"/>
                    </w:rPr>
                    <w:t>0.0</w:t>
                  </w:r>
                  <w:r>
                    <w:rPr>
                      <w:rFonts w:hint="eastAsia"/>
                      <w:bCs/>
                      <w:sz w:val="21"/>
                      <w:szCs w:val="21"/>
                      <w:highlight w:val="none"/>
                      <w:lang w:val="en-US" w:eastAsia="zh-CN"/>
                    </w:rPr>
                    <w:t>219</w:t>
                  </w:r>
                </w:p>
              </w:tc>
              <w:tc>
                <w:tcPr>
                  <w:tcW w:w="1302" w:type="dxa"/>
                  <w:tcBorders>
                    <w:tl2br w:val="nil"/>
                    <w:tr2bl w:val="nil"/>
                  </w:tcBorders>
                  <w:vAlign w:val="center"/>
                </w:tcPr>
                <w:p w14:paraId="6326E7F3">
                  <w:pPr>
                    <w:pStyle w:val="31"/>
                    <w:rPr>
                      <w:bCs/>
                      <w:sz w:val="21"/>
                      <w:highlight w:val="none"/>
                    </w:rPr>
                  </w:pPr>
                  <w:r>
                    <w:rPr>
                      <w:rFonts w:hint="eastAsia"/>
                      <w:bCs/>
                      <w:sz w:val="21"/>
                      <w:highlight w:val="none"/>
                    </w:rPr>
                    <w:t>《钢铁工业大气污染物超低排放标准》（DB13/2169-2018）</w:t>
                  </w:r>
                </w:p>
              </w:tc>
            </w:tr>
          </w:tbl>
          <w:p w14:paraId="44443A7C">
            <w:pPr>
              <w:pStyle w:val="36"/>
              <w:ind w:firstLine="480" w:firstLineChars="200"/>
              <w:jc w:val="both"/>
              <w:rPr>
                <w:b w:val="0"/>
                <w:bCs/>
                <w:highlight w:val="none"/>
              </w:rPr>
            </w:pPr>
            <w:r>
              <w:rPr>
                <w:rFonts w:hint="eastAsia"/>
                <w:b w:val="0"/>
                <w:bCs/>
                <w:highlight w:val="none"/>
              </w:rPr>
              <w:t>本项目数控滚齿机（高速运转）4台，每台年运行时间2920h/a；渗碳在渗碳多用炉后室内进行，年运行6540h/a；淬火在渗碳多用炉前室淬火槽内进行，淬火年运行436h/a；回火在低温回火炉内进行，回火年运行1160h/a；抛丸在封闭的车间进行，年运行2000h/a。</w:t>
            </w:r>
          </w:p>
          <w:p w14:paraId="7AFB4C6E">
            <w:pPr>
              <w:pStyle w:val="36"/>
              <w:rPr>
                <w:sz w:val="21"/>
                <w:szCs w:val="21"/>
                <w:highlight w:val="none"/>
              </w:rPr>
            </w:pPr>
            <w:r>
              <w:rPr>
                <w:sz w:val="21"/>
                <w:szCs w:val="21"/>
                <w:highlight w:val="none"/>
              </w:rPr>
              <w:t>表</w:t>
            </w:r>
            <w:r>
              <w:rPr>
                <w:rFonts w:hint="eastAsia"/>
                <w:sz w:val="21"/>
                <w:szCs w:val="21"/>
                <w:highlight w:val="none"/>
              </w:rPr>
              <w:t>4-4</w:t>
            </w:r>
            <w:r>
              <w:rPr>
                <w:sz w:val="21"/>
                <w:szCs w:val="21"/>
                <w:highlight w:val="none"/>
              </w:rPr>
              <w:t xml:space="preserve">  排放口基本情况一览表</w:t>
            </w:r>
          </w:p>
          <w:tbl>
            <w:tblPr>
              <w:tblStyle w:val="22"/>
              <w:tblW w:w="497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644"/>
              <w:gridCol w:w="676"/>
              <w:gridCol w:w="686"/>
              <w:gridCol w:w="854"/>
              <w:gridCol w:w="1155"/>
              <w:gridCol w:w="1125"/>
              <w:gridCol w:w="1097"/>
            </w:tblGrid>
            <w:tr w14:paraId="20314E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1250" w:type="pct"/>
                  <w:vMerge w:val="restart"/>
                  <w:tcBorders>
                    <w:tl2br w:val="nil"/>
                    <w:tr2bl w:val="nil"/>
                  </w:tcBorders>
                  <w:vAlign w:val="center"/>
                </w:tcPr>
                <w:p w14:paraId="7177CF5C">
                  <w:pPr>
                    <w:spacing w:line="240" w:lineRule="auto"/>
                    <w:ind w:firstLine="0" w:firstLineChars="0"/>
                    <w:jc w:val="center"/>
                    <w:rPr>
                      <w:bCs/>
                      <w:sz w:val="21"/>
                      <w:szCs w:val="21"/>
                      <w:highlight w:val="none"/>
                    </w:rPr>
                  </w:pPr>
                  <w:r>
                    <w:rPr>
                      <w:bCs/>
                      <w:sz w:val="21"/>
                      <w:szCs w:val="21"/>
                      <w:highlight w:val="none"/>
                    </w:rPr>
                    <w:t>排</w:t>
                  </w:r>
                  <w:r>
                    <w:rPr>
                      <w:rFonts w:hint="eastAsia"/>
                      <w:bCs/>
                      <w:sz w:val="21"/>
                      <w:szCs w:val="21"/>
                      <w:highlight w:val="none"/>
                    </w:rPr>
                    <w:t>放口名称</w:t>
                  </w:r>
                </w:p>
              </w:tc>
              <w:tc>
                <w:tcPr>
                  <w:tcW w:w="387" w:type="pct"/>
                  <w:vMerge w:val="restart"/>
                  <w:tcBorders>
                    <w:tl2br w:val="nil"/>
                    <w:tr2bl w:val="nil"/>
                  </w:tcBorders>
                  <w:vAlign w:val="center"/>
                </w:tcPr>
                <w:p w14:paraId="5FB78E0C">
                  <w:pPr>
                    <w:spacing w:line="240" w:lineRule="auto"/>
                    <w:ind w:firstLine="0" w:firstLineChars="0"/>
                    <w:jc w:val="center"/>
                    <w:rPr>
                      <w:bCs/>
                      <w:sz w:val="21"/>
                      <w:szCs w:val="21"/>
                      <w:highlight w:val="none"/>
                    </w:rPr>
                  </w:pPr>
                  <w:r>
                    <w:rPr>
                      <w:bCs/>
                      <w:sz w:val="21"/>
                      <w:szCs w:val="21"/>
                      <w:highlight w:val="none"/>
                    </w:rPr>
                    <w:t>高度</w:t>
                  </w:r>
                </w:p>
              </w:tc>
              <w:tc>
                <w:tcPr>
                  <w:tcW w:w="406" w:type="pct"/>
                  <w:vMerge w:val="restart"/>
                  <w:tcBorders>
                    <w:tl2br w:val="nil"/>
                    <w:tr2bl w:val="nil"/>
                  </w:tcBorders>
                  <w:vAlign w:val="center"/>
                </w:tcPr>
                <w:p w14:paraId="39E748D1">
                  <w:pPr>
                    <w:spacing w:line="240" w:lineRule="auto"/>
                    <w:ind w:firstLine="0" w:firstLineChars="0"/>
                    <w:jc w:val="center"/>
                    <w:rPr>
                      <w:bCs/>
                      <w:sz w:val="21"/>
                      <w:szCs w:val="21"/>
                      <w:highlight w:val="none"/>
                    </w:rPr>
                  </w:pPr>
                  <w:r>
                    <w:rPr>
                      <w:bCs/>
                      <w:sz w:val="21"/>
                      <w:szCs w:val="21"/>
                      <w:highlight w:val="none"/>
                    </w:rPr>
                    <w:t>内径</w:t>
                  </w:r>
                </w:p>
              </w:tc>
              <w:tc>
                <w:tcPr>
                  <w:tcW w:w="412" w:type="pct"/>
                  <w:vMerge w:val="restart"/>
                  <w:tcBorders>
                    <w:tl2br w:val="nil"/>
                    <w:tr2bl w:val="nil"/>
                  </w:tcBorders>
                  <w:vAlign w:val="center"/>
                </w:tcPr>
                <w:p w14:paraId="052F97C0">
                  <w:pPr>
                    <w:spacing w:line="240" w:lineRule="auto"/>
                    <w:ind w:firstLine="0" w:firstLineChars="0"/>
                    <w:jc w:val="center"/>
                    <w:rPr>
                      <w:bCs/>
                      <w:sz w:val="21"/>
                      <w:szCs w:val="21"/>
                      <w:highlight w:val="none"/>
                    </w:rPr>
                  </w:pPr>
                  <w:r>
                    <w:rPr>
                      <w:bCs/>
                      <w:sz w:val="21"/>
                      <w:szCs w:val="21"/>
                      <w:highlight w:val="none"/>
                    </w:rPr>
                    <w:t>温度</w:t>
                  </w:r>
                </w:p>
              </w:tc>
              <w:tc>
                <w:tcPr>
                  <w:tcW w:w="513" w:type="pct"/>
                  <w:vMerge w:val="restart"/>
                  <w:tcBorders>
                    <w:tl2br w:val="nil"/>
                    <w:tr2bl w:val="nil"/>
                  </w:tcBorders>
                  <w:vAlign w:val="center"/>
                </w:tcPr>
                <w:p w14:paraId="6E2553ED">
                  <w:pPr>
                    <w:spacing w:line="240" w:lineRule="auto"/>
                    <w:ind w:firstLine="0" w:firstLineChars="0"/>
                    <w:jc w:val="center"/>
                    <w:rPr>
                      <w:bCs/>
                      <w:sz w:val="21"/>
                      <w:szCs w:val="21"/>
                      <w:highlight w:val="none"/>
                    </w:rPr>
                  </w:pPr>
                  <w:r>
                    <w:rPr>
                      <w:bCs/>
                      <w:sz w:val="21"/>
                      <w:szCs w:val="21"/>
                      <w:highlight w:val="none"/>
                    </w:rPr>
                    <w:t>编号</w:t>
                  </w:r>
                </w:p>
              </w:tc>
              <w:tc>
                <w:tcPr>
                  <w:tcW w:w="694" w:type="pct"/>
                  <w:vMerge w:val="restart"/>
                  <w:tcBorders>
                    <w:tl2br w:val="nil"/>
                    <w:tr2bl w:val="nil"/>
                  </w:tcBorders>
                  <w:vAlign w:val="center"/>
                </w:tcPr>
                <w:p w14:paraId="791D614A">
                  <w:pPr>
                    <w:spacing w:line="240" w:lineRule="auto"/>
                    <w:ind w:firstLine="0" w:firstLineChars="0"/>
                    <w:jc w:val="center"/>
                    <w:rPr>
                      <w:bCs/>
                      <w:sz w:val="21"/>
                      <w:szCs w:val="21"/>
                      <w:highlight w:val="none"/>
                    </w:rPr>
                  </w:pPr>
                  <w:r>
                    <w:rPr>
                      <w:bCs/>
                      <w:sz w:val="21"/>
                      <w:szCs w:val="21"/>
                      <w:highlight w:val="none"/>
                    </w:rPr>
                    <w:t>类型</w:t>
                  </w:r>
                </w:p>
              </w:tc>
              <w:tc>
                <w:tcPr>
                  <w:tcW w:w="1335" w:type="pct"/>
                  <w:gridSpan w:val="2"/>
                  <w:tcBorders>
                    <w:tl2br w:val="nil"/>
                    <w:tr2bl w:val="nil"/>
                  </w:tcBorders>
                  <w:vAlign w:val="center"/>
                </w:tcPr>
                <w:p w14:paraId="3080DEFC">
                  <w:pPr>
                    <w:spacing w:line="240" w:lineRule="auto"/>
                    <w:ind w:firstLine="0" w:firstLineChars="0"/>
                    <w:jc w:val="center"/>
                    <w:rPr>
                      <w:bCs/>
                      <w:sz w:val="21"/>
                      <w:szCs w:val="21"/>
                      <w:highlight w:val="none"/>
                    </w:rPr>
                  </w:pPr>
                  <w:r>
                    <w:rPr>
                      <w:bCs/>
                      <w:sz w:val="21"/>
                      <w:szCs w:val="21"/>
                      <w:highlight w:val="none"/>
                    </w:rPr>
                    <w:t>地理坐标</w:t>
                  </w:r>
                </w:p>
              </w:tc>
            </w:tr>
            <w:tr w14:paraId="7630DD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1250" w:type="pct"/>
                  <w:vMerge w:val="continue"/>
                  <w:tcBorders>
                    <w:tl2br w:val="nil"/>
                    <w:tr2bl w:val="nil"/>
                  </w:tcBorders>
                  <w:vAlign w:val="center"/>
                </w:tcPr>
                <w:p w14:paraId="012DB1EF">
                  <w:pPr>
                    <w:spacing w:line="240" w:lineRule="auto"/>
                    <w:ind w:firstLine="0" w:firstLineChars="0"/>
                    <w:jc w:val="center"/>
                    <w:rPr>
                      <w:sz w:val="21"/>
                      <w:szCs w:val="21"/>
                      <w:highlight w:val="none"/>
                    </w:rPr>
                  </w:pPr>
                </w:p>
              </w:tc>
              <w:tc>
                <w:tcPr>
                  <w:tcW w:w="387" w:type="pct"/>
                  <w:vMerge w:val="continue"/>
                  <w:tcBorders>
                    <w:tl2br w:val="nil"/>
                    <w:tr2bl w:val="nil"/>
                  </w:tcBorders>
                  <w:vAlign w:val="center"/>
                </w:tcPr>
                <w:p w14:paraId="31093ACD">
                  <w:pPr>
                    <w:spacing w:line="240" w:lineRule="auto"/>
                    <w:ind w:firstLine="0" w:firstLineChars="0"/>
                    <w:jc w:val="center"/>
                    <w:rPr>
                      <w:sz w:val="21"/>
                      <w:szCs w:val="21"/>
                      <w:highlight w:val="none"/>
                    </w:rPr>
                  </w:pPr>
                </w:p>
              </w:tc>
              <w:tc>
                <w:tcPr>
                  <w:tcW w:w="406" w:type="pct"/>
                  <w:vMerge w:val="continue"/>
                  <w:tcBorders>
                    <w:tl2br w:val="nil"/>
                    <w:tr2bl w:val="nil"/>
                  </w:tcBorders>
                  <w:vAlign w:val="center"/>
                </w:tcPr>
                <w:p w14:paraId="79BFCF29">
                  <w:pPr>
                    <w:spacing w:line="240" w:lineRule="auto"/>
                    <w:ind w:firstLine="0" w:firstLineChars="0"/>
                    <w:jc w:val="center"/>
                    <w:rPr>
                      <w:sz w:val="21"/>
                      <w:szCs w:val="21"/>
                      <w:highlight w:val="none"/>
                    </w:rPr>
                  </w:pPr>
                </w:p>
              </w:tc>
              <w:tc>
                <w:tcPr>
                  <w:tcW w:w="412" w:type="pct"/>
                  <w:vMerge w:val="continue"/>
                  <w:tcBorders>
                    <w:tl2br w:val="nil"/>
                    <w:tr2bl w:val="nil"/>
                  </w:tcBorders>
                  <w:vAlign w:val="center"/>
                </w:tcPr>
                <w:p w14:paraId="046BA3E2">
                  <w:pPr>
                    <w:spacing w:line="240" w:lineRule="auto"/>
                    <w:ind w:firstLine="0" w:firstLineChars="0"/>
                    <w:jc w:val="center"/>
                    <w:rPr>
                      <w:sz w:val="21"/>
                      <w:szCs w:val="21"/>
                      <w:highlight w:val="none"/>
                    </w:rPr>
                  </w:pPr>
                </w:p>
              </w:tc>
              <w:tc>
                <w:tcPr>
                  <w:tcW w:w="513" w:type="pct"/>
                  <w:vMerge w:val="continue"/>
                  <w:tcBorders>
                    <w:tl2br w:val="nil"/>
                    <w:tr2bl w:val="nil"/>
                  </w:tcBorders>
                  <w:vAlign w:val="center"/>
                </w:tcPr>
                <w:p w14:paraId="2B814496">
                  <w:pPr>
                    <w:spacing w:line="240" w:lineRule="auto"/>
                    <w:ind w:firstLine="0" w:firstLineChars="0"/>
                    <w:jc w:val="center"/>
                    <w:rPr>
                      <w:sz w:val="21"/>
                      <w:szCs w:val="21"/>
                      <w:highlight w:val="none"/>
                    </w:rPr>
                  </w:pPr>
                </w:p>
              </w:tc>
              <w:tc>
                <w:tcPr>
                  <w:tcW w:w="694" w:type="pct"/>
                  <w:vMerge w:val="continue"/>
                  <w:tcBorders>
                    <w:tl2br w:val="nil"/>
                    <w:tr2bl w:val="nil"/>
                  </w:tcBorders>
                  <w:vAlign w:val="center"/>
                </w:tcPr>
                <w:p w14:paraId="0D3F1BF0">
                  <w:pPr>
                    <w:spacing w:line="240" w:lineRule="auto"/>
                    <w:ind w:firstLine="0" w:firstLineChars="0"/>
                    <w:jc w:val="center"/>
                    <w:rPr>
                      <w:sz w:val="21"/>
                      <w:szCs w:val="21"/>
                      <w:highlight w:val="none"/>
                    </w:rPr>
                  </w:pPr>
                </w:p>
              </w:tc>
              <w:tc>
                <w:tcPr>
                  <w:tcW w:w="676" w:type="pct"/>
                  <w:tcBorders>
                    <w:tl2br w:val="nil"/>
                    <w:tr2bl w:val="nil"/>
                  </w:tcBorders>
                  <w:vAlign w:val="center"/>
                </w:tcPr>
                <w:p w14:paraId="77D86A30">
                  <w:pPr>
                    <w:spacing w:line="240" w:lineRule="auto"/>
                    <w:ind w:firstLine="0" w:firstLineChars="0"/>
                    <w:jc w:val="center"/>
                    <w:rPr>
                      <w:bCs/>
                      <w:sz w:val="21"/>
                      <w:szCs w:val="21"/>
                      <w:highlight w:val="none"/>
                    </w:rPr>
                  </w:pPr>
                  <w:r>
                    <w:rPr>
                      <w:bCs/>
                      <w:sz w:val="21"/>
                      <w:szCs w:val="21"/>
                      <w:highlight w:val="none"/>
                    </w:rPr>
                    <w:t>东经</w:t>
                  </w:r>
                  <w:r>
                    <w:rPr>
                      <w:rFonts w:hint="eastAsia"/>
                      <w:bCs/>
                      <w:sz w:val="21"/>
                      <w:szCs w:val="21"/>
                      <w:highlight w:val="none"/>
                    </w:rPr>
                    <w:t>/°</w:t>
                  </w:r>
                </w:p>
              </w:tc>
              <w:tc>
                <w:tcPr>
                  <w:tcW w:w="659" w:type="pct"/>
                  <w:tcBorders>
                    <w:tl2br w:val="nil"/>
                    <w:tr2bl w:val="nil"/>
                  </w:tcBorders>
                  <w:vAlign w:val="center"/>
                </w:tcPr>
                <w:p w14:paraId="3044D5A5">
                  <w:pPr>
                    <w:spacing w:line="240" w:lineRule="auto"/>
                    <w:ind w:firstLine="0" w:firstLineChars="0"/>
                    <w:jc w:val="center"/>
                    <w:rPr>
                      <w:bCs/>
                      <w:sz w:val="21"/>
                      <w:szCs w:val="21"/>
                      <w:highlight w:val="none"/>
                    </w:rPr>
                  </w:pPr>
                  <w:r>
                    <w:rPr>
                      <w:bCs/>
                      <w:sz w:val="21"/>
                      <w:szCs w:val="21"/>
                      <w:highlight w:val="none"/>
                    </w:rPr>
                    <w:t>北纬</w:t>
                  </w:r>
                  <w:r>
                    <w:rPr>
                      <w:rFonts w:hint="eastAsia"/>
                      <w:bCs/>
                      <w:sz w:val="21"/>
                      <w:szCs w:val="21"/>
                      <w:highlight w:val="none"/>
                    </w:rPr>
                    <w:t>/°</w:t>
                  </w:r>
                </w:p>
              </w:tc>
            </w:tr>
            <w:tr w14:paraId="062CDF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50" w:type="pct"/>
                  <w:tcBorders>
                    <w:tl2br w:val="nil"/>
                    <w:tr2bl w:val="nil"/>
                  </w:tcBorders>
                  <w:vAlign w:val="center"/>
                </w:tcPr>
                <w:p w14:paraId="00BF38A5">
                  <w:pPr>
                    <w:spacing w:line="240" w:lineRule="auto"/>
                    <w:ind w:firstLine="0" w:firstLineChars="0"/>
                    <w:jc w:val="center"/>
                    <w:rPr>
                      <w:bCs/>
                      <w:sz w:val="21"/>
                      <w:szCs w:val="21"/>
                      <w:highlight w:val="none"/>
                    </w:rPr>
                  </w:pPr>
                  <w:r>
                    <w:rPr>
                      <w:rFonts w:hint="eastAsia"/>
                      <w:bCs/>
                      <w:sz w:val="21"/>
                      <w:szCs w:val="21"/>
                      <w:highlight w:val="none"/>
                    </w:rPr>
                    <w:t>淬火/回火废气排放口</w:t>
                  </w:r>
                </w:p>
              </w:tc>
              <w:tc>
                <w:tcPr>
                  <w:tcW w:w="387" w:type="pct"/>
                  <w:tcBorders>
                    <w:tl2br w:val="nil"/>
                    <w:tr2bl w:val="nil"/>
                  </w:tcBorders>
                  <w:vAlign w:val="center"/>
                </w:tcPr>
                <w:p w14:paraId="3B870ADF">
                  <w:pPr>
                    <w:spacing w:line="240" w:lineRule="auto"/>
                    <w:ind w:firstLine="0" w:firstLineChars="0"/>
                    <w:jc w:val="center"/>
                    <w:rPr>
                      <w:bCs/>
                      <w:sz w:val="21"/>
                      <w:szCs w:val="21"/>
                      <w:highlight w:val="none"/>
                    </w:rPr>
                  </w:pPr>
                  <w:r>
                    <w:rPr>
                      <w:rFonts w:hint="eastAsia"/>
                      <w:bCs/>
                      <w:sz w:val="21"/>
                      <w:szCs w:val="21"/>
                      <w:highlight w:val="none"/>
                    </w:rPr>
                    <w:t>15m</w:t>
                  </w:r>
                </w:p>
              </w:tc>
              <w:tc>
                <w:tcPr>
                  <w:tcW w:w="406" w:type="pct"/>
                  <w:tcBorders>
                    <w:tl2br w:val="nil"/>
                    <w:tr2bl w:val="nil"/>
                  </w:tcBorders>
                  <w:vAlign w:val="center"/>
                </w:tcPr>
                <w:p w14:paraId="6DC41BCF">
                  <w:pPr>
                    <w:spacing w:line="240" w:lineRule="auto"/>
                    <w:ind w:firstLine="0" w:firstLineChars="0"/>
                    <w:jc w:val="center"/>
                    <w:rPr>
                      <w:bCs/>
                      <w:sz w:val="21"/>
                      <w:szCs w:val="21"/>
                      <w:highlight w:val="none"/>
                    </w:rPr>
                  </w:pPr>
                  <w:r>
                    <w:rPr>
                      <w:rFonts w:hint="eastAsia"/>
                      <w:bCs/>
                      <w:sz w:val="21"/>
                      <w:szCs w:val="21"/>
                      <w:highlight w:val="none"/>
                    </w:rPr>
                    <w:t>0.3m</w:t>
                  </w:r>
                </w:p>
              </w:tc>
              <w:tc>
                <w:tcPr>
                  <w:tcW w:w="412" w:type="pct"/>
                  <w:tcBorders>
                    <w:tl2br w:val="nil"/>
                    <w:tr2bl w:val="nil"/>
                  </w:tcBorders>
                  <w:vAlign w:val="center"/>
                </w:tcPr>
                <w:p w14:paraId="12066274">
                  <w:pPr>
                    <w:spacing w:line="240" w:lineRule="auto"/>
                    <w:ind w:firstLine="0" w:firstLineChars="0"/>
                    <w:jc w:val="center"/>
                    <w:rPr>
                      <w:bCs/>
                      <w:sz w:val="21"/>
                      <w:szCs w:val="21"/>
                      <w:highlight w:val="none"/>
                    </w:rPr>
                  </w:pPr>
                  <w:r>
                    <w:rPr>
                      <w:rFonts w:hint="eastAsia"/>
                      <w:bCs/>
                      <w:sz w:val="21"/>
                      <w:szCs w:val="21"/>
                      <w:highlight w:val="none"/>
                    </w:rPr>
                    <w:t>常温</w:t>
                  </w:r>
                </w:p>
              </w:tc>
              <w:tc>
                <w:tcPr>
                  <w:tcW w:w="513" w:type="pct"/>
                  <w:tcBorders>
                    <w:tl2br w:val="nil"/>
                    <w:tr2bl w:val="nil"/>
                  </w:tcBorders>
                  <w:vAlign w:val="center"/>
                </w:tcPr>
                <w:p w14:paraId="38D1B9C3">
                  <w:pPr>
                    <w:spacing w:line="240" w:lineRule="auto"/>
                    <w:ind w:firstLine="0" w:firstLineChars="0"/>
                    <w:jc w:val="center"/>
                    <w:rPr>
                      <w:bCs/>
                      <w:sz w:val="21"/>
                      <w:szCs w:val="21"/>
                      <w:highlight w:val="none"/>
                    </w:rPr>
                  </w:pPr>
                  <w:r>
                    <w:rPr>
                      <w:rFonts w:hint="eastAsia"/>
                      <w:bCs/>
                      <w:sz w:val="21"/>
                      <w:szCs w:val="21"/>
                      <w:highlight w:val="none"/>
                    </w:rPr>
                    <w:t>DA001</w:t>
                  </w:r>
                </w:p>
              </w:tc>
              <w:tc>
                <w:tcPr>
                  <w:tcW w:w="694" w:type="pct"/>
                  <w:tcBorders>
                    <w:tl2br w:val="nil"/>
                    <w:tr2bl w:val="nil"/>
                  </w:tcBorders>
                  <w:vAlign w:val="center"/>
                </w:tcPr>
                <w:p w14:paraId="394EC693">
                  <w:pPr>
                    <w:spacing w:line="240" w:lineRule="auto"/>
                    <w:ind w:firstLine="0" w:firstLineChars="0"/>
                    <w:jc w:val="center"/>
                    <w:rPr>
                      <w:bCs/>
                      <w:sz w:val="21"/>
                      <w:szCs w:val="21"/>
                      <w:highlight w:val="none"/>
                    </w:rPr>
                  </w:pPr>
                  <w:r>
                    <w:rPr>
                      <w:bCs/>
                      <w:sz w:val="21"/>
                      <w:szCs w:val="21"/>
                      <w:highlight w:val="none"/>
                    </w:rPr>
                    <w:t>一般排放口</w:t>
                  </w:r>
                </w:p>
              </w:tc>
              <w:tc>
                <w:tcPr>
                  <w:tcW w:w="676" w:type="pct"/>
                  <w:tcBorders>
                    <w:tl2br w:val="nil"/>
                    <w:tr2bl w:val="nil"/>
                  </w:tcBorders>
                  <w:vAlign w:val="center"/>
                </w:tcPr>
                <w:p w14:paraId="3F6EDDF4">
                  <w:pPr>
                    <w:spacing w:line="240" w:lineRule="auto"/>
                    <w:ind w:firstLine="0" w:firstLineChars="0"/>
                    <w:jc w:val="center"/>
                    <w:rPr>
                      <w:bCs/>
                      <w:sz w:val="21"/>
                      <w:szCs w:val="21"/>
                      <w:highlight w:val="none"/>
                    </w:rPr>
                  </w:pPr>
                  <w:r>
                    <w:rPr>
                      <w:rFonts w:hint="eastAsia"/>
                      <w:bCs/>
                      <w:sz w:val="21"/>
                      <w:szCs w:val="21"/>
                      <w:highlight w:val="none"/>
                    </w:rPr>
                    <w:t>118.031330</w:t>
                  </w:r>
                </w:p>
              </w:tc>
              <w:tc>
                <w:tcPr>
                  <w:tcW w:w="659" w:type="pct"/>
                  <w:tcBorders>
                    <w:tl2br w:val="nil"/>
                    <w:tr2bl w:val="nil"/>
                  </w:tcBorders>
                  <w:vAlign w:val="center"/>
                </w:tcPr>
                <w:p w14:paraId="63E9E40C">
                  <w:pPr>
                    <w:spacing w:line="240" w:lineRule="auto"/>
                    <w:ind w:firstLine="0" w:firstLineChars="0"/>
                    <w:jc w:val="center"/>
                    <w:rPr>
                      <w:bCs/>
                      <w:sz w:val="21"/>
                      <w:szCs w:val="21"/>
                      <w:highlight w:val="none"/>
                    </w:rPr>
                  </w:pPr>
                  <w:r>
                    <w:rPr>
                      <w:rFonts w:hint="eastAsia"/>
                      <w:bCs/>
                      <w:sz w:val="21"/>
                      <w:szCs w:val="21"/>
                      <w:highlight w:val="none"/>
                    </w:rPr>
                    <w:t>39.709368</w:t>
                  </w:r>
                </w:p>
              </w:tc>
            </w:tr>
            <w:tr w14:paraId="083A96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50" w:type="pct"/>
                  <w:tcBorders>
                    <w:tl2br w:val="nil"/>
                    <w:tr2bl w:val="nil"/>
                  </w:tcBorders>
                  <w:vAlign w:val="center"/>
                </w:tcPr>
                <w:p w14:paraId="32DBF96A">
                  <w:pPr>
                    <w:spacing w:line="240" w:lineRule="auto"/>
                    <w:ind w:firstLine="0" w:firstLineChars="0"/>
                    <w:jc w:val="center"/>
                    <w:rPr>
                      <w:bCs/>
                      <w:sz w:val="21"/>
                      <w:szCs w:val="21"/>
                      <w:highlight w:val="none"/>
                    </w:rPr>
                  </w:pPr>
                  <w:r>
                    <w:rPr>
                      <w:rFonts w:hint="eastAsia"/>
                      <w:bCs/>
                      <w:sz w:val="21"/>
                      <w:szCs w:val="21"/>
                      <w:highlight w:val="none"/>
                    </w:rPr>
                    <w:t>抛丸废气排放口</w:t>
                  </w:r>
                </w:p>
              </w:tc>
              <w:tc>
                <w:tcPr>
                  <w:tcW w:w="387" w:type="pct"/>
                  <w:tcBorders>
                    <w:tl2br w:val="nil"/>
                    <w:tr2bl w:val="nil"/>
                  </w:tcBorders>
                  <w:vAlign w:val="center"/>
                </w:tcPr>
                <w:p w14:paraId="310522EA">
                  <w:pPr>
                    <w:spacing w:line="240" w:lineRule="auto"/>
                    <w:ind w:firstLine="0" w:firstLineChars="0"/>
                    <w:jc w:val="center"/>
                    <w:rPr>
                      <w:bCs/>
                      <w:sz w:val="21"/>
                      <w:szCs w:val="21"/>
                      <w:highlight w:val="none"/>
                    </w:rPr>
                  </w:pPr>
                  <w:r>
                    <w:rPr>
                      <w:rFonts w:hint="eastAsia"/>
                      <w:bCs/>
                      <w:sz w:val="21"/>
                      <w:szCs w:val="21"/>
                      <w:highlight w:val="none"/>
                    </w:rPr>
                    <w:t>15m</w:t>
                  </w:r>
                </w:p>
              </w:tc>
              <w:tc>
                <w:tcPr>
                  <w:tcW w:w="406" w:type="pct"/>
                  <w:tcBorders>
                    <w:tl2br w:val="nil"/>
                    <w:tr2bl w:val="nil"/>
                  </w:tcBorders>
                  <w:vAlign w:val="center"/>
                </w:tcPr>
                <w:p w14:paraId="7DD9DEE5">
                  <w:pPr>
                    <w:spacing w:line="240" w:lineRule="auto"/>
                    <w:ind w:firstLine="0" w:firstLineChars="0"/>
                    <w:jc w:val="center"/>
                    <w:rPr>
                      <w:bCs/>
                      <w:sz w:val="21"/>
                      <w:szCs w:val="21"/>
                      <w:highlight w:val="none"/>
                    </w:rPr>
                  </w:pPr>
                  <w:r>
                    <w:rPr>
                      <w:rFonts w:hint="eastAsia"/>
                      <w:bCs/>
                      <w:sz w:val="21"/>
                      <w:szCs w:val="21"/>
                      <w:highlight w:val="none"/>
                    </w:rPr>
                    <w:t>0.8</w:t>
                  </w:r>
                  <w:r>
                    <w:rPr>
                      <w:bCs/>
                      <w:sz w:val="21"/>
                      <w:szCs w:val="21"/>
                      <w:highlight w:val="none"/>
                    </w:rPr>
                    <w:t>m</w:t>
                  </w:r>
                </w:p>
              </w:tc>
              <w:tc>
                <w:tcPr>
                  <w:tcW w:w="412" w:type="pct"/>
                  <w:tcBorders>
                    <w:tl2br w:val="nil"/>
                    <w:tr2bl w:val="nil"/>
                  </w:tcBorders>
                  <w:vAlign w:val="center"/>
                </w:tcPr>
                <w:p w14:paraId="36F640AF">
                  <w:pPr>
                    <w:spacing w:line="240" w:lineRule="auto"/>
                    <w:ind w:firstLine="0" w:firstLineChars="0"/>
                    <w:jc w:val="center"/>
                    <w:rPr>
                      <w:bCs/>
                      <w:sz w:val="21"/>
                      <w:szCs w:val="21"/>
                      <w:highlight w:val="none"/>
                    </w:rPr>
                  </w:pPr>
                  <w:r>
                    <w:rPr>
                      <w:rFonts w:hint="eastAsia"/>
                      <w:bCs/>
                      <w:sz w:val="21"/>
                      <w:szCs w:val="21"/>
                      <w:highlight w:val="none"/>
                    </w:rPr>
                    <w:t>常温</w:t>
                  </w:r>
                </w:p>
              </w:tc>
              <w:tc>
                <w:tcPr>
                  <w:tcW w:w="513" w:type="pct"/>
                  <w:tcBorders>
                    <w:tl2br w:val="nil"/>
                    <w:tr2bl w:val="nil"/>
                  </w:tcBorders>
                  <w:vAlign w:val="center"/>
                </w:tcPr>
                <w:p w14:paraId="0375D520">
                  <w:pPr>
                    <w:spacing w:line="240" w:lineRule="auto"/>
                    <w:ind w:firstLine="0" w:firstLineChars="0"/>
                    <w:jc w:val="center"/>
                    <w:rPr>
                      <w:bCs/>
                      <w:sz w:val="21"/>
                      <w:szCs w:val="21"/>
                      <w:highlight w:val="none"/>
                    </w:rPr>
                  </w:pPr>
                  <w:r>
                    <w:rPr>
                      <w:rFonts w:hint="eastAsia"/>
                      <w:bCs/>
                      <w:sz w:val="21"/>
                      <w:szCs w:val="21"/>
                      <w:highlight w:val="none"/>
                    </w:rPr>
                    <w:t>DA0</w:t>
                  </w:r>
                  <w:r>
                    <w:rPr>
                      <w:rFonts w:hint="eastAsia"/>
                      <w:bCs/>
                      <w:sz w:val="21"/>
                      <w:szCs w:val="21"/>
                      <w:highlight w:val="none"/>
                      <w:lang w:val="en-US" w:eastAsia="zh-CN"/>
                    </w:rPr>
                    <w:t>0</w:t>
                  </w:r>
                  <w:r>
                    <w:rPr>
                      <w:rFonts w:hint="eastAsia"/>
                      <w:bCs/>
                      <w:sz w:val="21"/>
                      <w:szCs w:val="21"/>
                      <w:highlight w:val="none"/>
                    </w:rPr>
                    <w:t>2</w:t>
                  </w:r>
                </w:p>
              </w:tc>
              <w:tc>
                <w:tcPr>
                  <w:tcW w:w="694" w:type="pct"/>
                  <w:tcBorders>
                    <w:tl2br w:val="nil"/>
                    <w:tr2bl w:val="nil"/>
                  </w:tcBorders>
                  <w:vAlign w:val="center"/>
                </w:tcPr>
                <w:p w14:paraId="4B5C7E05">
                  <w:pPr>
                    <w:spacing w:line="240" w:lineRule="auto"/>
                    <w:ind w:firstLine="0" w:firstLineChars="0"/>
                    <w:jc w:val="center"/>
                    <w:rPr>
                      <w:bCs/>
                      <w:sz w:val="21"/>
                      <w:szCs w:val="21"/>
                      <w:highlight w:val="none"/>
                    </w:rPr>
                  </w:pPr>
                  <w:r>
                    <w:rPr>
                      <w:bCs/>
                      <w:sz w:val="21"/>
                      <w:szCs w:val="21"/>
                      <w:highlight w:val="none"/>
                    </w:rPr>
                    <w:t>一般排放口</w:t>
                  </w:r>
                </w:p>
              </w:tc>
              <w:tc>
                <w:tcPr>
                  <w:tcW w:w="676" w:type="pct"/>
                  <w:tcBorders>
                    <w:tl2br w:val="nil"/>
                    <w:tr2bl w:val="nil"/>
                  </w:tcBorders>
                  <w:vAlign w:val="center"/>
                </w:tcPr>
                <w:p w14:paraId="57952A18">
                  <w:pPr>
                    <w:spacing w:line="240" w:lineRule="auto"/>
                    <w:ind w:firstLine="0" w:firstLineChars="0"/>
                    <w:jc w:val="center"/>
                    <w:rPr>
                      <w:bCs/>
                      <w:sz w:val="21"/>
                      <w:szCs w:val="21"/>
                      <w:highlight w:val="none"/>
                    </w:rPr>
                  </w:pPr>
                  <w:r>
                    <w:rPr>
                      <w:rFonts w:hint="eastAsia"/>
                      <w:bCs/>
                      <w:sz w:val="21"/>
                      <w:szCs w:val="21"/>
                      <w:highlight w:val="none"/>
                    </w:rPr>
                    <w:t>118.031266</w:t>
                  </w:r>
                </w:p>
              </w:tc>
              <w:tc>
                <w:tcPr>
                  <w:tcW w:w="659" w:type="pct"/>
                  <w:tcBorders>
                    <w:tl2br w:val="nil"/>
                    <w:tr2bl w:val="nil"/>
                  </w:tcBorders>
                  <w:vAlign w:val="center"/>
                </w:tcPr>
                <w:p w14:paraId="3E2DF383">
                  <w:pPr>
                    <w:spacing w:line="240" w:lineRule="auto"/>
                    <w:ind w:firstLine="0" w:firstLineChars="0"/>
                    <w:jc w:val="center"/>
                    <w:rPr>
                      <w:bCs/>
                      <w:sz w:val="21"/>
                      <w:szCs w:val="21"/>
                      <w:highlight w:val="none"/>
                    </w:rPr>
                  </w:pPr>
                  <w:r>
                    <w:rPr>
                      <w:rFonts w:hint="eastAsia"/>
                      <w:bCs/>
                      <w:sz w:val="21"/>
                      <w:szCs w:val="21"/>
                      <w:highlight w:val="none"/>
                    </w:rPr>
                    <w:t>39.709368</w:t>
                  </w:r>
                </w:p>
              </w:tc>
            </w:tr>
          </w:tbl>
          <w:p w14:paraId="2A43E93F">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2、源强核算分析过程</w:t>
            </w:r>
          </w:p>
          <w:p w14:paraId="6B41D533">
            <w:pPr>
              <w:ind w:firstLine="480"/>
              <w:rPr>
                <w:highlight w:val="none"/>
              </w:rPr>
            </w:pPr>
            <w:r>
              <w:rPr>
                <w:rFonts w:hint="eastAsia"/>
                <w:highlight w:val="none"/>
              </w:rPr>
              <w:t>（1）风量</w:t>
            </w:r>
            <w:r>
              <w:rPr>
                <w:rFonts w:hint="eastAsia"/>
                <w:color w:val="000000" w:themeColor="text1"/>
                <w:highlight w:val="none"/>
                <w14:textFill>
                  <w14:solidFill>
                    <w14:schemeClr w14:val="tx1"/>
                  </w14:solidFill>
                </w14:textFill>
              </w:rPr>
              <w:t>核算</w:t>
            </w:r>
          </w:p>
          <w:p w14:paraId="446B794B">
            <w:pPr>
              <w:widowControl/>
              <w:ind w:firstLine="480"/>
              <w:jc w:val="left"/>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highlight w:val="none"/>
              </w:rPr>
              <w:t>①</w:t>
            </w:r>
            <w:r>
              <w:rPr>
                <w:rFonts w:hint="eastAsia"/>
                <w:highlight w:val="none"/>
              </w:rPr>
              <w:fldChar w:fldCharType="end"/>
            </w:r>
            <w:r>
              <w:rPr>
                <w:rFonts w:hint="eastAsia"/>
                <w:kern w:val="0"/>
                <w:highlight w:val="none"/>
              </w:rPr>
              <w:t>抛丸</w:t>
            </w:r>
            <w:r>
              <w:rPr>
                <w:kern w:val="0"/>
                <w:highlight w:val="none"/>
              </w:rPr>
              <w:t>废气</w:t>
            </w:r>
          </w:p>
          <w:p w14:paraId="4A411383">
            <w:pPr>
              <w:widowControl/>
              <w:ind w:firstLine="480"/>
              <w:jc w:val="left"/>
              <w:rPr>
                <w:highlight w:val="none"/>
              </w:rPr>
            </w:pPr>
            <w:r>
              <w:rPr>
                <w:kern w:val="0"/>
                <w:highlight w:val="none"/>
              </w:rPr>
              <w:t>本项目采取在每个</w:t>
            </w:r>
            <w:r>
              <w:rPr>
                <w:rFonts w:hint="eastAsia"/>
                <w:kern w:val="0"/>
                <w:highlight w:val="none"/>
              </w:rPr>
              <w:t>抛丸机上方设置</w:t>
            </w:r>
            <w:r>
              <w:rPr>
                <w:kern w:val="0"/>
                <w:highlight w:val="none"/>
              </w:rPr>
              <w:t>1个</w:t>
            </w:r>
            <w:r>
              <w:rPr>
                <w:rFonts w:hint="eastAsia"/>
                <w:kern w:val="0"/>
                <w:highlight w:val="none"/>
              </w:rPr>
              <w:t>0.35</w:t>
            </w:r>
            <w:r>
              <w:rPr>
                <w:rFonts w:hint="eastAsia"/>
                <w:kern w:val="0"/>
                <w:highlight w:val="none"/>
                <w:lang w:val="en-US" w:eastAsia="zh-CN"/>
              </w:rPr>
              <w:t>m</w:t>
            </w:r>
            <w:r>
              <w:rPr>
                <w:rFonts w:hint="eastAsia"/>
                <w:kern w:val="0"/>
                <w:highlight w:val="none"/>
                <w:vertAlign w:val="superscript"/>
                <w:lang w:val="en-US" w:eastAsia="zh-CN"/>
              </w:rPr>
              <w:t>2</w:t>
            </w:r>
            <w:r>
              <w:rPr>
                <w:rFonts w:hint="eastAsia"/>
                <w:kern w:val="0"/>
                <w:highlight w:val="none"/>
              </w:rPr>
              <w:t>的</w:t>
            </w:r>
            <w:r>
              <w:rPr>
                <w:rFonts w:hint="eastAsia"/>
                <w:kern w:val="0"/>
                <w:highlight w:val="none"/>
                <w:lang w:eastAsia="zh-CN"/>
              </w:rPr>
              <w:t>密闭</w:t>
            </w:r>
            <w:r>
              <w:rPr>
                <w:rFonts w:hint="eastAsia"/>
                <w:kern w:val="0"/>
                <w:highlight w:val="none"/>
              </w:rPr>
              <w:t>集气罩，连接集气管道。</w:t>
            </w:r>
            <w:r>
              <w:rPr>
                <w:kern w:val="0"/>
                <w:highlight w:val="none"/>
              </w:rPr>
              <w:t>设计</w:t>
            </w:r>
            <w:r>
              <w:rPr>
                <w:rFonts w:hint="eastAsia"/>
                <w:kern w:val="0"/>
                <w:highlight w:val="none"/>
              </w:rPr>
              <w:t>集气口</w:t>
            </w:r>
            <w:r>
              <w:rPr>
                <w:kern w:val="0"/>
                <w:highlight w:val="none"/>
              </w:rPr>
              <w:t>风速</w:t>
            </w:r>
            <w:r>
              <w:rPr>
                <w:rFonts w:hint="eastAsia"/>
                <w:kern w:val="0"/>
                <w:highlight w:val="none"/>
              </w:rPr>
              <w:t>1</w:t>
            </w:r>
            <w:r>
              <w:rPr>
                <w:kern w:val="0"/>
                <w:highlight w:val="none"/>
              </w:rPr>
              <w:t>m/s</w:t>
            </w:r>
            <w:r>
              <w:rPr>
                <w:rFonts w:hint="eastAsia"/>
                <w:kern w:val="0"/>
                <w:highlight w:val="none"/>
              </w:rPr>
              <w:t>，</w:t>
            </w:r>
            <w:r>
              <w:rPr>
                <w:kern w:val="0"/>
                <w:highlight w:val="none"/>
              </w:rPr>
              <w:t>根据经验，</w:t>
            </w:r>
            <w:r>
              <w:rPr>
                <w:rFonts w:hint="eastAsia"/>
                <w:kern w:val="0"/>
                <w:highlight w:val="none"/>
              </w:rPr>
              <w:t>抛丸在封闭的空间进行，忽略风损</w:t>
            </w:r>
            <w:r>
              <w:rPr>
                <w:highlight w:val="none"/>
              </w:rPr>
              <w:t>，</w:t>
            </w:r>
            <w:r>
              <w:rPr>
                <w:kern w:val="0"/>
                <w:highlight w:val="none"/>
              </w:rPr>
              <w:t>单个集气</w:t>
            </w:r>
            <w:r>
              <w:rPr>
                <w:rFonts w:hint="eastAsia"/>
                <w:kern w:val="0"/>
                <w:highlight w:val="none"/>
              </w:rPr>
              <w:t>口</w:t>
            </w:r>
            <w:r>
              <w:rPr>
                <w:kern w:val="0"/>
                <w:highlight w:val="none"/>
              </w:rPr>
              <w:t>设计风量为</w:t>
            </w:r>
            <w:r>
              <w:rPr>
                <w:rFonts w:hint="eastAsia"/>
                <w:kern w:val="0"/>
                <w:highlight w:val="none"/>
              </w:rPr>
              <w:t>1260</w:t>
            </w:r>
            <w:r>
              <w:rPr>
                <w:kern w:val="0"/>
                <w:highlight w:val="none"/>
              </w:rPr>
              <w:t>m</w:t>
            </w:r>
            <w:r>
              <w:rPr>
                <w:kern w:val="0"/>
                <w:highlight w:val="none"/>
                <w:vertAlign w:val="superscript"/>
              </w:rPr>
              <w:t>3</w:t>
            </w:r>
            <w:r>
              <w:rPr>
                <w:kern w:val="0"/>
                <w:highlight w:val="none"/>
              </w:rPr>
              <w:t>/h，</w:t>
            </w:r>
            <w:r>
              <w:rPr>
                <w:rFonts w:hint="eastAsia"/>
                <w:kern w:val="0"/>
                <w:highlight w:val="none"/>
              </w:rPr>
              <w:t>2台抛丸机，共2个集气罩，抛丸</w:t>
            </w:r>
            <w:r>
              <w:rPr>
                <w:kern w:val="0"/>
                <w:highlight w:val="none"/>
              </w:rPr>
              <w:t>工序</w:t>
            </w:r>
            <w:r>
              <w:rPr>
                <w:highlight w:val="none"/>
              </w:rPr>
              <w:t>风机风量为</w:t>
            </w:r>
            <w:r>
              <w:rPr>
                <w:rFonts w:hint="eastAsia"/>
                <w:highlight w:val="none"/>
              </w:rPr>
              <w:t>3000</w:t>
            </w:r>
            <w:r>
              <w:rPr>
                <w:highlight w:val="none"/>
              </w:rPr>
              <w:t>m</w:t>
            </w:r>
            <w:r>
              <w:rPr>
                <w:highlight w:val="none"/>
                <w:vertAlign w:val="superscript"/>
              </w:rPr>
              <w:t>3</w:t>
            </w:r>
            <w:r>
              <w:rPr>
                <w:highlight w:val="none"/>
              </w:rPr>
              <w:t>/h可满足生产需求</w:t>
            </w:r>
            <w:r>
              <w:rPr>
                <w:kern w:val="0"/>
                <w:highlight w:val="none"/>
              </w:rPr>
              <w:t>。</w:t>
            </w:r>
          </w:p>
          <w:p w14:paraId="21463B71">
            <w:pPr>
              <w:widowControl/>
              <w:ind w:firstLine="480"/>
              <w:rPr>
                <w:color w:val="000000"/>
                <w:kern w:val="0"/>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highlight w:val="none"/>
              </w:rPr>
              <w:t>②</w:t>
            </w:r>
            <w:r>
              <w:rPr>
                <w:rFonts w:hint="eastAsia"/>
                <w:highlight w:val="none"/>
              </w:rPr>
              <w:fldChar w:fldCharType="end"/>
            </w:r>
            <w:r>
              <w:rPr>
                <w:rFonts w:hint="eastAsia"/>
                <w:color w:val="000000"/>
                <w:kern w:val="0"/>
                <w:highlight w:val="none"/>
              </w:rPr>
              <w:t>淬火/回火</w:t>
            </w:r>
            <w:r>
              <w:rPr>
                <w:color w:val="000000"/>
                <w:kern w:val="0"/>
                <w:highlight w:val="none"/>
              </w:rPr>
              <w:t>废气</w:t>
            </w:r>
          </w:p>
          <w:p w14:paraId="5A1123C2">
            <w:pPr>
              <w:widowControl/>
              <w:ind w:firstLine="480"/>
              <w:jc w:val="left"/>
              <w:rPr>
                <w:highlight w:val="none"/>
              </w:rPr>
            </w:pPr>
            <w:r>
              <w:rPr>
                <w:color w:val="000000"/>
                <w:kern w:val="0"/>
                <w:highlight w:val="none"/>
              </w:rPr>
              <w:t>本项目</w:t>
            </w:r>
            <w:r>
              <w:rPr>
                <w:rFonts w:hint="eastAsia"/>
                <w:color w:val="000000"/>
                <w:kern w:val="0"/>
                <w:highlight w:val="none"/>
              </w:rPr>
              <w:t>淬火/回火过程共用1套</w:t>
            </w:r>
            <w:r>
              <w:rPr>
                <w:rFonts w:hint="eastAsia"/>
                <w:kern w:val="0"/>
                <w:highlight w:val="none"/>
              </w:rPr>
              <w:t>静电式油烟净化器+活性炭装置</w:t>
            </w:r>
            <w:r>
              <w:rPr>
                <w:rFonts w:hint="eastAsia"/>
                <w:color w:val="000000"/>
                <w:kern w:val="0"/>
                <w:highlight w:val="none"/>
              </w:rPr>
              <w:t>处理废气。淬火都在渗碳多用炉内前室进行。每台渗碳多用炉室防爆口上方</w:t>
            </w:r>
            <w:r>
              <w:rPr>
                <w:rFonts w:hint="eastAsia"/>
                <w:kern w:val="0"/>
                <w:highlight w:val="none"/>
              </w:rPr>
              <w:t>自带</w:t>
            </w:r>
            <w:r>
              <w:rPr>
                <w:kern w:val="0"/>
                <w:highlight w:val="none"/>
              </w:rPr>
              <w:t>1个</w:t>
            </w:r>
            <w:r>
              <w:rPr>
                <w:rFonts w:hint="eastAsia"/>
                <w:kern w:val="0"/>
                <w:highlight w:val="none"/>
              </w:rPr>
              <w:t>1.8</w:t>
            </w:r>
            <w:r>
              <w:rPr>
                <w:rFonts w:hint="eastAsia"/>
                <w:kern w:val="0"/>
                <w:highlight w:val="none"/>
                <w:lang w:val="en-US" w:eastAsia="zh-CN"/>
              </w:rPr>
              <w:t>m</w:t>
            </w:r>
            <w:r>
              <w:rPr>
                <w:rFonts w:hint="eastAsia"/>
                <w:kern w:val="0"/>
                <w:highlight w:val="none"/>
                <w:vertAlign w:val="superscript"/>
                <w:lang w:val="en-US" w:eastAsia="zh-CN"/>
              </w:rPr>
              <w:t>2</w:t>
            </w:r>
            <w:r>
              <w:rPr>
                <w:rFonts w:hint="eastAsia"/>
                <w:kern w:val="0"/>
                <w:highlight w:val="none"/>
              </w:rPr>
              <w:t>的集气罩</w:t>
            </w:r>
            <w:r>
              <w:rPr>
                <w:kern w:val="0"/>
                <w:highlight w:val="none"/>
              </w:rPr>
              <w:t>，</w:t>
            </w:r>
            <w:r>
              <w:rPr>
                <w:rFonts w:hint="eastAsia"/>
                <w:kern w:val="0"/>
                <w:highlight w:val="none"/>
              </w:rPr>
              <w:t>集气罩连接集气管道。</w:t>
            </w:r>
            <w:r>
              <w:rPr>
                <w:kern w:val="0"/>
                <w:highlight w:val="none"/>
              </w:rPr>
              <w:t>设罩口风速</w:t>
            </w:r>
            <w:r>
              <w:rPr>
                <w:rFonts w:hint="eastAsia"/>
                <w:kern w:val="0"/>
                <w:highlight w:val="none"/>
              </w:rPr>
              <w:t>1</w:t>
            </w:r>
            <w:r>
              <w:rPr>
                <w:kern w:val="0"/>
                <w:highlight w:val="none"/>
              </w:rPr>
              <w:t>m/s。根据经验，风机引风过程，风损约10%~20%</w:t>
            </w:r>
            <w:r>
              <w:rPr>
                <w:rFonts w:hint="eastAsia"/>
                <w:kern w:val="0"/>
                <w:highlight w:val="none"/>
              </w:rPr>
              <w:t>，</w:t>
            </w:r>
            <w:r>
              <w:rPr>
                <w:kern w:val="0"/>
                <w:highlight w:val="none"/>
              </w:rPr>
              <w:t>取</w:t>
            </w:r>
            <w:r>
              <w:rPr>
                <w:rFonts w:hint="eastAsia"/>
                <w:kern w:val="0"/>
                <w:highlight w:val="none"/>
              </w:rPr>
              <w:t>10</w:t>
            </w:r>
            <w:r>
              <w:rPr>
                <w:kern w:val="0"/>
                <w:highlight w:val="none"/>
              </w:rPr>
              <w:t>%</w:t>
            </w:r>
            <w:r>
              <w:rPr>
                <w:rFonts w:hint="eastAsia"/>
                <w:kern w:val="0"/>
                <w:highlight w:val="none"/>
              </w:rPr>
              <w:t>，单台</w:t>
            </w:r>
            <w:r>
              <w:rPr>
                <w:rFonts w:hint="eastAsia"/>
                <w:color w:val="000000"/>
                <w:kern w:val="0"/>
                <w:highlight w:val="none"/>
              </w:rPr>
              <w:t>渗碳多用炉所需风量</w:t>
            </w:r>
            <w:r>
              <w:rPr>
                <w:rFonts w:hint="eastAsia"/>
                <w:highlight w:val="none"/>
              </w:rPr>
              <w:t>7200</w:t>
            </w:r>
            <w:r>
              <w:rPr>
                <w:highlight w:val="none"/>
              </w:rPr>
              <w:t>m</w:t>
            </w:r>
            <w:r>
              <w:rPr>
                <w:highlight w:val="none"/>
                <w:vertAlign w:val="superscript"/>
              </w:rPr>
              <w:t>3</w:t>
            </w:r>
            <w:r>
              <w:rPr>
                <w:highlight w:val="none"/>
              </w:rPr>
              <w:t>/h</w:t>
            </w:r>
            <w:r>
              <w:rPr>
                <w:rFonts w:hint="eastAsia"/>
                <w:color w:val="000000"/>
                <w:kern w:val="0"/>
                <w:highlight w:val="none"/>
              </w:rPr>
              <w:t>，2台渗碳多用炉室淬火所需风量</w:t>
            </w:r>
            <w:r>
              <w:rPr>
                <w:rFonts w:hint="eastAsia"/>
                <w:highlight w:val="none"/>
              </w:rPr>
              <w:t>14400</w:t>
            </w:r>
            <w:r>
              <w:rPr>
                <w:highlight w:val="none"/>
              </w:rPr>
              <w:t>m</w:t>
            </w:r>
            <w:r>
              <w:rPr>
                <w:highlight w:val="none"/>
                <w:vertAlign w:val="superscript"/>
              </w:rPr>
              <w:t>3</w:t>
            </w:r>
            <w:r>
              <w:rPr>
                <w:highlight w:val="none"/>
              </w:rPr>
              <w:t>/h</w:t>
            </w:r>
            <w:r>
              <w:rPr>
                <w:rFonts w:hint="eastAsia"/>
                <w:highlight w:val="none"/>
              </w:rPr>
              <w:t>。</w:t>
            </w:r>
            <w:r>
              <w:rPr>
                <w:color w:val="000000"/>
                <w:kern w:val="0"/>
                <w:highlight w:val="none"/>
              </w:rPr>
              <w:t>本项目</w:t>
            </w:r>
            <w:r>
              <w:rPr>
                <w:rFonts w:hint="eastAsia"/>
                <w:color w:val="000000"/>
                <w:kern w:val="0"/>
                <w:highlight w:val="none"/>
              </w:rPr>
              <w:t>回火在低温回火炉内进行。由于淬火后高温工件立即进入清洗工序，回火温度</w:t>
            </w:r>
            <w:r>
              <w:rPr>
                <w:rFonts w:hint="eastAsia" w:ascii="Calibri" w:hAnsi="Calibri"/>
                <w:highlight w:val="none"/>
              </w:rPr>
              <w:t>170℃，工件表面会附着少量</w:t>
            </w:r>
            <w:r>
              <w:rPr>
                <w:rFonts w:hint="eastAsia" w:ascii="Calibri" w:hAnsi="Calibri"/>
                <w:highlight w:val="none"/>
                <w:lang w:eastAsia="zh-CN"/>
              </w:rPr>
              <w:t>淬火油</w:t>
            </w:r>
            <w:r>
              <w:rPr>
                <w:rFonts w:hint="eastAsia" w:ascii="Calibri" w:hAnsi="Calibri"/>
                <w:highlight w:val="none"/>
              </w:rPr>
              <w:t>，会产生少量油雾和挥发性有机物（以非甲烷总烃代）。</w:t>
            </w:r>
            <w:r>
              <w:rPr>
                <w:rFonts w:hint="eastAsia"/>
                <w:color w:val="000000"/>
                <w:kern w:val="0"/>
                <w:highlight w:val="none"/>
              </w:rPr>
              <w:t>低温回火炉上方</w:t>
            </w:r>
            <w:r>
              <w:rPr>
                <w:rFonts w:hint="eastAsia"/>
                <w:kern w:val="0"/>
                <w:highlight w:val="none"/>
              </w:rPr>
              <w:t>自带</w:t>
            </w:r>
            <w:r>
              <w:rPr>
                <w:kern w:val="0"/>
                <w:highlight w:val="none"/>
              </w:rPr>
              <w:t>1个</w:t>
            </w:r>
            <w:r>
              <w:rPr>
                <w:rFonts w:hint="eastAsia"/>
                <w:kern w:val="0"/>
                <w:highlight w:val="none"/>
              </w:rPr>
              <w:t>1.4</w:t>
            </w:r>
            <w:r>
              <w:rPr>
                <w:rFonts w:hint="eastAsia"/>
                <w:kern w:val="0"/>
                <w:highlight w:val="none"/>
                <w:lang w:val="en-US" w:eastAsia="zh-CN"/>
              </w:rPr>
              <w:t>m</w:t>
            </w:r>
            <w:r>
              <w:rPr>
                <w:rFonts w:hint="eastAsia"/>
                <w:kern w:val="0"/>
                <w:highlight w:val="none"/>
                <w:vertAlign w:val="superscript"/>
                <w:lang w:val="en-US" w:eastAsia="zh-CN"/>
              </w:rPr>
              <w:t>2</w:t>
            </w:r>
            <w:r>
              <w:rPr>
                <w:rFonts w:hint="eastAsia"/>
                <w:kern w:val="0"/>
                <w:highlight w:val="none"/>
              </w:rPr>
              <w:t>的集气罩</w:t>
            </w:r>
            <w:r>
              <w:rPr>
                <w:kern w:val="0"/>
                <w:highlight w:val="none"/>
              </w:rPr>
              <w:t>，</w:t>
            </w:r>
            <w:r>
              <w:rPr>
                <w:rFonts w:hint="eastAsia"/>
                <w:kern w:val="0"/>
                <w:highlight w:val="none"/>
              </w:rPr>
              <w:t>集气罩连接集气管道。</w:t>
            </w:r>
            <w:r>
              <w:rPr>
                <w:kern w:val="0"/>
                <w:highlight w:val="none"/>
              </w:rPr>
              <w:t>设罩口风速</w:t>
            </w:r>
            <w:r>
              <w:rPr>
                <w:rFonts w:hint="eastAsia"/>
                <w:kern w:val="0"/>
                <w:highlight w:val="none"/>
              </w:rPr>
              <w:t>1</w:t>
            </w:r>
            <w:r>
              <w:rPr>
                <w:kern w:val="0"/>
                <w:highlight w:val="none"/>
              </w:rPr>
              <w:t>m/s。根据经验，风机引风过程，风损约10%~20%</w:t>
            </w:r>
            <w:r>
              <w:rPr>
                <w:rFonts w:hint="eastAsia"/>
                <w:kern w:val="0"/>
                <w:highlight w:val="none"/>
              </w:rPr>
              <w:t>，</w:t>
            </w:r>
            <w:r>
              <w:rPr>
                <w:kern w:val="0"/>
                <w:highlight w:val="none"/>
              </w:rPr>
              <w:t>取</w:t>
            </w:r>
            <w:r>
              <w:rPr>
                <w:rFonts w:hint="eastAsia"/>
                <w:kern w:val="0"/>
                <w:highlight w:val="none"/>
              </w:rPr>
              <w:t>10</w:t>
            </w:r>
            <w:r>
              <w:rPr>
                <w:kern w:val="0"/>
                <w:highlight w:val="none"/>
              </w:rPr>
              <w:t>%</w:t>
            </w:r>
            <w:r>
              <w:rPr>
                <w:rFonts w:hint="eastAsia"/>
                <w:kern w:val="0"/>
                <w:highlight w:val="none"/>
              </w:rPr>
              <w:t>，</w:t>
            </w:r>
            <w:r>
              <w:rPr>
                <w:rFonts w:hint="eastAsia"/>
                <w:color w:val="000000"/>
                <w:kern w:val="0"/>
                <w:highlight w:val="none"/>
              </w:rPr>
              <w:t>低温回火炉所需风量</w:t>
            </w:r>
            <w:r>
              <w:rPr>
                <w:rFonts w:hint="eastAsia"/>
                <w:highlight w:val="none"/>
              </w:rPr>
              <w:t>5600</w:t>
            </w:r>
            <w:r>
              <w:rPr>
                <w:highlight w:val="none"/>
              </w:rPr>
              <w:t>m</w:t>
            </w:r>
            <w:r>
              <w:rPr>
                <w:highlight w:val="none"/>
                <w:vertAlign w:val="superscript"/>
              </w:rPr>
              <w:t>3</w:t>
            </w:r>
            <w:r>
              <w:rPr>
                <w:highlight w:val="none"/>
              </w:rPr>
              <w:t>/h</w:t>
            </w:r>
            <w:r>
              <w:rPr>
                <w:rFonts w:hint="eastAsia"/>
                <w:highlight w:val="none"/>
              </w:rPr>
              <w:t>。</w:t>
            </w:r>
          </w:p>
          <w:p w14:paraId="5C0CF912">
            <w:pPr>
              <w:pStyle w:val="13"/>
              <w:ind w:left="0" w:leftChars="0" w:right="-14" w:rightChars="-6" w:firstLine="480"/>
              <w:rPr>
                <w:highlight w:val="none"/>
              </w:rPr>
            </w:pPr>
            <w:r>
              <w:rPr>
                <w:rFonts w:hint="eastAsia"/>
                <w:highlight w:val="none"/>
              </w:rPr>
              <w:t>由上可知：</w:t>
            </w:r>
            <w:r>
              <w:rPr>
                <w:rFonts w:hint="eastAsia"/>
                <w:kern w:val="0"/>
                <w:highlight w:val="none"/>
              </w:rPr>
              <w:t>静电式油烟净化器</w:t>
            </w:r>
            <w:r>
              <w:rPr>
                <w:highlight w:val="none"/>
              </w:rPr>
              <w:t>风机风量为</w:t>
            </w:r>
            <w:r>
              <w:rPr>
                <w:rFonts w:hint="eastAsia"/>
                <w:highlight w:val="none"/>
              </w:rPr>
              <w:t>20000</w:t>
            </w:r>
            <w:r>
              <w:rPr>
                <w:highlight w:val="none"/>
              </w:rPr>
              <w:t>m</w:t>
            </w:r>
            <w:r>
              <w:rPr>
                <w:highlight w:val="none"/>
                <w:vertAlign w:val="superscript"/>
              </w:rPr>
              <w:t>3</w:t>
            </w:r>
            <w:r>
              <w:rPr>
                <w:highlight w:val="none"/>
              </w:rPr>
              <w:t>/h</w:t>
            </w:r>
            <w:r>
              <w:rPr>
                <w:rFonts w:hint="eastAsia"/>
                <w:highlight w:val="none"/>
              </w:rPr>
              <w:t>可满足要求。</w:t>
            </w:r>
          </w:p>
          <w:p w14:paraId="1A46A13B">
            <w:pPr>
              <w:widowControl/>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highlight w:val="none"/>
              </w:rPr>
              <w:t>③</w:t>
            </w:r>
            <w:r>
              <w:rPr>
                <w:rFonts w:hint="eastAsia"/>
                <w:highlight w:val="none"/>
              </w:rPr>
              <w:fldChar w:fldCharType="end"/>
            </w:r>
            <w:r>
              <w:rPr>
                <w:rFonts w:hint="eastAsia"/>
                <w:color w:val="000000"/>
                <w:kern w:val="0"/>
                <w:highlight w:val="none"/>
              </w:rPr>
              <w:t>根据企业提供，数控滚齿机（高速运转）所需风量1900</w:t>
            </w:r>
            <w:r>
              <w:rPr>
                <w:highlight w:val="none"/>
              </w:rPr>
              <w:t>m</w:t>
            </w:r>
            <w:r>
              <w:rPr>
                <w:highlight w:val="none"/>
                <w:vertAlign w:val="superscript"/>
              </w:rPr>
              <w:t>3</w:t>
            </w:r>
            <w:r>
              <w:rPr>
                <w:highlight w:val="none"/>
              </w:rPr>
              <w:t>/h</w:t>
            </w:r>
            <w:r>
              <w:rPr>
                <w:rFonts w:hint="eastAsia"/>
                <w:highlight w:val="none"/>
              </w:rPr>
              <w:t>。</w:t>
            </w:r>
          </w:p>
          <w:p w14:paraId="673CD7BC">
            <w:pPr>
              <w:ind w:firstLine="480"/>
            </w:pPr>
            <w:r>
              <w:rPr>
                <w:rFonts w:hint="eastAsia"/>
              </w:rPr>
              <w:t>（2）废气量核算</w:t>
            </w:r>
          </w:p>
          <w:p w14:paraId="2043E0F9">
            <w:pPr>
              <w:pStyle w:val="13"/>
              <w:ind w:left="0" w:leftChars="0" w:right="-14" w:rightChars="-6" w:firstLine="48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淬火/回火废气</w:t>
            </w:r>
          </w:p>
          <w:p w14:paraId="60D1367D">
            <w:pPr>
              <w:pStyle w:val="13"/>
              <w:ind w:left="0" w:leftChars="0" w:right="-14" w:rightChars="-6" w:firstLine="480"/>
              <w:rPr>
                <w:highlight w:val="none"/>
              </w:rPr>
            </w:pPr>
            <w:r>
              <w:rPr>
                <w:rFonts w:hint="eastAsia"/>
              </w:rPr>
              <w:t>参照《排放源统计调查产排污核算方法和系数手册》中36汽车制造业行业系数手册，淬火</w:t>
            </w:r>
            <w:r>
              <w:rPr>
                <w:rFonts w:hint="eastAsia"/>
                <w:highlight w:val="none"/>
              </w:rPr>
              <w:t>/回火工序挥发性有机物（以非甲烷总烃代）产的排污系数为0.01kg/t-原料，油雾的产排污系数为200kg/t-原料，</w:t>
            </w:r>
            <w:r>
              <w:rPr>
                <w:rFonts w:hint="eastAsia"/>
                <w:highlight w:val="none"/>
                <w:lang w:eastAsia="zh-CN"/>
              </w:rPr>
              <w:t>淬火油</w:t>
            </w:r>
            <w:r>
              <w:rPr>
                <w:rFonts w:hint="eastAsia"/>
                <w:highlight w:val="none"/>
              </w:rPr>
              <w:t>共计2400L/a（约1.9t/a），则本项目淬火/回火过程挥发性有机物（以非甲烷总烃代）产生量为1.9</w:t>
            </w:r>
            <w:r>
              <w:rPr>
                <w:rFonts w:ascii="Arial" w:hAnsi="Arial" w:cs="Arial"/>
                <w:highlight w:val="none"/>
              </w:rPr>
              <w:t>×</w:t>
            </w:r>
            <w:r>
              <w:rPr>
                <w:rFonts w:hint="eastAsia"/>
                <w:highlight w:val="none"/>
              </w:rPr>
              <w:t>10</w:t>
            </w:r>
            <w:r>
              <w:rPr>
                <w:rFonts w:hint="eastAsia"/>
                <w:highlight w:val="none"/>
                <w:vertAlign w:val="superscript"/>
              </w:rPr>
              <w:t>-5</w:t>
            </w:r>
            <w:r>
              <w:rPr>
                <w:rFonts w:hint="eastAsia"/>
                <w:highlight w:val="none"/>
              </w:rPr>
              <w:t>t/a，油雾产生量为0.38t/a。按废气收集效率为90%，治理效率挥发性有机物（以非甲烷总烃代）为18%、油烟为90%计算，挥发性有机物（以非甲烷总烃代）有组织排放量1.4022</w:t>
            </w:r>
            <w:r>
              <w:rPr>
                <w:rFonts w:ascii="Arial" w:hAnsi="Arial" w:cs="Arial"/>
                <w:highlight w:val="none"/>
              </w:rPr>
              <w:t>×</w:t>
            </w:r>
            <w:r>
              <w:rPr>
                <w:rFonts w:hint="eastAsia"/>
                <w:highlight w:val="none"/>
              </w:rPr>
              <w:t>10</w:t>
            </w:r>
            <w:r>
              <w:rPr>
                <w:rFonts w:hint="eastAsia"/>
                <w:highlight w:val="none"/>
                <w:vertAlign w:val="superscript"/>
              </w:rPr>
              <w:t>-5</w:t>
            </w:r>
            <w:r>
              <w:rPr>
                <w:rFonts w:hint="eastAsia"/>
                <w:highlight w:val="none"/>
              </w:rPr>
              <w:t>t/a，排放速率为8.7857</w:t>
            </w:r>
            <w:r>
              <w:rPr>
                <w:rFonts w:ascii="Arial" w:hAnsi="Arial" w:cs="Arial"/>
                <w:highlight w:val="none"/>
              </w:rPr>
              <w:t>×</w:t>
            </w:r>
            <w:r>
              <w:rPr>
                <w:rFonts w:hint="eastAsia"/>
                <w:highlight w:val="none"/>
              </w:rPr>
              <w:t>10</w:t>
            </w:r>
            <w:r>
              <w:rPr>
                <w:rFonts w:hint="eastAsia"/>
                <w:highlight w:val="none"/>
                <w:vertAlign w:val="superscript"/>
              </w:rPr>
              <w:t>-6</w:t>
            </w:r>
            <w:r>
              <w:rPr>
                <w:rFonts w:hint="eastAsia"/>
                <w:highlight w:val="none"/>
              </w:rPr>
              <w:t>kg/h，排放浓度为4.3929</w:t>
            </w:r>
            <w:r>
              <w:rPr>
                <w:rFonts w:ascii="Arial" w:hAnsi="Arial" w:cs="Arial"/>
                <w:highlight w:val="none"/>
              </w:rPr>
              <w:t>×</w:t>
            </w:r>
            <w:r>
              <w:rPr>
                <w:rFonts w:hint="eastAsia"/>
                <w:highlight w:val="none"/>
              </w:rPr>
              <w:t>10</w:t>
            </w:r>
            <w:r>
              <w:rPr>
                <w:rFonts w:hint="eastAsia"/>
                <w:highlight w:val="none"/>
                <w:vertAlign w:val="superscript"/>
              </w:rPr>
              <w:t>-4</w:t>
            </w:r>
            <w:r>
              <w:rPr>
                <w:rFonts w:hint="eastAsia"/>
                <w:highlight w:val="none"/>
              </w:rPr>
              <w:t>mg/</w:t>
            </w:r>
            <w:r>
              <w:rPr>
                <w:kern w:val="0"/>
                <w:highlight w:val="none"/>
              </w:rPr>
              <w:t>m</w:t>
            </w:r>
            <w:r>
              <w:rPr>
                <w:kern w:val="0"/>
                <w:highlight w:val="none"/>
                <w:vertAlign w:val="superscript"/>
              </w:rPr>
              <w:t>3</w:t>
            </w:r>
            <w:r>
              <w:rPr>
                <w:rFonts w:hint="eastAsia"/>
                <w:kern w:val="0"/>
                <w:highlight w:val="none"/>
              </w:rPr>
              <w:t>；</w:t>
            </w:r>
            <w:r>
              <w:rPr>
                <w:rFonts w:hint="eastAsia"/>
                <w:highlight w:val="none"/>
              </w:rPr>
              <w:t>油雾有组织排放量0.0342t/a，排放速率为0.0214kg/h，排放浓度为1.07mg/</w:t>
            </w:r>
            <w:r>
              <w:rPr>
                <w:kern w:val="0"/>
                <w:highlight w:val="none"/>
              </w:rPr>
              <w:t>m</w:t>
            </w:r>
            <w:r>
              <w:rPr>
                <w:kern w:val="0"/>
                <w:highlight w:val="none"/>
                <w:vertAlign w:val="superscript"/>
              </w:rPr>
              <w:t>3</w:t>
            </w:r>
            <w:r>
              <w:rPr>
                <w:rFonts w:hint="eastAsia"/>
                <w:kern w:val="0"/>
                <w:highlight w:val="none"/>
              </w:rPr>
              <w:t>。</w:t>
            </w:r>
          </w:p>
          <w:p w14:paraId="7E06C123">
            <w:pPr>
              <w:ind w:firstLine="480"/>
              <w:rPr>
                <w:highlight w:val="none"/>
              </w:rPr>
            </w:pPr>
            <w:r>
              <w:rPr>
                <w:rFonts w:hint="eastAsia"/>
                <w:highlight w:val="none"/>
              </w:rPr>
              <w:t>②抛丸废气</w:t>
            </w:r>
          </w:p>
          <w:p w14:paraId="260CD5CC">
            <w:pPr>
              <w:pStyle w:val="13"/>
              <w:ind w:left="0" w:leftChars="0" w:right="-14" w:rightChars="-6" w:firstLine="480"/>
              <w:rPr>
                <w:highlight w:val="none"/>
              </w:rPr>
            </w:pPr>
            <w:r>
              <w:rPr>
                <w:rFonts w:hint="eastAsia"/>
                <w:highlight w:val="none"/>
              </w:rPr>
              <w:t>参照《排放源统计调查产排污核算方法和系数手册》中36汽车制造业行业系数手册，抛丸过程颗粒物产排污系数为2.19kg/t-原材料，抛丸工件共计2000t/a，则本项目抛丸过程颗粒物产生量为4.38t/a。按废气收集效率为99%，治理效率为99%计算，抛丸颗粒物有组织排放量0.0434t/a，排放速率为0.0217kg/h，排放浓度为7.233mg/</w:t>
            </w:r>
            <w:r>
              <w:rPr>
                <w:kern w:val="0"/>
                <w:highlight w:val="none"/>
              </w:rPr>
              <w:t>m</w:t>
            </w:r>
            <w:r>
              <w:rPr>
                <w:kern w:val="0"/>
                <w:highlight w:val="none"/>
                <w:vertAlign w:val="superscript"/>
              </w:rPr>
              <w:t>3</w:t>
            </w:r>
          </w:p>
          <w:p w14:paraId="29839775">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highlight w:val="none"/>
              </w:rPr>
              <w:t>③</w:t>
            </w:r>
            <w:r>
              <w:rPr>
                <w:rFonts w:hint="eastAsia"/>
                <w:highlight w:val="none"/>
              </w:rPr>
              <w:fldChar w:fldCharType="end"/>
            </w:r>
            <w:r>
              <w:rPr>
                <w:rFonts w:hint="eastAsia"/>
                <w:highlight w:val="none"/>
              </w:rPr>
              <w:t>无组织废气</w:t>
            </w:r>
          </w:p>
          <w:p w14:paraId="0F835433">
            <w:pPr>
              <w:widowControl/>
              <w:ind w:firstLine="480"/>
              <w:rPr>
                <w:color w:val="000000"/>
                <w:highlight w:val="none"/>
              </w:rPr>
            </w:pPr>
            <w:r>
              <w:rPr>
                <w:rFonts w:hint="eastAsia"/>
                <w:highlight w:val="none"/>
              </w:rPr>
              <w:t>本项目4台数控滚齿机（高速运转）每台配备1台工业油烟净化器处理废气；渗碳采用渗碳多用炉防爆口设置环形燃烧器燃烧废气；淬火/回火采用</w:t>
            </w:r>
            <w:r>
              <w:rPr>
                <w:rFonts w:hint="eastAsia"/>
                <w:color w:val="000000"/>
                <w:kern w:val="0"/>
                <w:highlight w:val="none"/>
              </w:rPr>
              <w:t>1套</w:t>
            </w:r>
            <w:r>
              <w:rPr>
                <w:rFonts w:hint="eastAsia"/>
                <w:kern w:val="0"/>
                <w:highlight w:val="none"/>
              </w:rPr>
              <w:t>静电式油烟净化器+活性炭装置</w:t>
            </w:r>
            <w:r>
              <w:rPr>
                <w:rFonts w:hint="eastAsia"/>
                <w:highlight w:val="none"/>
              </w:rPr>
              <w:t>处理后废气；2台抛丸机共用1台高效的脉冲布袋除尘器处理后废气；车间全密闭、地面全硬化、厂区非硬即绿的措施减少无组织排放。无组织废气主要为滚齿（高速运转的数控滚齿机）、渗碳、淬火/回火、抛丸生产过程</w:t>
            </w:r>
            <w:r>
              <w:rPr>
                <w:highlight w:val="none"/>
              </w:rPr>
              <w:t>中未捕集的</w:t>
            </w:r>
            <w:r>
              <w:rPr>
                <w:rFonts w:hint="eastAsia"/>
                <w:highlight w:val="none"/>
              </w:rPr>
              <w:t>废气。</w:t>
            </w:r>
          </w:p>
          <w:p w14:paraId="75D6BE0D">
            <w:pPr>
              <w:widowControl/>
              <w:numPr>
                <w:ilvl w:val="0"/>
                <w:numId w:val="16"/>
              </w:numPr>
              <w:ind w:firstLine="480"/>
              <w:rPr>
                <w:highlight w:val="none"/>
              </w:rPr>
            </w:pPr>
            <w:r>
              <w:rPr>
                <w:rFonts w:hint="eastAsia"/>
                <w:highlight w:val="none"/>
              </w:rPr>
              <w:t>滚齿：滚齿在数控滚齿机（高速运转）封闭的机箱内运行，顶部集气口连接集气管道。据企业提供资料，数控滚齿机（高速运转）风量为1900</w:t>
            </w:r>
            <w:r>
              <w:rPr>
                <w:highlight w:val="none"/>
              </w:rPr>
              <w:t>m</w:t>
            </w:r>
            <w:r>
              <w:rPr>
                <w:highlight w:val="none"/>
                <w:vertAlign w:val="superscript"/>
              </w:rPr>
              <w:t>3</w:t>
            </w:r>
            <w:r>
              <w:rPr>
                <w:highlight w:val="none"/>
              </w:rPr>
              <w:t>/h</w:t>
            </w:r>
            <w:r>
              <w:rPr>
                <w:rFonts w:hint="eastAsia"/>
                <w:highlight w:val="none"/>
              </w:rPr>
              <w:t>，</w:t>
            </w:r>
            <w:r>
              <w:rPr>
                <w:rFonts w:hint="eastAsia"/>
                <w:highlight w:val="none"/>
                <w:lang w:val="en-US" w:eastAsia="zh-CN"/>
              </w:rPr>
              <w:t>经过自带净化器处理后车间内无组织排放</w:t>
            </w:r>
            <w:r>
              <w:rPr>
                <w:rFonts w:hint="eastAsia"/>
                <w:highlight w:val="none"/>
              </w:rPr>
              <w:t>。</w:t>
            </w:r>
          </w:p>
          <w:p w14:paraId="6844E3F1">
            <w:pPr>
              <w:widowControl/>
              <w:numPr>
                <w:ilvl w:val="0"/>
                <w:numId w:val="16"/>
              </w:numPr>
              <w:ind w:firstLine="480"/>
              <w:rPr>
                <w:highlight w:val="none"/>
              </w:rPr>
            </w:pPr>
            <w:r>
              <w:rPr>
                <w:rFonts w:hint="eastAsia"/>
                <w:highlight w:val="none"/>
              </w:rPr>
              <w:t>渗碳：根据渗碳淬火工艺可知，渗碳淬火在同一个渗碳多用炉内进行，挂件用时0.25h，渗碳用时7.5h，淬火用时0.5h，一炉最大承载量650kg，热处理年运行时间7200h，2台渗碳多用炉，则实际渗碳1744炉，渗碳工件1133.6t/a，其余为外协。参照《排放源统计调查产排污核算方法和系数手册》中36汽车制造业行业系数手册，渗碳工序挥发性有机物产的排污系数为0.01kg/t-产品，废气治理率90%。挥发性有机物未治理量为1.1336</w:t>
            </w:r>
            <w:r>
              <w:rPr>
                <w:rFonts w:ascii="Arial" w:hAnsi="Arial" w:cs="Arial"/>
                <w:highlight w:val="none"/>
              </w:rPr>
              <w:t>×</w:t>
            </w:r>
            <w:r>
              <w:rPr>
                <w:rFonts w:hint="eastAsia"/>
                <w:highlight w:val="none"/>
              </w:rPr>
              <w:t>10</w:t>
            </w:r>
            <w:r>
              <w:rPr>
                <w:rFonts w:hint="eastAsia"/>
                <w:highlight w:val="none"/>
                <w:vertAlign w:val="superscript"/>
              </w:rPr>
              <w:t>-3</w:t>
            </w:r>
            <w:r>
              <w:rPr>
                <w:rFonts w:hint="eastAsia"/>
                <w:highlight w:val="none"/>
              </w:rPr>
              <w:t>t/a，经车间沉降50%后，排放量为0.5668</w:t>
            </w:r>
            <w:r>
              <w:rPr>
                <w:rFonts w:ascii="Arial" w:hAnsi="Arial" w:cs="Arial"/>
                <w:highlight w:val="none"/>
              </w:rPr>
              <w:t>×</w:t>
            </w:r>
            <w:r>
              <w:rPr>
                <w:rFonts w:hint="eastAsia"/>
                <w:highlight w:val="none"/>
              </w:rPr>
              <w:t>10</w:t>
            </w:r>
            <w:r>
              <w:rPr>
                <w:rFonts w:hint="eastAsia"/>
                <w:highlight w:val="none"/>
                <w:vertAlign w:val="superscript"/>
              </w:rPr>
              <w:t>-3</w:t>
            </w:r>
            <w:r>
              <w:rPr>
                <w:rFonts w:hint="eastAsia"/>
                <w:highlight w:val="none"/>
              </w:rPr>
              <w:t>t/a，排放速率为8.7</w:t>
            </w:r>
            <w:r>
              <w:rPr>
                <w:rFonts w:ascii="Arial" w:hAnsi="Arial" w:cs="Arial"/>
                <w:highlight w:val="none"/>
              </w:rPr>
              <w:t>×</w:t>
            </w:r>
            <w:r>
              <w:rPr>
                <w:rFonts w:hint="eastAsia"/>
                <w:highlight w:val="none"/>
              </w:rPr>
              <w:t>10</w:t>
            </w:r>
            <w:r>
              <w:rPr>
                <w:rFonts w:hint="eastAsia"/>
                <w:highlight w:val="none"/>
                <w:vertAlign w:val="superscript"/>
              </w:rPr>
              <w:t>-3</w:t>
            </w:r>
            <w:r>
              <w:rPr>
                <w:rFonts w:hint="eastAsia"/>
                <w:color w:val="000000"/>
                <w:highlight w:val="none"/>
              </w:rPr>
              <w:t>kg/h；</w:t>
            </w:r>
          </w:p>
          <w:p w14:paraId="70769786">
            <w:pPr>
              <w:widowControl/>
              <w:numPr>
                <w:ilvl w:val="0"/>
                <w:numId w:val="16"/>
              </w:numPr>
              <w:ind w:firstLine="480"/>
              <w:rPr>
                <w:highlight w:val="none"/>
              </w:rPr>
            </w:pPr>
            <w:r>
              <w:rPr>
                <w:rFonts w:hint="eastAsia"/>
                <w:color w:val="000000"/>
                <w:highlight w:val="none"/>
              </w:rPr>
              <w:t>淬火/回火过程</w:t>
            </w:r>
            <w:r>
              <w:rPr>
                <w:rFonts w:hint="eastAsia"/>
                <w:highlight w:val="none"/>
              </w:rPr>
              <w:t>挥发性有机物（以非甲烷总烃代）无组织排放量为1.9</w:t>
            </w:r>
            <w:r>
              <w:rPr>
                <w:rFonts w:ascii="Arial" w:hAnsi="Arial" w:cs="Arial"/>
                <w:highlight w:val="none"/>
              </w:rPr>
              <w:t>×</w:t>
            </w:r>
            <w:r>
              <w:rPr>
                <w:rFonts w:hint="eastAsia"/>
                <w:highlight w:val="none"/>
              </w:rPr>
              <w:t>10</w:t>
            </w:r>
            <w:r>
              <w:rPr>
                <w:rFonts w:hint="eastAsia"/>
                <w:highlight w:val="none"/>
                <w:vertAlign w:val="superscript"/>
              </w:rPr>
              <w:t>-6</w:t>
            </w:r>
            <w:r>
              <w:rPr>
                <w:rFonts w:hint="eastAsia"/>
                <w:highlight w:val="none"/>
              </w:rPr>
              <w:t>t/a，排放速率为1.1904</w:t>
            </w:r>
            <w:r>
              <w:rPr>
                <w:rFonts w:ascii="Arial" w:hAnsi="Arial" w:cs="Arial"/>
                <w:highlight w:val="none"/>
              </w:rPr>
              <w:t>×</w:t>
            </w:r>
            <w:r>
              <w:rPr>
                <w:rFonts w:hint="eastAsia"/>
                <w:highlight w:val="none"/>
              </w:rPr>
              <w:t>10</w:t>
            </w:r>
            <w:r>
              <w:rPr>
                <w:rFonts w:hint="eastAsia"/>
                <w:highlight w:val="none"/>
                <w:vertAlign w:val="superscript"/>
              </w:rPr>
              <w:t>-6</w:t>
            </w:r>
            <w:r>
              <w:rPr>
                <w:rFonts w:hint="eastAsia"/>
                <w:color w:val="000000"/>
                <w:highlight w:val="none"/>
              </w:rPr>
              <w:t>kg/h，淬火/回火过程</w:t>
            </w:r>
            <w:r>
              <w:rPr>
                <w:rFonts w:hint="eastAsia"/>
                <w:highlight w:val="none"/>
              </w:rPr>
              <w:t>油雾未捕集量为0.038t/a，经车间沉降50%后，排放量为0.019t/a，排放速率为0.0119</w:t>
            </w:r>
            <w:r>
              <w:rPr>
                <w:rFonts w:hint="eastAsia"/>
                <w:color w:val="000000"/>
                <w:highlight w:val="none"/>
              </w:rPr>
              <w:t>kg/h。</w:t>
            </w:r>
          </w:p>
          <w:p w14:paraId="27CE24A3">
            <w:pPr>
              <w:widowControl/>
              <w:numPr>
                <w:ilvl w:val="0"/>
                <w:numId w:val="16"/>
              </w:numPr>
              <w:ind w:firstLine="480"/>
              <w:rPr>
                <w:highlight w:val="none"/>
              </w:rPr>
            </w:pPr>
            <w:r>
              <w:rPr>
                <w:rFonts w:hint="eastAsia"/>
                <w:highlight w:val="none"/>
              </w:rPr>
              <w:t>抛丸过程颗粒物未捕集量为0.0438t/a，经车间沉降50%后，排放量为0.0219t/a，排放速率为0.0110</w:t>
            </w:r>
            <w:r>
              <w:rPr>
                <w:rFonts w:hint="eastAsia"/>
                <w:color w:val="000000"/>
                <w:highlight w:val="none"/>
              </w:rPr>
              <w:t>kg/h；</w:t>
            </w:r>
          </w:p>
          <w:p w14:paraId="1DAAE1A4">
            <w:pPr>
              <w:widowControl/>
              <w:ind w:firstLine="480"/>
            </w:pPr>
            <w:r>
              <w:t>经AERSCREEN预测</w:t>
            </w:r>
            <w:r>
              <w:rPr>
                <w:rFonts w:hint="eastAsia"/>
              </w:rPr>
              <w:t>，颗粒物厂界浓度范围为2.23</w:t>
            </w:r>
            <w:r>
              <w:t>μ</w:t>
            </w:r>
            <w:r>
              <w:rPr>
                <w:rFonts w:hint="eastAsia"/>
              </w:rPr>
              <w:t>g/m</w:t>
            </w:r>
            <w:r>
              <w:rPr>
                <w:rFonts w:hint="eastAsia"/>
                <w:vertAlign w:val="superscript"/>
              </w:rPr>
              <w:t>3</w:t>
            </w:r>
            <w:r>
              <w:rPr>
                <w:rFonts w:hint="eastAsia"/>
              </w:rPr>
              <w:t>～3.55</w:t>
            </w:r>
            <w:r>
              <w:t>μ</w:t>
            </w:r>
            <w:r>
              <w:rPr>
                <w:rFonts w:hint="eastAsia"/>
              </w:rPr>
              <w:t>g/m</w:t>
            </w:r>
            <w:r>
              <w:rPr>
                <w:rFonts w:hint="eastAsia"/>
                <w:vertAlign w:val="superscript"/>
              </w:rPr>
              <w:t>3</w:t>
            </w:r>
            <w:r>
              <w:rPr>
                <w:rFonts w:hint="eastAsia"/>
              </w:rPr>
              <w:t>，满足《大气污染物综合排放标准》（</w:t>
            </w:r>
            <w:r>
              <w:t>GB16297-1996</w:t>
            </w:r>
            <w:r>
              <w:rPr>
                <w:rFonts w:hint="eastAsia"/>
              </w:rPr>
              <w:t>）表</w:t>
            </w:r>
            <w:r>
              <w:t>2</w:t>
            </w:r>
            <w:r>
              <w:rPr>
                <w:rFonts w:hint="eastAsia"/>
              </w:rPr>
              <w:t>中颗粒物无组织排放浓度限值1.0</w:t>
            </w:r>
            <w:r>
              <w:t>mg/m</w:t>
            </w:r>
            <w:r>
              <w:rPr>
                <w:vertAlign w:val="superscript"/>
              </w:rPr>
              <w:t>3</w:t>
            </w:r>
            <w:r>
              <w:rPr>
                <w:rFonts w:hint="eastAsia"/>
              </w:rPr>
              <w:t>的要求；非甲烷总烃厂界浓度范围为1.17</w:t>
            </w:r>
            <w:r>
              <w:t>μ</w:t>
            </w:r>
            <w:r>
              <w:rPr>
                <w:rFonts w:hint="eastAsia"/>
              </w:rPr>
              <w:t>g/m</w:t>
            </w:r>
            <w:r>
              <w:rPr>
                <w:rFonts w:hint="eastAsia"/>
                <w:vertAlign w:val="superscript"/>
              </w:rPr>
              <w:t>3</w:t>
            </w:r>
            <w:r>
              <w:rPr>
                <w:rFonts w:hint="eastAsia"/>
              </w:rPr>
              <w:t>～1.59</w:t>
            </w:r>
            <w:r>
              <w:t>μ</w:t>
            </w:r>
            <w:r>
              <w:rPr>
                <w:rFonts w:hint="eastAsia"/>
              </w:rPr>
              <w:t>g/m</w:t>
            </w:r>
            <w:r>
              <w:rPr>
                <w:rFonts w:hint="eastAsia"/>
                <w:vertAlign w:val="superscript"/>
              </w:rPr>
              <w:t>3</w:t>
            </w:r>
            <w:r>
              <w:rPr>
                <w:rFonts w:hint="eastAsia"/>
              </w:rPr>
              <w:t>，满足</w:t>
            </w:r>
            <w:r>
              <w:t>《工业企业挥发性有机物排放控制标准》（DB13/2322-2016）表2企业边界大气污染物浓度限值中其他企业：</w:t>
            </w:r>
            <w:r>
              <w:rPr>
                <w:rFonts w:hint="eastAsia"/>
              </w:rPr>
              <w:t>非甲烷总烃</w:t>
            </w:r>
            <w:r>
              <w:t>2.0mg/m</w:t>
            </w:r>
            <w:r>
              <w:rPr>
                <w:vertAlign w:val="superscript"/>
              </w:rPr>
              <w:t>3</w:t>
            </w:r>
            <w:r>
              <w:t>的要求</w:t>
            </w:r>
            <w:r>
              <w:rPr>
                <w:rFonts w:hint="eastAsia"/>
              </w:rPr>
              <w:t>。</w:t>
            </w:r>
          </w:p>
          <w:p w14:paraId="4325059A">
            <w:pPr>
              <w:ind w:firstLine="480"/>
              <w:rPr>
                <w:color w:val="0070C0"/>
              </w:rPr>
            </w:pPr>
            <w:r>
              <w:rPr>
                <w:rFonts w:hint="eastAsia"/>
              </w:rPr>
              <w:t>3、达标情况分析</w:t>
            </w:r>
          </w:p>
          <w:p w14:paraId="6859BA57">
            <w:pPr>
              <w:widowControl/>
              <w:ind w:firstLine="480"/>
              <w:rPr>
                <w:highlight w:val="none"/>
              </w:rPr>
            </w:pPr>
            <w:r>
              <w:rPr>
                <w:rFonts w:hint="eastAsia"/>
              </w:rPr>
              <w:t>经核算分析，渗碳产生的废气通过渗</w:t>
            </w:r>
            <w:r>
              <w:rPr>
                <w:rFonts w:hint="eastAsia"/>
                <w:highlight w:val="none"/>
              </w:rPr>
              <w:t>碳多用炉防爆口设置环形燃烧器（渗碳多用炉自带）燃烧处理后无组织排放；淬火/回火废气经</w:t>
            </w:r>
            <w:r>
              <w:rPr>
                <w:rFonts w:hint="eastAsia"/>
                <w:color w:val="000000"/>
                <w:kern w:val="0"/>
                <w:highlight w:val="none"/>
              </w:rPr>
              <w:t>1套</w:t>
            </w:r>
            <w:r>
              <w:rPr>
                <w:rFonts w:hint="eastAsia"/>
                <w:kern w:val="0"/>
                <w:highlight w:val="none"/>
              </w:rPr>
              <w:t>静电式油烟净化器+活性炭装置</w:t>
            </w:r>
            <w:r>
              <w:rPr>
                <w:rFonts w:hint="eastAsia"/>
                <w:highlight w:val="none"/>
              </w:rPr>
              <w:t>处理后通过一根15m高排气筒排放；抛丸产生的颗粒物，进入一台脉冲布袋除尘器处理后经一根15m高排气筒排放。</w:t>
            </w:r>
          </w:p>
          <w:p w14:paraId="401D54AD">
            <w:pPr>
              <w:widowControl/>
              <w:ind w:firstLine="480"/>
              <w:rPr>
                <w:highlight w:val="none"/>
              </w:rPr>
            </w:pPr>
            <w:r>
              <w:rPr>
                <w:rFonts w:hint="eastAsia"/>
                <w:highlight w:val="none"/>
              </w:rPr>
              <w:t>根据相关文件可知，企业采用符合国家有关低VOC</w:t>
            </w:r>
            <w:r>
              <w:rPr>
                <w:rFonts w:hint="eastAsia"/>
                <w:highlight w:val="none"/>
                <w:vertAlign w:val="subscript"/>
              </w:rPr>
              <w:t>S</w:t>
            </w:r>
            <w:r>
              <w:rPr>
                <w:rFonts w:hint="eastAsia"/>
                <w:highlight w:val="none"/>
              </w:rPr>
              <w:t>含量产品规定的涂料、油墨、胶粘剂等，排放浓度稳定达标且排放速率、排放绩效等满足相关规定的，相应生产工序可不要求建设末端治理设施。本项目非甲烷总烃排放量较小，排放浓度稳定达标且排放速率、排放绩效等满足相关规定的，可以不做处理，但本项目从提升环保考虑，增加活性炭，减少了非甲烷总烃的排放。</w:t>
            </w:r>
          </w:p>
          <w:p w14:paraId="4A7D4CA9">
            <w:pPr>
              <w:widowControl/>
              <w:ind w:firstLine="480"/>
            </w:pPr>
            <w:r>
              <w:rPr>
                <w:rFonts w:hint="eastAsia"/>
                <w:color w:val="000000"/>
              </w:rPr>
              <w:t>有组织非甲烷总烃排放浓度满足</w:t>
            </w:r>
            <w:r>
              <w:t>《工业企业挥发性有机物排放控制标准》（DB13/2322-2016）表1中</w:t>
            </w:r>
            <w:r>
              <w:rPr>
                <w:rFonts w:hint="eastAsia"/>
              </w:rPr>
              <w:t>非甲烷总烃最高允许有组织排放浓度70</w:t>
            </w:r>
            <w:r>
              <w:t>mg/m</w:t>
            </w:r>
            <w:r>
              <w:rPr>
                <w:vertAlign w:val="superscript"/>
              </w:rPr>
              <w:t>3</w:t>
            </w:r>
            <w:r>
              <w:rPr>
                <w:rFonts w:hint="eastAsia"/>
              </w:rPr>
              <w:t>，排气筒高度不低于15m，且高于200m范围内最高建筑物5m的要求。</w:t>
            </w:r>
            <w:r>
              <w:t>非甲烷总烃无组织排放浓度满足《工业企业挥发性有机物排放控制标准》（DB13/2322-2016）表2企业边界大气污染物浓度限值中其他企业：</w:t>
            </w:r>
            <w:r>
              <w:rPr>
                <w:rFonts w:hint="eastAsia"/>
              </w:rPr>
              <w:t>非甲烷总烃</w:t>
            </w:r>
            <w:r>
              <w:t>2.0mg/m</w:t>
            </w:r>
            <w:r>
              <w:rPr>
                <w:vertAlign w:val="superscript"/>
              </w:rPr>
              <w:t>3</w:t>
            </w:r>
            <w:r>
              <w:t>的要求</w:t>
            </w:r>
            <w:r>
              <w:rPr>
                <w:rFonts w:hint="eastAsia"/>
              </w:rPr>
              <w:t>；表3中生产车间或生产设备边界大气污染物浓度限值：非甲烷总烃4</w:t>
            </w:r>
            <w:r>
              <w:t>.0mg/m</w:t>
            </w:r>
            <w:r>
              <w:rPr>
                <w:vertAlign w:val="superscript"/>
              </w:rPr>
              <w:t>3</w:t>
            </w:r>
            <w:r>
              <w:t>的要求</w:t>
            </w:r>
            <w:r>
              <w:rPr>
                <w:rFonts w:hint="eastAsia"/>
              </w:rPr>
              <w:t>，同时满足《挥发性有机物无组织排放控制标准》（GB37822-2019）附录A表A.1 厂区内VOC</w:t>
            </w:r>
            <w:r>
              <w:rPr>
                <w:rFonts w:hint="eastAsia"/>
                <w:vertAlign w:val="subscript"/>
              </w:rPr>
              <w:t>S</w:t>
            </w:r>
            <w:r>
              <w:rPr>
                <w:rFonts w:hint="eastAsia"/>
              </w:rPr>
              <w:t>无组织排放限值中厂房外监控点1h平均浓度限值：非甲烷总烃6mg</w:t>
            </w:r>
            <w:r>
              <w:t>/m</w:t>
            </w:r>
            <w:r>
              <w:rPr>
                <w:vertAlign w:val="superscript"/>
              </w:rPr>
              <w:t>3</w:t>
            </w:r>
            <w:r>
              <w:rPr>
                <w:rFonts w:hint="eastAsia"/>
              </w:rPr>
              <w:t>，任意一次浓度限值：非甲烷总烃20mg</w:t>
            </w:r>
            <w:r>
              <w:t>/m</w:t>
            </w:r>
            <w:r>
              <w:rPr>
                <w:vertAlign w:val="superscript"/>
              </w:rPr>
              <w:t>3</w:t>
            </w:r>
            <w:r>
              <w:rPr>
                <w:rFonts w:hint="eastAsia"/>
              </w:rPr>
              <w:t>的要求。颗粒物有组织排放浓度满足《钢铁工业大气污染物超低排放标准》（DB13/2169-2018）表1颗粒物排放限值：10mg/m</w:t>
            </w:r>
            <w:r>
              <w:rPr>
                <w:rFonts w:hint="eastAsia"/>
                <w:vertAlign w:val="superscript"/>
              </w:rPr>
              <w:t>3</w:t>
            </w:r>
            <w:r>
              <w:t>的要求</w:t>
            </w:r>
            <w:r>
              <w:rPr>
                <w:rFonts w:hint="eastAsia"/>
              </w:rPr>
              <w:t>。颗粒物无组织排放浓度满足《大气污染物综合排放标准》（</w:t>
            </w:r>
            <w:r>
              <w:t>GB16297-1996</w:t>
            </w:r>
            <w:r>
              <w:rPr>
                <w:rFonts w:hint="eastAsia"/>
              </w:rPr>
              <w:t>）表</w:t>
            </w:r>
            <w:r>
              <w:t>2</w:t>
            </w:r>
            <w:r>
              <w:rPr>
                <w:rFonts w:hint="eastAsia"/>
              </w:rPr>
              <w:t>中颗粒物无组织排放浓度限值1.0</w:t>
            </w:r>
            <w:r>
              <w:t>mg/m</w:t>
            </w:r>
            <w:r>
              <w:rPr>
                <w:vertAlign w:val="superscript"/>
              </w:rPr>
              <w:t>3</w:t>
            </w:r>
            <w:r>
              <w:rPr>
                <w:rFonts w:hint="eastAsia"/>
              </w:rPr>
              <w:t>的要求，车间无组织满足《钢铁工业大气污染物超低排放标准》（DB13/2169-2018）表5企业大气污染物无组织排放浓度限值有厂房车间8mg/m</w:t>
            </w:r>
            <w:r>
              <w:rPr>
                <w:rFonts w:hint="eastAsia"/>
                <w:vertAlign w:val="superscript"/>
              </w:rPr>
              <w:t>3</w:t>
            </w:r>
            <w:r>
              <w:rPr>
                <w:rFonts w:hint="eastAsia"/>
              </w:rPr>
              <w:t>的要求</w:t>
            </w:r>
            <w:r>
              <w:t>。</w:t>
            </w:r>
            <w:r>
              <w:rPr>
                <w:rFonts w:hint="eastAsia"/>
              </w:rPr>
              <w:t>油雾有组织排放浓度满足《钢铁工业大气污染物超低排放标准》（DB13/2169-2018）表4油雾排放限值：20mg/m</w:t>
            </w:r>
            <w:r>
              <w:rPr>
                <w:rFonts w:hint="eastAsia"/>
                <w:vertAlign w:val="superscript"/>
              </w:rPr>
              <w:t>3</w:t>
            </w:r>
            <w:r>
              <w:t>的要求</w:t>
            </w:r>
            <w:r>
              <w:rPr>
                <w:rFonts w:hint="eastAsia"/>
              </w:rPr>
              <w:t>。</w:t>
            </w:r>
          </w:p>
          <w:p w14:paraId="02C943CF">
            <w:pPr>
              <w:widowControl/>
              <w:ind w:firstLine="480"/>
            </w:pPr>
            <w:r>
              <w:rPr>
                <w:rFonts w:hint="eastAsia"/>
              </w:rPr>
              <w:t>4、非正常情况分析</w:t>
            </w:r>
          </w:p>
          <w:p w14:paraId="68982AEC">
            <w:pPr>
              <w:ind w:firstLine="480"/>
            </w:pPr>
            <w:r>
              <w:rPr>
                <w:rFonts w:hint="eastAsia"/>
              </w:rPr>
              <w:t>本项目废气非正常工况为废气治理设施非正常运行导致处理失效，颗粒物、挥发性有机物（以非甲烷总烃代）、油雾未经收集、处理直接排放。</w:t>
            </w:r>
          </w:p>
          <w:p w14:paraId="23F4C3BE">
            <w:pPr>
              <w:ind w:firstLine="480"/>
            </w:pPr>
            <w:r>
              <w:rPr>
                <w:rFonts w:hint="eastAsia"/>
              </w:rPr>
              <w:t>废气治理设施如果出现事故，废气污染物将按产生浓度、速率排放，60分钟内可采取有效措施，修复或停产，可有效避免污染物非正常排放。考虑最不利条件，即废气治理设施失效，则颗粒物产生速率见表4-5。</w:t>
            </w:r>
          </w:p>
          <w:p w14:paraId="30EF7BFF">
            <w:pPr>
              <w:pStyle w:val="36"/>
              <w:rPr>
                <w:sz w:val="21"/>
                <w:szCs w:val="21"/>
              </w:rPr>
            </w:pPr>
            <w:r>
              <w:rPr>
                <w:sz w:val="21"/>
                <w:szCs w:val="21"/>
              </w:rPr>
              <w:t>表</w:t>
            </w:r>
            <w:r>
              <w:rPr>
                <w:rFonts w:hint="eastAsia"/>
                <w:sz w:val="21"/>
                <w:szCs w:val="21"/>
              </w:rPr>
              <w:t>4-5</w:t>
            </w:r>
            <w:r>
              <w:rPr>
                <w:sz w:val="21"/>
                <w:szCs w:val="21"/>
              </w:rPr>
              <w:t xml:space="preserve">  污染源非正常排放量核算表（处理效率按50%计）</w:t>
            </w:r>
          </w:p>
          <w:tbl>
            <w:tblPr>
              <w:tblStyle w:val="22"/>
              <w:tblW w:w="83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94"/>
              <w:gridCol w:w="900"/>
              <w:gridCol w:w="1065"/>
              <w:gridCol w:w="1125"/>
              <w:gridCol w:w="1440"/>
              <w:gridCol w:w="1395"/>
              <w:gridCol w:w="945"/>
              <w:gridCol w:w="863"/>
            </w:tblGrid>
            <w:tr w14:paraId="2F1424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4" w:type="dxa"/>
                  <w:tcBorders>
                    <w:tl2br w:val="nil"/>
                    <w:tr2bl w:val="nil"/>
                  </w:tcBorders>
                  <w:vAlign w:val="center"/>
                </w:tcPr>
                <w:p w14:paraId="523A88CA">
                  <w:pPr>
                    <w:spacing w:line="240" w:lineRule="auto"/>
                    <w:ind w:firstLine="0" w:firstLineChars="0"/>
                    <w:jc w:val="center"/>
                    <w:rPr>
                      <w:bCs/>
                      <w:sz w:val="21"/>
                      <w:szCs w:val="21"/>
                    </w:rPr>
                  </w:pPr>
                  <w:r>
                    <w:rPr>
                      <w:bCs/>
                      <w:sz w:val="21"/>
                      <w:szCs w:val="21"/>
                    </w:rPr>
                    <w:t>序号</w:t>
                  </w:r>
                </w:p>
              </w:tc>
              <w:tc>
                <w:tcPr>
                  <w:tcW w:w="900" w:type="dxa"/>
                  <w:tcBorders>
                    <w:tl2br w:val="nil"/>
                    <w:tr2bl w:val="nil"/>
                  </w:tcBorders>
                  <w:vAlign w:val="center"/>
                </w:tcPr>
                <w:p w14:paraId="495D70B3">
                  <w:pPr>
                    <w:spacing w:line="240" w:lineRule="auto"/>
                    <w:ind w:firstLine="0" w:firstLineChars="0"/>
                    <w:jc w:val="center"/>
                    <w:rPr>
                      <w:bCs/>
                      <w:sz w:val="21"/>
                      <w:szCs w:val="21"/>
                    </w:rPr>
                  </w:pPr>
                  <w:r>
                    <w:rPr>
                      <w:bCs/>
                      <w:sz w:val="21"/>
                      <w:szCs w:val="21"/>
                    </w:rPr>
                    <w:t>污染源</w:t>
                  </w:r>
                </w:p>
              </w:tc>
              <w:tc>
                <w:tcPr>
                  <w:tcW w:w="1065" w:type="dxa"/>
                  <w:tcBorders>
                    <w:tl2br w:val="nil"/>
                    <w:tr2bl w:val="nil"/>
                  </w:tcBorders>
                  <w:vAlign w:val="center"/>
                </w:tcPr>
                <w:p w14:paraId="380C8DA0">
                  <w:pPr>
                    <w:spacing w:line="240" w:lineRule="auto"/>
                    <w:ind w:firstLine="0" w:firstLineChars="0"/>
                    <w:jc w:val="center"/>
                    <w:rPr>
                      <w:bCs/>
                      <w:sz w:val="21"/>
                      <w:szCs w:val="21"/>
                    </w:rPr>
                  </w:pPr>
                  <w:r>
                    <w:rPr>
                      <w:bCs/>
                      <w:sz w:val="21"/>
                      <w:szCs w:val="21"/>
                    </w:rPr>
                    <w:t>非正常排放原因</w:t>
                  </w:r>
                </w:p>
              </w:tc>
              <w:tc>
                <w:tcPr>
                  <w:tcW w:w="1125" w:type="dxa"/>
                  <w:tcBorders>
                    <w:tl2br w:val="nil"/>
                    <w:tr2bl w:val="nil"/>
                  </w:tcBorders>
                  <w:vAlign w:val="center"/>
                </w:tcPr>
                <w:p w14:paraId="73651730">
                  <w:pPr>
                    <w:spacing w:line="240" w:lineRule="auto"/>
                    <w:ind w:firstLine="0" w:firstLineChars="0"/>
                    <w:jc w:val="center"/>
                    <w:rPr>
                      <w:bCs/>
                      <w:sz w:val="21"/>
                      <w:szCs w:val="21"/>
                    </w:rPr>
                  </w:pPr>
                  <w:r>
                    <w:rPr>
                      <w:bCs/>
                      <w:sz w:val="21"/>
                      <w:szCs w:val="21"/>
                    </w:rPr>
                    <w:t>污染物</w:t>
                  </w:r>
                </w:p>
              </w:tc>
              <w:tc>
                <w:tcPr>
                  <w:tcW w:w="1440" w:type="dxa"/>
                  <w:tcBorders>
                    <w:tl2br w:val="nil"/>
                    <w:tr2bl w:val="nil"/>
                  </w:tcBorders>
                  <w:vAlign w:val="center"/>
                </w:tcPr>
                <w:p w14:paraId="3994C13C">
                  <w:pPr>
                    <w:spacing w:line="240" w:lineRule="auto"/>
                    <w:ind w:firstLine="0" w:firstLineChars="0"/>
                    <w:jc w:val="center"/>
                    <w:rPr>
                      <w:bCs/>
                      <w:sz w:val="21"/>
                      <w:szCs w:val="21"/>
                    </w:rPr>
                  </w:pPr>
                  <w:r>
                    <w:rPr>
                      <w:bCs/>
                      <w:sz w:val="21"/>
                      <w:szCs w:val="21"/>
                    </w:rPr>
                    <w:t>非正常排放浓度（mg/m</w:t>
                  </w:r>
                  <w:r>
                    <w:rPr>
                      <w:bCs/>
                      <w:sz w:val="21"/>
                      <w:szCs w:val="21"/>
                      <w:vertAlign w:val="superscript"/>
                    </w:rPr>
                    <w:t>3</w:t>
                  </w:r>
                  <w:r>
                    <w:rPr>
                      <w:bCs/>
                      <w:sz w:val="21"/>
                      <w:szCs w:val="21"/>
                    </w:rPr>
                    <w:t>）</w:t>
                  </w:r>
                </w:p>
              </w:tc>
              <w:tc>
                <w:tcPr>
                  <w:tcW w:w="1395" w:type="dxa"/>
                  <w:tcBorders>
                    <w:tl2br w:val="nil"/>
                    <w:tr2bl w:val="nil"/>
                  </w:tcBorders>
                  <w:vAlign w:val="center"/>
                </w:tcPr>
                <w:p w14:paraId="4CB2A410">
                  <w:pPr>
                    <w:spacing w:line="240" w:lineRule="auto"/>
                    <w:ind w:firstLine="0" w:firstLineChars="0"/>
                    <w:jc w:val="center"/>
                    <w:rPr>
                      <w:bCs/>
                      <w:sz w:val="21"/>
                      <w:szCs w:val="21"/>
                    </w:rPr>
                  </w:pPr>
                  <w:r>
                    <w:rPr>
                      <w:bCs/>
                      <w:sz w:val="21"/>
                      <w:szCs w:val="21"/>
                    </w:rPr>
                    <w:t>非正常排放速率/(kg/h)</w:t>
                  </w:r>
                </w:p>
              </w:tc>
              <w:tc>
                <w:tcPr>
                  <w:tcW w:w="945" w:type="dxa"/>
                  <w:tcBorders>
                    <w:tl2br w:val="nil"/>
                    <w:tr2bl w:val="nil"/>
                  </w:tcBorders>
                  <w:vAlign w:val="center"/>
                </w:tcPr>
                <w:p w14:paraId="4CE3742D">
                  <w:pPr>
                    <w:spacing w:line="240" w:lineRule="auto"/>
                    <w:ind w:firstLine="0" w:firstLineChars="0"/>
                    <w:jc w:val="center"/>
                    <w:rPr>
                      <w:bCs/>
                      <w:sz w:val="21"/>
                      <w:szCs w:val="21"/>
                    </w:rPr>
                  </w:pPr>
                  <w:r>
                    <w:rPr>
                      <w:bCs/>
                      <w:sz w:val="21"/>
                      <w:szCs w:val="21"/>
                    </w:rPr>
                    <w:t>单次持续时间/h</w:t>
                  </w:r>
                </w:p>
              </w:tc>
              <w:tc>
                <w:tcPr>
                  <w:tcW w:w="863" w:type="dxa"/>
                  <w:tcBorders>
                    <w:tl2br w:val="nil"/>
                    <w:tr2bl w:val="nil"/>
                  </w:tcBorders>
                  <w:vAlign w:val="center"/>
                </w:tcPr>
                <w:p w14:paraId="309BAE8D">
                  <w:pPr>
                    <w:spacing w:line="240" w:lineRule="auto"/>
                    <w:ind w:firstLine="0" w:firstLineChars="0"/>
                    <w:jc w:val="center"/>
                    <w:rPr>
                      <w:bCs/>
                      <w:sz w:val="21"/>
                      <w:szCs w:val="21"/>
                    </w:rPr>
                  </w:pPr>
                  <w:r>
                    <w:rPr>
                      <w:bCs/>
                      <w:sz w:val="21"/>
                      <w:szCs w:val="21"/>
                    </w:rPr>
                    <w:t>发生频次/次</w:t>
                  </w:r>
                </w:p>
              </w:tc>
            </w:tr>
            <w:tr w14:paraId="6B76F9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4" w:type="dxa"/>
                  <w:vMerge w:val="restart"/>
                  <w:tcBorders>
                    <w:tl2br w:val="nil"/>
                    <w:tr2bl w:val="nil"/>
                  </w:tcBorders>
                  <w:vAlign w:val="center"/>
                </w:tcPr>
                <w:p w14:paraId="3AA6D8A7">
                  <w:pPr>
                    <w:spacing w:line="240" w:lineRule="auto"/>
                    <w:ind w:firstLine="0" w:firstLineChars="0"/>
                    <w:jc w:val="center"/>
                    <w:rPr>
                      <w:bCs/>
                      <w:sz w:val="21"/>
                      <w:szCs w:val="21"/>
                    </w:rPr>
                  </w:pPr>
                  <w:r>
                    <w:rPr>
                      <w:rFonts w:hint="eastAsia"/>
                      <w:bCs/>
                      <w:sz w:val="21"/>
                      <w:szCs w:val="21"/>
                    </w:rPr>
                    <w:t>1</w:t>
                  </w:r>
                </w:p>
              </w:tc>
              <w:tc>
                <w:tcPr>
                  <w:tcW w:w="900" w:type="dxa"/>
                  <w:vMerge w:val="restart"/>
                  <w:tcBorders>
                    <w:tl2br w:val="nil"/>
                    <w:tr2bl w:val="nil"/>
                  </w:tcBorders>
                  <w:vAlign w:val="center"/>
                </w:tcPr>
                <w:p w14:paraId="142370EF">
                  <w:pPr>
                    <w:spacing w:line="240" w:lineRule="auto"/>
                    <w:ind w:firstLine="0" w:firstLineChars="0"/>
                    <w:jc w:val="center"/>
                    <w:rPr>
                      <w:bCs/>
                      <w:sz w:val="21"/>
                      <w:szCs w:val="21"/>
                    </w:rPr>
                  </w:pPr>
                  <w:r>
                    <w:rPr>
                      <w:bCs/>
                      <w:sz w:val="21"/>
                      <w:szCs w:val="21"/>
                    </w:rPr>
                    <w:t>DA00</w:t>
                  </w:r>
                  <w:r>
                    <w:rPr>
                      <w:rFonts w:hint="eastAsia"/>
                      <w:bCs/>
                      <w:sz w:val="21"/>
                      <w:szCs w:val="21"/>
                    </w:rPr>
                    <w:t>1</w:t>
                  </w:r>
                </w:p>
              </w:tc>
              <w:tc>
                <w:tcPr>
                  <w:tcW w:w="1065" w:type="dxa"/>
                  <w:vMerge w:val="restart"/>
                  <w:tcBorders>
                    <w:tl2br w:val="nil"/>
                    <w:tr2bl w:val="nil"/>
                  </w:tcBorders>
                  <w:vAlign w:val="center"/>
                </w:tcPr>
                <w:p w14:paraId="4E434B66">
                  <w:pPr>
                    <w:spacing w:line="240" w:lineRule="auto"/>
                    <w:ind w:firstLine="0" w:firstLineChars="0"/>
                    <w:jc w:val="center"/>
                    <w:rPr>
                      <w:bCs/>
                      <w:sz w:val="21"/>
                      <w:szCs w:val="21"/>
                    </w:rPr>
                  </w:pPr>
                  <w:r>
                    <w:rPr>
                      <w:rFonts w:hint="eastAsia"/>
                      <w:bCs/>
                      <w:sz w:val="21"/>
                      <w:szCs w:val="21"/>
                    </w:rPr>
                    <w:t>治理</w:t>
                  </w:r>
                  <w:r>
                    <w:rPr>
                      <w:bCs/>
                      <w:sz w:val="21"/>
                      <w:szCs w:val="21"/>
                    </w:rPr>
                    <w:t>设施故障</w:t>
                  </w:r>
                </w:p>
              </w:tc>
              <w:tc>
                <w:tcPr>
                  <w:tcW w:w="1125" w:type="dxa"/>
                  <w:tcBorders>
                    <w:tl2br w:val="nil"/>
                    <w:tr2bl w:val="nil"/>
                  </w:tcBorders>
                  <w:vAlign w:val="center"/>
                </w:tcPr>
                <w:p w14:paraId="6071159D">
                  <w:pPr>
                    <w:spacing w:line="240" w:lineRule="auto"/>
                    <w:ind w:firstLine="0" w:firstLineChars="0"/>
                    <w:jc w:val="center"/>
                    <w:rPr>
                      <w:bCs/>
                      <w:sz w:val="21"/>
                      <w:szCs w:val="21"/>
                    </w:rPr>
                  </w:pPr>
                  <w:r>
                    <w:rPr>
                      <w:rFonts w:hint="eastAsia"/>
                      <w:bCs/>
                      <w:sz w:val="21"/>
                      <w:szCs w:val="21"/>
                    </w:rPr>
                    <w:t>油雾</w:t>
                  </w:r>
                </w:p>
              </w:tc>
              <w:tc>
                <w:tcPr>
                  <w:tcW w:w="1440" w:type="dxa"/>
                  <w:tcBorders>
                    <w:tl2br w:val="nil"/>
                    <w:tr2bl w:val="nil"/>
                  </w:tcBorders>
                  <w:vAlign w:val="center"/>
                </w:tcPr>
                <w:p w14:paraId="1FC593FC">
                  <w:pPr>
                    <w:spacing w:line="240" w:lineRule="auto"/>
                    <w:ind w:firstLine="0" w:firstLineChars="0"/>
                    <w:jc w:val="center"/>
                    <w:rPr>
                      <w:bCs/>
                      <w:sz w:val="21"/>
                      <w:szCs w:val="21"/>
                    </w:rPr>
                  </w:pPr>
                  <w:r>
                    <w:rPr>
                      <w:rFonts w:hint="eastAsia"/>
                      <w:bCs/>
                      <w:sz w:val="21"/>
                      <w:szCs w:val="21"/>
                    </w:rPr>
                    <w:t>5.895</w:t>
                  </w:r>
                </w:p>
              </w:tc>
              <w:tc>
                <w:tcPr>
                  <w:tcW w:w="1395" w:type="dxa"/>
                  <w:tcBorders>
                    <w:tl2br w:val="nil"/>
                    <w:tr2bl w:val="nil"/>
                  </w:tcBorders>
                  <w:vAlign w:val="center"/>
                </w:tcPr>
                <w:p w14:paraId="5CBAAB3C">
                  <w:pPr>
                    <w:spacing w:line="240" w:lineRule="auto"/>
                    <w:ind w:firstLine="0" w:firstLineChars="0"/>
                    <w:jc w:val="center"/>
                    <w:rPr>
                      <w:bCs/>
                      <w:sz w:val="21"/>
                      <w:szCs w:val="21"/>
                    </w:rPr>
                  </w:pPr>
                  <w:r>
                    <w:rPr>
                      <w:rFonts w:hint="eastAsia"/>
                      <w:bCs/>
                      <w:sz w:val="21"/>
                      <w:szCs w:val="21"/>
                    </w:rPr>
                    <w:t>0.1179</w:t>
                  </w:r>
                </w:p>
              </w:tc>
              <w:tc>
                <w:tcPr>
                  <w:tcW w:w="945" w:type="dxa"/>
                  <w:vMerge w:val="restart"/>
                  <w:tcBorders>
                    <w:tl2br w:val="nil"/>
                    <w:tr2bl w:val="nil"/>
                  </w:tcBorders>
                  <w:vAlign w:val="center"/>
                </w:tcPr>
                <w:p w14:paraId="736CFF11">
                  <w:pPr>
                    <w:spacing w:line="240" w:lineRule="auto"/>
                    <w:ind w:firstLine="0" w:firstLineChars="0"/>
                    <w:jc w:val="center"/>
                    <w:rPr>
                      <w:bCs/>
                      <w:sz w:val="21"/>
                      <w:szCs w:val="21"/>
                    </w:rPr>
                  </w:pPr>
                  <w:r>
                    <w:rPr>
                      <w:rFonts w:hint="eastAsia"/>
                      <w:bCs/>
                      <w:sz w:val="21"/>
                      <w:szCs w:val="21"/>
                    </w:rPr>
                    <w:t>1</w:t>
                  </w:r>
                </w:p>
              </w:tc>
              <w:tc>
                <w:tcPr>
                  <w:tcW w:w="863" w:type="dxa"/>
                  <w:vMerge w:val="restart"/>
                  <w:tcBorders>
                    <w:tl2br w:val="nil"/>
                    <w:tr2bl w:val="nil"/>
                  </w:tcBorders>
                  <w:vAlign w:val="center"/>
                </w:tcPr>
                <w:p w14:paraId="16999494">
                  <w:pPr>
                    <w:spacing w:line="240" w:lineRule="auto"/>
                    <w:ind w:firstLine="0" w:firstLineChars="0"/>
                    <w:jc w:val="center"/>
                    <w:rPr>
                      <w:bCs/>
                      <w:sz w:val="21"/>
                      <w:szCs w:val="21"/>
                    </w:rPr>
                  </w:pPr>
                  <w:r>
                    <w:rPr>
                      <w:rFonts w:hint="eastAsia"/>
                      <w:bCs/>
                      <w:sz w:val="21"/>
                      <w:szCs w:val="21"/>
                    </w:rPr>
                    <w:t>1</w:t>
                  </w:r>
                </w:p>
              </w:tc>
            </w:tr>
            <w:tr w14:paraId="210C9B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4" w:type="dxa"/>
                  <w:vMerge w:val="continue"/>
                  <w:tcBorders>
                    <w:tl2br w:val="nil"/>
                    <w:tr2bl w:val="nil"/>
                  </w:tcBorders>
                  <w:vAlign w:val="center"/>
                </w:tcPr>
                <w:p w14:paraId="7AE43681">
                  <w:pPr>
                    <w:spacing w:line="240" w:lineRule="auto"/>
                    <w:ind w:firstLine="0" w:firstLineChars="0"/>
                    <w:jc w:val="center"/>
                    <w:rPr>
                      <w:bCs/>
                      <w:sz w:val="21"/>
                      <w:szCs w:val="21"/>
                    </w:rPr>
                  </w:pPr>
                </w:p>
              </w:tc>
              <w:tc>
                <w:tcPr>
                  <w:tcW w:w="900" w:type="dxa"/>
                  <w:vMerge w:val="continue"/>
                  <w:tcBorders>
                    <w:tl2br w:val="nil"/>
                    <w:tr2bl w:val="nil"/>
                  </w:tcBorders>
                  <w:vAlign w:val="center"/>
                </w:tcPr>
                <w:p w14:paraId="1AFA391E">
                  <w:pPr>
                    <w:spacing w:line="240" w:lineRule="auto"/>
                    <w:ind w:firstLine="0" w:firstLineChars="0"/>
                    <w:jc w:val="center"/>
                    <w:rPr>
                      <w:bCs/>
                      <w:sz w:val="21"/>
                      <w:szCs w:val="21"/>
                    </w:rPr>
                  </w:pPr>
                </w:p>
              </w:tc>
              <w:tc>
                <w:tcPr>
                  <w:tcW w:w="1065" w:type="dxa"/>
                  <w:vMerge w:val="continue"/>
                  <w:tcBorders>
                    <w:tl2br w:val="nil"/>
                    <w:tr2bl w:val="nil"/>
                  </w:tcBorders>
                </w:tcPr>
                <w:p w14:paraId="6284B786">
                  <w:pPr>
                    <w:spacing w:line="240" w:lineRule="auto"/>
                    <w:ind w:firstLine="0" w:firstLineChars="0"/>
                    <w:jc w:val="left"/>
                    <w:rPr>
                      <w:bCs/>
                      <w:sz w:val="21"/>
                      <w:szCs w:val="21"/>
                    </w:rPr>
                  </w:pPr>
                </w:p>
              </w:tc>
              <w:tc>
                <w:tcPr>
                  <w:tcW w:w="1125" w:type="dxa"/>
                  <w:tcBorders>
                    <w:tl2br w:val="nil"/>
                    <w:tr2bl w:val="nil"/>
                  </w:tcBorders>
                  <w:vAlign w:val="center"/>
                </w:tcPr>
                <w:p w14:paraId="2AEF984C">
                  <w:pPr>
                    <w:spacing w:line="240" w:lineRule="auto"/>
                    <w:ind w:firstLine="0" w:firstLineChars="0"/>
                    <w:jc w:val="center"/>
                    <w:rPr>
                      <w:bCs/>
                      <w:sz w:val="21"/>
                      <w:szCs w:val="21"/>
                    </w:rPr>
                  </w:pPr>
                  <w:r>
                    <w:rPr>
                      <w:rFonts w:hint="eastAsia"/>
                      <w:sz w:val="21"/>
                      <w:szCs w:val="21"/>
                    </w:rPr>
                    <w:t>挥发性有机物（以非甲烷总烃代）</w:t>
                  </w:r>
                </w:p>
              </w:tc>
              <w:tc>
                <w:tcPr>
                  <w:tcW w:w="1440" w:type="dxa"/>
                  <w:tcBorders>
                    <w:tl2br w:val="nil"/>
                    <w:tr2bl w:val="nil"/>
                  </w:tcBorders>
                  <w:vAlign w:val="center"/>
                </w:tcPr>
                <w:p w14:paraId="21C4014D">
                  <w:pPr>
                    <w:spacing w:line="240" w:lineRule="auto"/>
                    <w:ind w:firstLine="0" w:firstLineChars="0"/>
                    <w:jc w:val="center"/>
                    <w:rPr>
                      <w:bCs/>
                      <w:sz w:val="21"/>
                      <w:szCs w:val="21"/>
                      <w:highlight w:val="none"/>
                    </w:rPr>
                  </w:pPr>
                  <w:r>
                    <w:rPr>
                      <w:rFonts w:hint="eastAsia"/>
                      <w:sz w:val="21"/>
                      <w:szCs w:val="21"/>
                      <w:highlight w:val="none"/>
                    </w:rPr>
                    <w:t>4.875</w:t>
                  </w:r>
                  <w:r>
                    <w:rPr>
                      <w:rFonts w:ascii="Arial" w:hAnsi="Arial" w:cs="Arial"/>
                      <w:sz w:val="21"/>
                      <w:szCs w:val="21"/>
                      <w:highlight w:val="none"/>
                    </w:rPr>
                    <w:t>×</w:t>
                  </w:r>
                  <w:r>
                    <w:rPr>
                      <w:rFonts w:hint="eastAsia"/>
                      <w:sz w:val="21"/>
                      <w:szCs w:val="21"/>
                      <w:highlight w:val="none"/>
                    </w:rPr>
                    <w:t>10</w:t>
                  </w:r>
                  <w:r>
                    <w:rPr>
                      <w:rFonts w:hint="eastAsia"/>
                      <w:sz w:val="21"/>
                      <w:szCs w:val="21"/>
                      <w:highlight w:val="none"/>
                      <w:vertAlign w:val="superscript"/>
                    </w:rPr>
                    <w:t>-4</w:t>
                  </w:r>
                </w:p>
              </w:tc>
              <w:tc>
                <w:tcPr>
                  <w:tcW w:w="1395" w:type="dxa"/>
                  <w:tcBorders>
                    <w:tl2br w:val="nil"/>
                    <w:tr2bl w:val="nil"/>
                  </w:tcBorders>
                  <w:vAlign w:val="center"/>
                </w:tcPr>
                <w:p w14:paraId="1C58165F">
                  <w:pPr>
                    <w:spacing w:line="240" w:lineRule="auto"/>
                    <w:ind w:firstLine="0" w:firstLineChars="0"/>
                    <w:jc w:val="center"/>
                    <w:rPr>
                      <w:bCs/>
                      <w:sz w:val="21"/>
                      <w:szCs w:val="21"/>
                      <w:highlight w:val="none"/>
                    </w:rPr>
                  </w:pPr>
                  <w:r>
                    <w:rPr>
                      <w:rFonts w:hint="eastAsia"/>
                      <w:sz w:val="21"/>
                      <w:szCs w:val="21"/>
                      <w:highlight w:val="none"/>
                    </w:rPr>
                    <w:t>9.75</w:t>
                  </w:r>
                  <w:r>
                    <w:rPr>
                      <w:rFonts w:ascii="Arial" w:hAnsi="Arial" w:cs="Arial"/>
                      <w:sz w:val="21"/>
                      <w:szCs w:val="21"/>
                      <w:highlight w:val="none"/>
                    </w:rPr>
                    <w:t>×</w:t>
                  </w:r>
                  <w:r>
                    <w:rPr>
                      <w:rFonts w:hint="eastAsia"/>
                      <w:sz w:val="21"/>
                      <w:szCs w:val="21"/>
                      <w:highlight w:val="none"/>
                    </w:rPr>
                    <w:t>10</w:t>
                  </w:r>
                  <w:r>
                    <w:rPr>
                      <w:rFonts w:hint="eastAsia"/>
                      <w:sz w:val="21"/>
                      <w:szCs w:val="21"/>
                      <w:highlight w:val="none"/>
                      <w:vertAlign w:val="superscript"/>
                    </w:rPr>
                    <w:t>-6</w:t>
                  </w:r>
                </w:p>
              </w:tc>
              <w:tc>
                <w:tcPr>
                  <w:tcW w:w="945" w:type="dxa"/>
                  <w:vMerge w:val="continue"/>
                  <w:tcBorders>
                    <w:tl2br w:val="nil"/>
                    <w:tr2bl w:val="nil"/>
                  </w:tcBorders>
                  <w:vAlign w:val="center"/>
                </w:tcPr>
                <w:p w14:paraId="336CCDEA">
                  <w:pPr>
                    <w:spacing w:line="240" w:lineRule="auto"/>
                    <w:ind w:firstLine="0" w:firstLineChars="0"/>
                    <w:jc w:val="center"/>
                    <w:rPr>
                      <w:bCs/>
                      <w:sz w:val="21"/>
                      <w:szCs w:val="21"/>
                    </w:rPr>
                  </w:pPr>
                </w:p>
              </w:tc>
              <w:tc>
                <w:tcPr>
                  <w:tcW w:w="863" w:type="dxa"/>
                  <w:vMerge w:val="continue"/>
                  <w:tcBorders>
                    <w:tl2br w:val="nil"/>
                    <w:tr2bl w:val="nil"/>
                  </w:tcBorders>
                  <w:vAlign w:val="center"/>
                </w:tcPr>
                <w:p w14:paraId="0C7D0A6A">
                  <w:pPr>
                    <w:spacing w:line="240" w:lineRule="auto"/>
                    <w:ind w:firstLine="0" w:firstLineChars="0"/>
                    <w:jc w:val="center"/>
                    <w:rPr>
                      <w:bCs/>
                      <w:sz w:val="21"/>
                      <w:szCs w:val="21"/>
                    </w:rPr>
                  </w:pPr>
                </w:p>
              </w:tc>
            </w:tr>
            <w:tr w14:paraId="0C0FD1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94" w:type="dxa"/>
                  <w:tcBorders>
                    <w:tl2br w:val="nil"/>
                    <w:tr2bl w:val="nil"/>
                  </w:tcBorders>
                  <w:vAlign w:val="center"/>
                </w:tcPr>
                <w:p w14:paraId="30F5DD9C">
                  <w:pPr>
                    <w:spacing w:line="240" w:lineRule="auto"/>
                    <w:ind w:firstLine="0" w:firstLineChars="0"/>
                    <w:jc w:val="center"/>
                    <w:rPr>
                      <w:bCs/>
                      <w:sz w:val="21"/>
                      <w:szCs w:val="21"/>
                    </w:rPr>
                  </w:pPr>
                  <w:r>
                    <w:rPr>
                      <w:rFonts w:hint="eastAsia"/>
                      <w:bCs/>
                      <w:sz w:val="21"/>
                      <w:szCs w:val="21"/>
                    </w:rPr>
                    <w:t>2</w:t>
                  </w:r>
                </w:p>
              </w:tc>
              <w:tc>
                <w:tcPr>
                  <w:tcW w:w="900" w:type="dxa"/>
                  <w:tcBorders>
                    <w:tl2br w:val="nil"/>
                    <w:tr2bl w:val="nil"/>
                  </w:tcBorders>
                  <w:vAlign w:val="center"/>
                </w:tcPr>
                <w:p w14:paraId="6614F9E7">
                  <w:pPr>
                    <w:spacing w:line="240" w:lineRule="auto"/>
                    <w:ind w:firstLine="0" w:firstLineChars="0"/>
                    <w:jc w:val="center"/>
                    <w:rPr>
                      <w:bCs/>
                      <w:sz w:val="21"/>
                      <w:szCs w:val="21"/>
                    </w:rPr>
                  </w:pPr>
                  <w:r>
                    <w:rPr>
                      <w:bCs/>
                      <w:sz w:val="21"/>
                      <w:szCs w:val="21"/>
                    </w:rPr>
                    <w:t>DA00</w:t>
                  </w:r>
                  <w:r>
                    <w:rPr>
                      <w:rFonts w:hint="eastAsia"/>
                      <w:bCs/>
                      <w:sz w:val="21"/>
                      <w:szCs w:val="21"/>
                    </w:rPr>
                    <w:t>2</w:t>
                  </w:r>
                </w:p>
              </w:tc>
              <w:tc>
                <w:tcPr>
                  <w:tcW w:w="1065" w:type="dxa"/>
                  <w:tcBorders>
                    <w:tl2br w:val="nil"/>
                    <w:tr2bl w:val="nil"/>
                  </w:tcBorders>
                  <w:vAlign w:val="center"/>
                </w:tcPr>
                <w:p w14:paraId="24EBA558">
                  <w:pPr>
                    <w:spacing w:line="240" w:lineRule="auto"/>
                    <w:ind w:firstLine="0" w:firstLineChars="0"/>
                    <w:jc w:val="center"/>
                    <w:rPr>
                      <w:bCs/>
                      <w:sz w:val="21"/>
                      <w:szCs w:val="21"/>
                      <w:lang w:val="zh-CN"/>
                    </w:rPr>
                  </w:pPr>
                  <w:r>
                    <w:rPr>
                      <w:rFonts w:hint="eastAsia"/>
                      <w:bCs/>
                      <w:sz w:val="21"/>
                      <w:szCs w:val="21"/>
                    </w:rPr>
                    <w:t>治理</w:t>
                  </w:r>
                  <w:r>
                    <w:rPr>
                      <w:bCs/>
                      <w:sz w:val="21"/>
                      <w:szCs w:val="21"/>
                    </w:rPr>
                    <w:t>设施故障</w:t>
                  </w:r>
                </w:p>
              </w:tc>
              <w:tc>
                <w:tcPr>
                  <w:tcW w:w="1125" w:type="dxa"/>
                  <w:tcBorders>
                    <w:tl2br w:val="nil"/>
                    <w:tr2bl w:val="nil"/>
                  </w:tcBorders>
                  <w:vAlign w:val="center"/>
                </w:tcPr>
                <w:p w14:paraId="124BC5A5">
                  <w:pPr>
                    <w:spacing w:line="240" w:lineRule="auto"/>
                    <w:ind w:firstLine="0" w:firstLineChars="0"/>
                    <w:jc w:val="center"/>
                    <w:rPr>
                      <w:bCs/>
                      <w:sz w:val="21"/>
                      <w:szCs w:val="21"/>
                    </w:rPr>
                  </w:pPr>
                  <w:r>
                    <w:rPr>
                      <w:rFonts w:hint="eastAsia"/>
                      <w:bCs/>
                      <w:sz w:val="21"/>
                      <w:szCs w:val="21"/>
                    </w:rPr>
                    <w:t>颗粒物</w:t>
                  </w:r>
                </w:p>
              </w:tc>
              <w:tc>
                <w:tcPr>
                  <w:tcW w:w="1440" w:type="dxa"/>
                  <w:tcBorders>
                    <w:tl2br w:val="nil"/>
                    <w:tr2bl w:val="nil"/>
                  </w:tcBorders>
                  <w:vAlign w:val="center"/>
                </w:tcPr>
                <w:p w14:paraId="281196A5">
                  <w:pPr>
                    <w:spacing w:line="240" w:lineRule="auto"/>
                    <w:ind w:firstLine="0" w:firstLineChars="0"/>
                    <w:jc w:val="center"/>
                    <w:rPr>
                      <w:bCs/>
                      <w:sz w:val="21"/>
                      <w:szCs w:val="21"/>
                      <w:highlight w:val="none"/>
                    </w:rPr>
                  </w:pPr>
                  <w:r>
                    <w:rPr>
                      <w:rFonts w:hint="eastAsia"/>
                      <w:bCs/>
                      <w:sz w:val="21"/>
                      <w:szCs w:val="21"/>
                      <w:highlight w:val="none"/>
                    </w:rPr>
                    <w:t>364.9635</w:t>
                  </w:r>
                </w:p>
              </w:tc>
              <w:tc>
                <w:tcPr>
                  <w:tcW w:w="1395" w:type="dxa"/>
                  <w:tcBorders>
                    <w:tl2br w:val="nil"/>
                    <w:tr2bl w:val="nil"/>
                  </w:tcBorders>
                  <w:vAlign w:val="center"/>
                </w:tcPr>
                <w:p w14:paraId="2178F52F">
                  <w:pPr>
                    <w:spacing w:line="240" w:lineRule="auto"/>
                    <w:ind w:firstLine="0" w:firstLineChars="0"/>
                    <w:jc w:val="center"/>
                    <w:rPr>
                      <w:bCs/>
                      <w:sz w:val="21"/>
                      <w:szCs w:val="21"/>
                      <w:highlight w:val="none"/>
                    </w:rPr>
                  </w:pPr>
                  <w:r>
                    <w:rPr>
                      <w:rFonts w:hint="eastAsia"/>
                      <w:bCs/>
                      <w:sz w:val="21"/>
                      <w:szCs w:val="21"/>
                      <w:highlight w:val="none"/>
                    </w:rPr>
                    <w:t>1.0949</w:t>
                  </w:r>
                </w:p>
              </w:tc>
              <w:tc>
                <w:tcPr>
                  <w:tcW w:w="945" w:type="dxa"/>
                  <w:tcBorders>
                    <w:tl2br w:val="nil"/>
                    <w:tr2bl w:val="nil"/>
                  </w:tcBorders>
                  <w:vAlign w:val="center"/>
                </w:tcPr>
                <w:p w14:paraId="169C883B">
                  <w:pPr>
                    <w:spacing w:line="240" w:lineRule="auto"/>
                    <w:ind w:firstLine="0" w:firstLineChars="0"/>
                    <w:jc w:val="center"/>
                    <w:rPr>
                      <w:bCs/>
                      <w:sz w:val="21"/>
                      <w:szCs w:val="21"/>
                      <w:lang w:val="zh-CN"/>
                    </w:rPr>
                  </w:pPr>
                  <w:r>
                    <w:rPr>
                      <w:rFonts w:hint="eastAsia"/>
                      <w:bCs/>
                      <w:sz w:val="21"/>
                      <w:szCs w:val="21"/>
                    </w:rPr>
                    <w:t>1</w:t>
                  </w:r>
                </w:p>
              </w:tc>
              <w:tc>
                <w:tcPr>
                  <w:tcW w:w="863" w:type="dxa"/>
                  <w:tcBorders>
                    <w:tl2br w:val="nil"/>
                    <w:tr2bl w:val="nil"/>
                  </w:tcBorders>
                  <w:vAlign w:val="center"/>
                </w:tcPr>
                <w:p w14:paraId="3D197987">
                  <w:pPr>
                    <w:spacing w:line="240" w:lineRule="auto"/>
                    <w:ind w:firstLine="0" w:firstLineChars="0"/>
                    <w:jc w:val="center"/>
                    <w:rPr>
                      <w:bCs/>
                      <w:sz w:val="21"/>
                      <w:szCs w:val="21"/>
                    </w:rPr>
                  </w:pPr>
                  <w:r>
                    <w:rPr>
                      <w:bCs/>
                      <w:sz w:val="21"/>
                      <w:szCs w:val="21"/>
                    </w:rPr>
                    <w:t>1</w:t>
                  </w:r>
                </w:p>
              </w:tc>
            </w:tr>
          </w:tbl>
          <w:p w14:paraId="71A6788C">
            <w:pPr>
              <w:widowControl/>
              <w:ind w:firstLine="480"/>
              <w:jc w:val="left"/>
              <w:rPr>
                <w:color w:val="000000"/>
                <w:kern w:val="0"/>
              </w:rPr>
            </w:pPr>
            <w:r>
              <w:rPr>
                <w:rFonts w:hint="eastAsia"/>
                <w:color w:val="000000"/>
                <w:kern w:val="0"/>
              </w:rPr>
              <w:t>5、废气治理设施可行性分析</w:t>
            </w:r>
          </w:p>
          <w:p w14:paraId="54A8EF65">
            <w:pPr>
              <w:widowControl/>
              <w:ind w:firstLine="480"/>
              <w:jc w:val="left"/>
              <w:rPr>
                <w:color w:val="000000"/>
                <w:kern w:val="0"/>
              </w:rPr>
            </w:pPr>
            <w:r>
              <w:rPr>
                <w:rFonts w:hint="eastAsia"/>
                <w:color w:val="000000"/>
                <w:kern w:val="0"/>
              </w:rPr>
              <w:t>（1）脉冲布袋除尘器</w:t>
            </w:r>
          </w:p>
          <w:p w14:paraId="476E131E">
            <w:pPr>
              <w:widowControl/>
              <w:ind w:firstLine="480"/>
              <w:jc w:val="left"/>
            </w:pPr>
            <w:r>
              <w:rPr>
                <w:rFonts w:hint="eastAsia"/>
                <w:color w:val="000000"/>
                <w:kern w:val="0"/>
              </w:rPr>
              <w:t>脉冲布袋除尘器</w:t>
            </w:r>
            <w:r>
              <w:rPr>
                <w:color w:val="000000"/>
                <w:kern w:val="0"/>
              </w:rPr>
              <w:t>是通过滤袋滤除含尘气体中颗粒物的分离净化装置，是一种干式高效过滤除尘器，</w:t>
            </w:r>
            <w:r>
              <w:rPr>
                <w:rFonts w:hint="eastAsia"/>
                <w:color w:val="000000"/>
                <w:kern w:val="0"/>
              </w:rPr>
              <w:t>脉冲布袋除尘器</w:t>
            </w:r>
            <w:r>
              <w:rPr>
                <w:color w:val="000000"/>
                <w:kern w:val="0"/>
              </w:rPr>
              <w:t>的工作原理是通过袋式缝隙的过滤作用而阻挡粉尘，当滤袋上的颗粒物沉积到一定程度时，通过脉冲作用使滤袋抖动并变形，沉积的颗粒物落入集灰斗，避免了喷吹清灰产生二次扬尘，同时运行平稳，除尘效率高。</w:t>
            </w:r>
          </w:p>
          <w:p w14:paraId="2D0CA3ED">
            <w:pPr>
              <w:widowControl/>
              <w:ind w:firstLine="480"/>
              <w:jc w:val="left"/>
            </w:pPr>
            <w:r>
              <w:rPr>
                <w:color w:val="000000"/>
                <w:kern w:val="0"/>
              </w:rPr>
              <w:t>随着科技的发展，</w:t>
            </w:r>
            <w:r>
              <w:rPr>
                <w:rFonts w:hint="eastAsia"/>
                <w:color w:val="000000"/>
                <w:kern w:val="0"/>
              </w:rPr>
              <w:t>布袋除尘器</w:t>
            </w:r>
            <w:r>
              <w:rPr>
                <w:color w:val="000000"/>
                <w:kern w:val="0"/>
              </w:rPr>
              <w:t>滤料已出现多种形式，从过滤效果可分为普通滤料和覆膜滤料。</w:t>
            </w:r>
          </w:p>
          <w:p w14:paraId="711E43D1">
            <w:pPr>
              <w:widowControl/>
              <w:ind w:firstLine="480"/>
              <w:jc w:val="left"/>
            </w:pPr>
            <w:r>
              <w:rPr>
                <w:color w:val="000000"/>
                <w:kern w:val="0"/>
              </w:rPr>
              <w:t>覆膜滤料是在普通滤料表面复合一层高效过滤薄膜而形成的一种新型滤料。这层薄膜相当于起</w:t>
            </w:r>
            <w:r>
              <w:rPr>
                <w:rFonts w:hint="eastAsia" w:ascii="宋体" w:hAnsi="宋体" w:cs="宋体"/>
                <w:color w:val="000000"/>
                <w:kern w:val="0"/>
              </w:rPr>
              <w:t>到了“一次粉尘层”的</w:t>
            </w:r>
            <w:r>
              <w:rPr>
                <w:color w:val="000000"/>
                <w:kern w:val="0"/>
              </w:rPr>
              <w:t>作用，物料交换是在膜表面进行的，使用之初就能进行有效的过滤。薄膜特有的立体网状结构，使颗粒物无法穿过，不会造成孔隙堵塞。</w:t>
            </w:r>
          </w:p>
          <w:p w14:paraId="6F2EC064">
            <w:pPr>
              <w:widowControl/>
              <w:ind w:firstLine="480"/>
              <w:jc w:val="left"/>
            </w:pPr>
            <w:r>
              <w:rPr>
                <w:color w:val="000000"/>
                <w:kern w:val="0"/>
              </w:rPr>
              <w:t>覆膜滤料过滤方式称</w:t>
            </w:r>
            <w:r>
              <w:rPr>
                <w:rFonts w:hint="eastAsia" w:ascii="宋体" w:hAnsi="宋体" w:cs="宋体"/>
                <w:color w:val="000000"/>
                <w:kern w:val="0"/>
              </w:rPr>
              <w:t>为“表面过滤”</w:t>
            </w:r>
            <w:r>
              <w:rPr>
                <w:color w:val="000000"/>
                <w:kern w:val="0"/>
              </w:rPr>
              <w:t>，性能优异，与普通滤料相比，其优点是：</w:t>
            </w:r>
          </w:p>
          <w:p w14:paraId="7D47CB7D">
            <w:pPr>
              <w:widowControl/>
              <w:ind w:firstLine="480"/>
              <w:jc w:val="left"/>
            </w:pPr>
            <w:r>
              <w:rPr>
                <w:color w:val="000000"/>
                <w:kern w:val="0"/>
              </w:rPr>
              <w:t>①表面过滤效率高。通常工业用滤材是依赖在滤材表面先建立一次粉尘层进行有效过滤，建立有效过滤时间</w:t>
            </w:r>
            <w:r>
              <w:rPr>
                <w:rFonts w:hint="eastAsia" w:ascii="宋体" w:hAnsi="宋体" w:cs="宋体"/>
                <w:color w:val="000000"/>
                <w:kern w:val="0"/>
              </w:rPr>
              <w:t>长(约需</w:t>
            </w:r>
            <w:r>
              <w:rPr>
                <w:color w:val="000000"/>
                <w:kern w:val="0"/>
              </w:rPr>
              <w:t>整个滤程的10</w:t>
            </w:r>
            <w:r>
              <w:rPr>
                <w:rFonts w:hint="eastAsia"/>
                <w:color w:val="000000"/>
                <w:kern w:val="0"/>
              </w:rPr>
              <w:t>%</w:t>
            </w:r>
            <w:r>
              <w:rPr>
                <w:rFonts w:hint="eastAsia" w:ascii="宋体" w:hAnsi="宋体" w:cs="宋体"/>
                <w:color w:val="000000"/>
                <w:kern w:val="0"/>
              </w:rPr>
              <w:t>)</w:t>
            </w:r>
            <w:r>
              <w:rPr>
                <w:color w:val="000000"/>
                <w:kern w:val="0"/>
              </w:rPr>
              <w:t>，阻力大，效率低，截留不完全，损耗也大，过滤和反吹压力高，清灰频繁，能耗较高，使用寿命不长，设备占地面积大。使用覆膜滤布，颗粒物不能透入滤料，只是表面过滤，无论是粗、细颗粒物，全部沉积在滤料表面，即靠膜本身孔径截留被滤物，无初滤期，开始就是有效过滤，近百分之百的时间处于有效过滤。</w:t>
            </w:r>
          </w:p>
          <w:p w14:paraId="5C3D1E65">
            <w:pPr>
              <w:widowControl/>
              <w:ind w:firstLine="480"/>
              <w:jc w:val="left"/>
            </w:pPr>
            <w:r>
              <w:rPr>
                <w:color w:val="000000"/>
                <w:kern w:val="0"/>
              </w:rPr>
              <w:t>②低压、高通量连续工作。传统的深层过滤的滤料，一旦投入使用，颗粒物穿透，建立一次粉尘层，透气性便迅速下降。过滤时，内部堆积的颗粒物造成阻塞现象，从而增加了除尘设备的阻力。覆膜滤料以微细孔径及其不黏性，使颗粒物穿透率近于零，投入使用后提供极佳的过滤效率，当沉积在覆膜滤料表面的颗粒物达到一定厚度时，就会自动脱落，易清灰，使过滤压力始终保持在很低的水平，空气流量始终保持在较高水平，可连续工作。而过滤压力的降低，使其可以选择长滤袋形式，以减少占地面积。</w:t>
            </w:r>
          </w:p>
          <w:p w14:paraId="1DA9EC8E">
            <w:pPr>
              <w:widowControl/>
              <w:ind w:firstLine="480"/>
              <w:jc w:val="left"/>
            </w:pPr>
            <w:r>
              <w:rPr>
                <w:color w:val="000000"/>
                <w:kern w:val="0"/>
              </w:rPr>
              <w:t>③容易清灰。任何一种滤料的操作压力损失直接取决于清灰后残留在滤料表面上、下的颗粒物量。覆膜滤料清灰容易，具有非常优越的清灰特性，每次清灰都能彻底除去尘层，滤料内部不会产生堵塞，不会改变孔隙率和质密度，能经常维持于较低压力损失工作。</w:t>
            </w:r>
          </w:p>
          <w:p w14:paraId="6FB5B4E1">
            <w:pPr>
              <w:widowControl/>
              <w:ind w:firstLine="480"/>
              <w:jc w:val="left"/>
              <w:rPr>
                <w:color w:val="000000"/>
                <w:kern w:val="0"/>
              </w:rPr>
            </w:pPr>
            <w:r>
              <w:rPr>
                <w:color w:val="000000"/>
                <w:kern w:val="0"/>
              </w:rPr>
              <w:t>④寿命长。覆膜滤料无论采用什么清灰机制，都可以发挥其优越的特性，是一种将工业除尘器设计机能完全过滤作用的过滤材料，因而成本低廉。覆膜滤料是一种强韧而柔软的纤维结构，与坚强的基材复合而成，所以有足够的机械强度，加之有卓越的脱灰性，降低了清灰强度，在低而稳的压力损失下，能长期使用，延长了滤袋寿命。覆膜滤料不同的膜孔径对颗粒物的去除效率不同，一般对应情况见下表。</w:t>
            </w:r>
          </w:p>
          <w:p w14:paraId="36616B52">
            <w:pPr>
              <w:ind w:firstLine="422"/>
              <w:jc w:val="center"/>
              <w:rPr>
                <w:b/>
                <w:bCs/>
                <w:color w:val="000000"/>
                <w:sz w:val="21"/>
                <w:szCs w:val="21"/>
              </w:rPr>
            </w:pPr>
            <w:r>
              <w:rPr>
                <w:rFonts w:hint="eastAsia"/>
                <w:b/>
                <w:bCs/>
                <w:color w:val="000000"/>
                <w:sz w:val="21"/>
                <w:szCs w:val="21"/>
              </w:rPr>
              <w:t>表4-6  覆膜滤料不同的膜孔径与颗粒物粒径对应情况一览表</w:t>
            </w:r>
          </w:p>
          <w:tbl>
            <w:tblPr>
              <w:tblStyle w:val="22"/>
              <w:tblW w:w="8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418"/>
              <w:gridCol w:w="2535"/>
              <w:gridCol w:w="3244"/>
            </w:tblGrid>
            <w:tr w14:paraId="7F35A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2418" w:type="dxa"/>
                  <w:vAlign w:val="center"/>
                </w:tcPr>
                <w:p w14:paraId="30C4D06F">
                  <w:pPr>
                    <w:spacing w:line="240" w:lineRule="auto"/>
                    <w:ind w:firstLine="0" w:firstLineChars="0"/>
                    <w:jc w:val="center"/>
                    <w:rPr>
                      <w:sz w:val="21"/>
                      <w:szCs w:val="21"/>
                    </w:rPr>
                  </w:pPr>
                  <w:r>
                    <w:rPr>
                      <w:sz w:val="21"/>
                      <w:szCs w:val="21"/>
                    </w:rPr>
                    <w:t>序号</w:t>
                  </w:r>
                </w:p>
              </w:tc>
              <w:tc>
                <w:tcPr>
                  <w:tcW w:w="2535" w:type="dxa"/>
                  <w:vAlign w:val="center"/>
                </w:tcPr>
                <w:p w14:paraId="7ECAA5CD">
                  <w:pPr>
                    <w:widowControl/>
                    <w:spacing w:line="240" w:lineRule="auto"/>
                    <w:ind w:firstLine="420"/>
                    <w:jc w:val="left"/>
                    <w:rPr>
                      <w:sz w:val="21"/>
                      <w:szCs w:val="21"/>
                    </w:rPr>
                  </w:pPr>
                  <w:r>
                    <w:rPr>
                      <w:color w:val="000000"/>
                      <w:kern w:val="0"/>
                      <w:sz w:val="21"/>
                      <w:szCs w:val="21"/>
                    </w:rPr>
                    <w:t>覆膜滤料孔径(µm)</w:t>
                  </w:r>
                </w:p>
              </w:tc>
              <w:tc>
                <w:tcPr>
                  <w:tcW w:w="3244" w:type="dxa"/>
                  <w:vAlign w:val="center"/>
                </w:tcPr>
                <w:p w14:paraId="0430A921">
                  <w:pPr>
                    <w:widowControl/>
                    <w:spacing w:line="240" w:lineRule="auto"/>
                    <w:ind w:firstLine="420"/>
                    <w:jc w:val="left"/>
                    <w:rPr>
                      <w:sz w:val="21"/>
                      <w:szCs w:val="21"/>
                    </w:rPr>
                  </w:pPr>
                  <w:r>
                    <w:rPr>
                      <w:color w:val="000000"/>
                      <w:kern w:val="0"/>
                      <w:sz w:val="21"/>
                      <w:szCs w:val="21"/>
                    </w:rPr>
                    <w:t>颗粒物粒径(µm)</w:t>
                  </w:r>
                </w:p>
              </w:tc>
            </w:tr>
            <w:tr w14:paraId="6445C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0D8C525A">
                  <w:pPr>
                    <w:spacing w:line="240" w:lineRule="auto"/>
                    <w:ind w:firstLine="0" w:firstLineChars="0"/>
                    <w:jc w:val="center"/>
                    <w:rPr>
                      <w:sz w:val="21"/>
                      <w:szCs w:val="21"/>
                    </w:rPr>
                  </w:pPr>
                  <w:r>
                    <w:rPr>
                      <w:sz w:val="21"/>
                      <w:szCs w:val="21"/>
                    </w:rPr>
                    <w:t>1</w:t>
                  </w:r>
                </w:p>
              </w:tc>
              <w:tc>
                <w:tcPr>
                  <w:tcW w:w="2535" w:type="dxa"/>
                  <w:vAlign w:val="center"/>
                </w:tcPr>
                <w:p w14:paraId="00702267">
                  <w:pPr>
                    <w:spacing w:line="240" w:lineRule="auto"/>
                    <w:ind w:firstLine="0" w:firstLineChars="0"/>
                    <w:jc w:val="center"/>
                    <w:rPr>
                      <w:sz w:val="21"/>
                      <w:szCs w:val="21"/>
                    </w:rPr>
                  </w:pPr>
                  <w:r>
                    <w:rPr>
                      <w:sz w:val="21"/>
                      <w:szCs w:val="21"/>
                    </w:rPr>
                    <w:t>150.0</w:t>
                  </w:r>
                </w:p>
              </w:tc>
              <w:tc>
                <w:tcPr>
                  <w:tcW w:w="3244" w:type="dxa"/>
                  <w:vAlign w:val="center"/>
                </w:tcPr>
                <w:p w14:paraId="0A7F078C">
                  <w:pPr>
                    <w:widowControl/>
                    <w:spacing w:line="240" w:lineRule="auto"/>
                    <w:ind w:firstLine="0" w:firstLineChars="0"/>
                    <w:jc w:val="center"/>
                    <w:rPr>
                      <w:sz w:val="21"/>
                      <w:szCs w:val="21"/>
                    </w:rPr>
                  </w:pPr>
                  <w:r>
                    <w:rPr>
                      <w:sz w:val="21"/>
                      <w:szCs w:val="21"/>
                    </w:rPr>
                    <w:t>150</w:t>
                  </w:r>
                </w:p>
              </w:tc>
            </w:tr>
            <w:tr w14:paraId="6F784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4E768D76">
                  <w:pPr>
                    <w:spacing w:line="240" w:lineRule="auto"/>
                    <w:ind w:firstLine="0" w:firstLineChars="0"/>
                    <w:jc w:val="center"/>
                    <w:rPr>
                      <w:sz w:val="21"/>
                      <w:szCs w:val="21"/>
                    </w:rPr>
                  </w:pPr>
                  <w:r>
                    <w:rPr>
                      <w:sz w:val="21"/>
                      <w:szCs w:val="21"/>
                    </w:rPr>
                    <w:t>2</w:t>
                  </w:r>
                </w:p>
              </w:tc>
              <w:tc>
                <w:tcPr>
                  <w:tcW w:w="2535" w:type="dxa"/>
                  <w:vAlign w:val="center"/>
                </w:tcPr>
                <w:p w14:paraId="019937F4">
                  <w:pPr>
                    <w:spacing w:line="240" w:lineRule="auto"/>
                    <w:ind w:firstLine="0" w:firstLineChars="0"/>
                    <w:jc w:val="center"/>
                    <w:rPr>
                      <w:sz w:val="21"/>
                      <w:szCs w:val="21"/>
                    </w:rPr>
                  </w:pPr>
                  <w:r>
                    <w:rPr>
                      <w:sz w:val="21"/>
                      <w:szCs w:val="21"/>
                    </w:rPr>
                    <w:t>100.0</w:t>
                  </w:r>
                </w:p>
              </w:tc>
              <w:tc>
                <w:tcPr>
                  <w:tcW w:w="3244" w:type="dxa"/>
                  <w:vAlign w:val="center"/>
                </w:tcPr>
                <w:p w14:paraId="2F5A0C61">
                  <w:pPr>
                    <w:widowControl/>
                    <w:spacing w:line="240" w:lineRule="auto"/>
                    <w:ind w:firstLine="0" w:firstLineChars="0"/>
                    <w:jc w:val="center"/>
                    <w:rPr>
                      <w:sz w:val="21"/>
                      <w:szCs w:val="21"/>
                    </w:rPr>
                  </w:pPr>
                  <w:r>
                    <w:rPr>
                      <w:sz w:val="21"/>
                      <w:szCs w:val="21"/>
                    </w:rPr>
                    <w:t>106</w:t>
                  </w:r>
                </w:p>
              </w:tc>
            </w:tr>
            <w:tr w14:paraId="1026D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325170E6">
                  <w:pPr>
                    <w:spacing w:line="240" w:lineRule="auto"/>
                    <w:ind w:firstLine="0" w:firstLineChars="0"/>
                    <w:jc w:val="center"/>
                    <w:rPr>
                      <w:color w:val="000000"/>
                      <w:kern w:val="0"/>
                      <w:sz w:val="21"/>
                      <w:szCs w:val="21"/>
                    </w:rPr>
                  </w:pPr>
                  <w:r>
                    <w:rPr>
                      <w:color w:val="000000"/>
                      <w:kern w:val="0"/>
                      <w:sz w:val="21"/>
                      <w:szCs w:val="21"/>
                    </w:rPr>
                    <w:t>3</w:t>
                  </w:r>
                </w:p>
              </w:tc>
              <w:tc>
                <w:tcPr>
                  <w:tcW w:w="2535" w:type="dxa"/>
                  <w:vAlign w:val="center"/>
                </w:tcPr>
                <w:p w14:paraId="4AB80B6C">
                  <w:pPr>
                    <w:spacing w:line="240" w:lineRule="auto"/>
                    <w:ind w:firstLine="0" w:firstLineChars="0"/>
                    <w:jc w:val="center"/>
                    <w:rPr>
                      <w:sz w:val="21"/>
                      <w:szCs w:val="21"/>
                    </w:rPr>
                  </w:pPr>
                  <w:r>
                    <w:rPr>
                      <w:sz w:val="21"/>
                      <w:szCs w:val="21"/>
                    </w:rPr>
                    <w:t>93.8</w:t>
                  </w:r>
                </w:p>
              </w:tc>
              <w:tc>
                <w:tcPr>
                  <w:tcW w:w="3244" w:type="dxa"/>
                  <w:vAlign w:val="center"/>
                </w:tcPr>
                <w:p w14:paraId="04C2802C">
                  <w:pPr>
                    <w:widowControl/>
                    <w:spacing w:line="240" w:lineRule="auto"/>
                    <w:ind w:firstLine="0" w:firstLineChars="0"/>
                    <w:jc w:val="center"/>
                    <w:rPr>
                      <w:sz w:val="21"/>
                      <w:szCs w:val="21"/>
                    </w:rPr>
                  </w:pPr>
                  <w:r>
                    <w:rPr>
                      <w:sz w:val="21"/>
                      <w:szCs w:val="21"/>
                    </w:rPr>
                    <w:t>96</w:t>
                  </w:r>
                </w:p>
              </w:tc>
            </w:tr>
            <w:tr w14:paraId="5FF52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4F2E4A29">
                  <w:pPr>
                    <w:spacing w:line="240" w:lineRule="auto"/>
                    <w:ind w:firstLine="0" w:firstLineChars="0"/>
                    <w:jc w:val="center"/>
                    <w:rPr>
                      <w:color w:val="000000"/>
                      <w:kern w:val="0"/>
                      <w:sz w:val="21"/>
                      <w:szCs w:val="21"/>
                    </w:rPr>
                  </w:pPr>
                  <w:r>
                    <w:rPr>
                      <w:color w:val="000000"/>
                      <w:kern w:val="0"/>
                      <w:sz w:val="21"/>
                      <w:szCs w:val="21"/>
                    </w:rPr>
                    <w:t>4</w:t>
                  </w:r>
                </w:p>
              </w:tc>
              <w:tc>
                <w:tcPr>
                  <w:tcW w:w="2535" w:type="dxa"/>
                  <w:vAlign w:val="center"/>
                </w:tcPr>
                <w:p w14:paraId="0AACDB10">
                  <w:pPr>
                    <w:spacing w:line="240" w:lineRule="auto"/>
                    <w:ind w:firstLine="0" w:firstLineChars="0"/>
                    <w:jc w:val="center"/>
                    <w:rPr>
                      <w:color w:val="000000"/>
                      <w:kern w:val="0"/>
                      <w:sz w:val="21"/>
                      <w:szCs w:val="21"/>
                    </w:rPr>
                  </w:pPr>
                  <w:r>
                    <w:rPr>
                      <w:color w:val="000000"/>
                      <w:kern w:val="0"/>
                      <w:sz w:val="21"/>
                      <w:szCs w:val="21"/>
                    </w:rPr>
                    <w:t>75.0</w:t>
                  </w:r>
                </w:p>
              </w:tc>
              <w:tc>
                <w:tcPr>
                  <w:tcW w:w="3244" w:type="dxa"/>
                  <w:vAlign w:val="center"/>
                </w:tcPr>
                <w:p w14:paraId="4A3F6841">
                  <w:pPr>
                    <w:widowControl/>
                    <w:spacing w:line="240" w:lineRule="auto"/>
                    <w:ind w:firstLine="0" w:firstLineChars="0"/>
                    <w:jc w:val="center"/>
                    <w:rPr>
                      <w:color w:val="000000"/>
                      <w:kern w:val="0"/>
                      <w:sz w:val="21"/>
                      <w:szCs w:val="21"/>
                    </w:rPr>
                  </w:pPr>
                  <w:r>
                    <w:rPr>
                      <w:color w:val="000000"/>
                      <w:kern w:val="0"/>
                      <w:sz w:val="21"/>
                      <w:szCs w:val="21"/>
                    </w:rPr>
                    <w:t>75</w:t>
                  </w:r>
                </w:p>
              </w:tc>
            </w:tr>
            <w:tr w14:paraId="6E306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33EB1549">
                  <w:pPr>
                    <w:spacing w:line="240" w:lineRule="auto"/>
                    <w:ind w:firstLine="0" w:firstLineChars="0"/>
                    <w:jc w:val="center"/>
                    <w:rPr>
                      <w:color w:val="000000"/>
                      <w:kern w:val="0"/>
                      <w:sz w:val="21"/>
                      <w:szCs w:val="21"/>
                    </w:rPr>
                  </w:pPr>
                  <w:r>
                    <w:rPr>
                      <w:color w:val="000000"/>
                      <w:kern w:val="0"/>
                      <w:sz w:val="21"/>
                      <w:szCs w:val="21"/>
                    </w:rPr>
                    <w:t>5</w:t>
                  </w:r>
                </w:p>
              </w:tc>
              <w:tc>
                <w:tcPr>
                  <w:tcW w:w="2535" w:type="dxa"/>
                  <w:vAlign w:val="center"/>
                </w:tcPr>
                <w:p w14:paraId="5164A1EC">
                  <w:pPr>
                    <w:spacing w:line="240" w:lineRule="auto"/>
                    <w:ind w:firstLine="0" w:firstLineChars="0"/>
                    <w:jc w:val="center"/>
                    <w:rPr>
                      <w:color w:val="000000"/>
                      <w:kern w:val="0"/>
                      <w:sz w:val="21"/>
                      <w:szCs w:val="21"/>
                    </w:rPr>
                  </w:pPr>
                  <w:r>
                    <w:rPr>
                      <w:color w:val="000000"/>
                      <w:kern w:val="0"/>
                      <w:sz w:val="21"/>
                      <w:szCs w:val="21"/>
                    </w:rPr>
                    <w:t>50.0</w:t>
                  </w:r>
                </w:p>
              </w:tc>
              <w:tc>
                <w:tcPr>
                  <w:tcW w:w="3244" w:type="dxa"/>
                  <w:vAlign w:val="center"/>
                </w:tcPr>
                <w:p w14:paraId="3A60C0AE">
                  <w:pPr>
                    <w:widowControl/>
                    <w:spacing w:line="240" w:lineRule="auto"/>
                    <w:ind w:firstLine="0" w:firstLineChars="0"/>
                    <w:jc w:val="center"/>
                    <w:rPr>
                      <w:color w:val="000000"/>
                      <w:kern w:val="0"/>
                      <w:sz w:val="21"/>
                      <w:szCs w:val="21"/>
                    </w:rPr>
                  </w:pPr>
                  <w:r>
                    <w:rPr>
                      <w:color w:val="000000"/>
                      <w:kern w:val="0"/>
                      <w:sz w:val="21"/>
                      <w:szCs w:val="21"/>
                    </w:rPr>
                    <w:t>48</w:t>
                  </w:r>
                </w:p>
              </w:tc>
            </w:tr>
            <w:tr w14:paraId="1564F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598D5F6C">
                  <w:pPr>
                    <w:spacing w:line="240" w:lineRule="auto"/>
                    <w:ind w:firstLine="0" w:firstLineChars="0"/>
                    <w:jc w:val="center"/>
                    <w:rPr>
                      <w:color w:val="000000"/>
                      <w:kern w:val="0"/>
                      <w:sz w:val="21"/>
                      <w:szCs w:val="21"/>
                    </w:rPr>
                  </w:pPr>
                  <w:r>
                    <w:rPr>
                      <w:color w:val="000000"/>
                      <w:kern w:val="0"/>
                      <w:sz w:val="21"/>
                      <w:szCs w:val="21"/>
                    </w:rPr>
                    <w:t>6</w:t>
                  </w:r>
                </w:p>
              </w:tc>
              <w:tc>
                <w:tcPr>
                  <w:tcW w:w="2535" w:type="dxa"/>
                  <w:vAlign w:val="center"/>
                </w:tcPr>
                <w:p w14:paraId="6F114CA1">
                  <w:pPr>
                    <w:spacing w:line="240" w:lineRule="auto"/>
                    <w:ind w:firstLine="0" w:firstLineChars="0"/>
                    <w:jc w:val="center"/>
                    <w:rPr>
                      <w:color w:val="000000"/>
                      <w:kern w:val="0"/>
                      <w:sz w:val="21"/>
                      <w:szCs w:val="21"/>
                    </w:rPr>
                  </w:pPr>
                  <w:r>
                    <w:rPr>
                      <w:color w:val="000000"/>
                      <w:kern w:val="0"/>
                      <w:sz w:val="21"/>
                      <w:szCs w:val="21"/>
                    </w:rPr>
                    <w:t>30.0</w:t>
                  </w:r>
                </w:p>
              </w:tc>
              <w:tc>
                <w:tcPr>
                  <w:tcW w:w="3244" w:type="dxa"/>
                  <w:vAlign w:val="center"/>
                </w:tcPr>
                <w:p w14:paraId="23684325">
                  <w:pPr>
                    <w:widowControl/>
                    <w:spacing w:line="240" w:lineRule="auto"/>
                    <w:ind w:firstLine="0" w:firstLineChars="0"/>
                    <w:jc w:val="center"/>
                    <w:rPr>
                      <w:color w:val="000000"/>
                      <w:kern w:val="0"/>
                      <w:sz w:val="21"/>
                      <w:szCs w:val="21"/>
                    </w:rPr>
                  </w:pPr>
                  <w:r>
                    <w:rPr>
                      <w:color w:val="000000"/>
                      <w:kern w:val="0"/>
                      <w:sz w:val="21"/>
                      <w:szCs w:val="21"/>
                    </w:rPr>
                    <w:t>25</w:t>
                  </w:r>
                </w:p>
              </w:tc>
            </w:tr>
            <w:tr w14:paraId="3334E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2F42D77B">
                  <w:pPr>
                    <w:spacing w:line="240" w:lineRule="auto"/>
                    <w:ind w:firstLine="0" w:firstLineChars="0"/>
                    <w:jc w:val="center"/>
                    <w:rPr>
                      <w:color w:val="000000"/>
                      <w:kern w:val="0"/>
                      <w:sz w:val="21"/>
                      <w:szCs w:val="21"/>
                    </w:rPr>
                  </w:pPr>
                  <w:r>
                    <w:rPr>
                      <w:color w:val="000000"/>
                      <w:kern w:val="0"/>
                      <w:sz w:val="21"/>
                      <w:szCs w:val="21"/>
                    </w:rPr>
                    <w:t>7</w:t>
                  </w:r>
                </w:p>
              </w:tc>
              <w:tc>
                <w:tcPr>
                  <w:tcW w:w="2535" w:type="dxa"/>
                  <w:vAlign w:val="center"/>
                </w:tcPr>
                <w:p w14:paraId="12B98E1D">
                  <w:pPr>
                    <w:spacing w:line="240" w:lineRule="auto"/>
                    <w:ind w:firstLine="0" w:firstLineChars="0"/>
                    <w:jc w:val="center"/>
                    <w:rPr>
                      <w:color w:val="000000"/>
                      <w:kern w:val="0"/>
                      <w:sz w:val="21"/>
                      <w:szCs w:val="21"/>
                    </w:rPr>
                  </w:pPr>
                  <w:r>
                    <w:rPr>
                      <w:color w:val="000000"/>
                      <w:kern w:val="0"/>
                      <w:sz w:val="21"/>
                      <w:szCs w:val="21"/>
                    </w:rPr>
                    <w:t>15.0</w:t>
                  </w:r>
                </w:p>
              </w:tc>
              <w:tc>
                <w:tcPr>
                  <w:tcW w:w="3244" w:type="dxa"/>
                  <w:vAlign w:val="center"/>
                </w:tcPr>
                <w:p w14:paraId="66C33C8C">
                  <w:pPr>
                    <w:widowControl/>
                    <w:spacing w:line="240" w:lineRule="auto"/>
                    <w:ind w:firstLine="0" w:firstLineChars="0"/>
                    <w:jc w:val="center"/>
                    <w:rPr>
                      <w:color w:val="000000"/>
                      <w:kern w:val="0"/>
                      <w:sz w:val="21"/>
                      <w:szCs w:val="21"/>
                    </w:rPr>
                  </w:pPr>
                  <w:r>
                    <w:rPr>
                      <w:color w:val="000000"/>
                      <w:kern w:val="0"/>
                      <w:sz w:val="21"/>
                      <w:szCs w:val="21"/>
                    </w:rPr>
                    <w:t>13</w:t>
                  </w:r>
                </w:p>
              </w:tc>
            </w:tr>
            <w:tr w14:paraId="33D50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31D31DE2">
                  <w:pPr>
                    <w:spacing w:line="240" w:lineRule="auto"/>
                    <w:ind w:firstLine="0" w:firstLineChars="0"/>
                    <w:jc w:val="center"/>
                    <w:rPr>
                      <w:color w:val="000000"/>
                      <w:kern w:val="0"/>
                      <w:sz w:val="21"/>
                      <w:szCs w:val="21"/>
                    </w:rPr>
                  </w:pPr>
                  <w:r>
                    <w:rPr>
                      <w:color w:val="000000"/>
                      <w:kern w:val="0"/>
                      <w:sz w:val="21"/>
                      <w:szCs w:val="21"/>
                    </w:rPr>
                    <w:t>8</w:t>
                  </w:r>
                </w:p>
              </w:tc>
              <w:tc>
                <w:tcPr>
                  <w:tcW w:w="2535" w:type="dxa"/>
                  <w:vAlign w:val="center"/>
                </w:tcPr>
                <w:p w14:paraId="74E3107C">
                  <w:pPr>
                    <w:spacing w:line="240" w:lineRule="auto"/>
                    <w:ind w:firstLine="0" w:firstLineChars="0"/>
                    <w:jc w:val="center"/>
                    <w:rPr>
                      <w:color w:val="000000"/>
                      <w:kern w:val="0"/>
                      <w:sz w:val="21"/>
                      <w:szCs w:val="21"/>
                    </w:rPr>
                  </w:pPr>
                  <w:r>
                    <w:rPr>
                      <w:color w:val="000000"/>
                      <w:kern w:val="0"/>
                      <w:sz w:val="21"/>
                      <w:szCs w:val="21"/>
                    </w:rPr>
                    <w:t>11.2</w:t>
                  </w:r>
                </w:p>
              </w:tc>
              <w:tc>
                <w:tcPr>
                  <w:tcW w:w="3244" w:type="dxa"/>
                  <w:vAlign w:val="center"/>
                </w:tcPr>
                <w:p w14:paraId="719EFC09">
                  <w:pPr>
                    <w:widowControl/>
                    <w:spacing w:line="240" w:lineRule="auto"/>
                    <w:ind w:firstLine="0" w:firstLineChars="0"/>
                    <w:jc w:val="center"/>
                    <w:rPr>
                      <w:color w:val="000000"/>
                      <w:kern w:val="0"/>
                      <w:sz w:val="21"/>
                      <w:szCs w:val="21"/>
                    </w:rPr>
                  </w:pPr>
                  <w:r>
                    <w:rPr>
                      <w:color w:val="000000"/>
                      <w:kern w:val="0"/>
                      <w:sz w:val="21"/>
                      <w:szCs w:val="21"/>
                    </w:rPr>
                    <w:t>10</w:t>
                  </w:r>
                </w:p>
              </w:tc>
            </w:tr>
            <w:tr w14:paraId="5AC3C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5077DEE9">
                  <w:pPr>
                    <w:spacing w:line="240" w:lineRule="auto"/>
                    <w:ind w:firstLine="0" w:firstLineChars="0"/>
                    <w:jc w:val="center"/>
                    <w:rPr>
                      <w:color w:val="000000"/>
                      <w:kern w:val="0"/>
                      <w:sz w:val="21"/>
                      <w:szCs w:val="21"/>
                    </w:rPr>
                  </w:pPr>
                  <w:r>
                    <w:rPr>
                      <w:color w:val="000000"/>
                      <w:kern w:val="0"/>
                      <w:sz w:val="21"/>
                      <w:szCs w:val="21"/>
                    </w:rPr>
                    <w:t>9</w:t>
                  </w:r>
                </w:p>
              </w:tc>
              <w:tc>
                <w:tcPr>
                  <w:tcW w:w="2535" w:type="dxa"/>
                  <w:vAlign w:val="center"/>
                </w:tcPr>
                <w:p w14:paraId="33BE2A43">
                  <w:pPr>
                    <w:spacing w:line="240" w:lineRule="auto"/>
                    <w:ind w:firstLine="0" w:firstLineChars="0"/>
                    <w:jc w:val="center"/>
                    <w:rPr>
                      <w:color w:val="000000"/>
                      <w:kern w:val="0"/>
                      <w:sz w:val="21"/>
                      <w:szCs w:val="21"/>
                    </w:rPr>
                  </w:pPr>
                  <w:r>
                    <w:rPr>
                      <w:color w:val="000000"/>
                      <w:kern w:val="0"/>
                      <w:sz w:val="21"/>
                      <w:szCs w:val="21"/>
                    </w:rPr>
                    <w:t>7.5</w:t>
                  </w:r>
                </w:p>
              </w:tc>
              <w:tc>
                <w:tcPr>
                  <w:tcW w:w="3244" w:type="dxa"/>
                  <w:vAlign w:val="center"/>
                </w:tcPr>
                <w:p w14:paraId="06D8C74F">
                  <w:pPr>
                    <w:widowControl/>
                    <w:spacing w:line="240" w:lineRule="auto"/>
                    <w:ind w:firstLine="0" w:firstLineChars="0"/>
                    <w:jc w:val="center"/>
                    <w:rPr>
                      <w:color w:val="000000"/>
                      <w:kern w:val="0"/>
                      <w:sz w:val="21"/>
                      <w:szCs w:val="21"/>
                    </w:rPr>
                  </w:pPr>
                  <w:r>
                    <w:rPr>
                      <w:color w:val="000000"/>
                      <w:kern w:val="0"/>
                      <w:sz w:val="21"/>
                      <w:szCs w:val="21"/>
                    </w:rPr>
                    <w:t>6.5</w:t>
                  </w:r>
                </w:p>
              </w:tc>
            </w:tr>
            <w:tr w14:paraId="68F02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048F6920">
                  <w:pPr>
                    <w:spacing w:line="240" w:lineRule="auto"/>
                    <w:ind w:firstLine="0" w:firstLineChars="0"/>
                    <w:jc w:val="center"/>
                    <w:rPr>
                      <w:color w:val="000000"/>
                      <w:kern w:val="0"/>
                      <w:sz w:val="21"/>
                      <w:szCs w:val="21"/>
                    </w:rPr>
                  </w:pPr>
                  <w:r>
                    <w:rPr>
                      <w:color w:val="000000"/>
                      <w:kern w:val="0"/>
                      <w:sz w:val="21"/>
                      <w:szCs w:val="21"/>
                    </w:rPr>
                    <w:t>10</w:t>
                  </w:r>
                </w:p>
              </w:tc>
              <w:tc>
                <w:tcPr>
                  <w:tcW w:w="2535" w:type="dxa"/>
                  <w:vAlign w:val="center"/>
                </w:tcPr>
                <w:p w14:paraId="1B6FF901">
                  <w:pPr>
                    <w:spacing w:line="240" w:lineRule="auto"/>
                    <w:ind w:firstLine="0" w:firstLineChars="0"/>
                    <w:jc w:val="center"/>
                    <w:rPr>
                      <w:color w:val="000000"/>
                      <w:kern w:val="0"/>
                      <w:sz w:val="21"/>
                      <w:szCs w:val="21"/>
                    </w:rPr>
                  </w:pPr>
                  <w:r>
                    <w:rPr>
                      <w:color w:val="000000"/>
                      <w:kern w:val="0"/>
                      <w:sz w:val="21"/>
                      <w:szCs w:val="21"/>
                    </w:rPr>
                    <w:t>3.0</w:t>
                  </w:r>
                </w:p>
              </w:tc>
              <w:tc>
                <w:tcPr>
                  <w:tcW w:w="3244" w:type="dxa"/>
                  <w:vAlign w:val="center"/>
                </w:tcPr>
                <w:p w14:paraId="65304DF6">
                  <w:pPr>
                    <w:widowControl/>
                    <w:spacing w:line="240" w:lineRule="auto"/>
                    <w:ind w:firstLine="0" w:firstLineChars="0"/>
                    <w:jc w:val="center"/>
                    <w:rPr>
                      <w:color w:val="000000"/>
                      <w:kern w:val="0"/>
                      <w:sz w:val="21"/>
                      <w:szCs w:val="21"/>
                    </w:rPr>
                  </w:pPr>
                  <w:r>
                    <w:rPr>
                      <w:color w:val="000000"/>
                      <w:kern w:val="0"/>
                      <w:sz w:val="21"/>
                      <w:szCs w:val="21"/>
                    </w:rPr>
                    <w:t>2.6</w:t>
                  </w:r>
                </w:p>
              </w:tc>
            </w:tr>
            <w:tr w14:paraId="5B33E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44A2CAA9">
                  <w:pPr>
                    <w:spacing w:line="240" w:lineRule="auto"/>
                    <w:ind w:firstLine="0" w:firstLineChars="0"/>
                    <w:jc w:val="center"/>
                    <w:rPr>
                      <w:color w:val="000000"/>
                      <w:kern w:val="0"/>
                      <w:sz w:val="21"/>
                      <w:szCs w:val="21"/>
                    </w:rPr>
                  </w:pPr>
                  <w:r>
                    <w:rPr>
                      <w:color w:val="000000"/>
                      <w:kern w:val="0"/>
                      <w:sz w:val="21"/>
                      <w:szCs w:val="21"/>
                    </w:rPr>
                    <w:t>11</w:t>
                  </w:r>
                </w:p>
              </w:tc>
              <w:tc>
                <w:tcPr>
                  <w:tcW w:w="2535" w:type="dxa"/>
                  <w:vAlign w:val="center"/>
                </w:tcPr>
                <w:p w14:paraId="21D0A1C5">
                  <w:pPr>
                    <w:spacing w:line="240" w:lineRule="auto"/>
                    <w:ind w:firstLine="0" w:firstLineChars="0"/>
                    <w:jc w:val="center"/>
                    <w:rPr>
                      <w:color w:val="000000"/>
                      <w:kern w:val="0"/>
                      <w:sz w:val="21"/>
                      <w:szCs w:val="21"/>
                    </w:rPr>
                  </w:pPr>
                  <w:r>
                    <w:rPr>
                      <w:color w:val="000000"/>
                      <w:kern w:val="0"/>
                      <w:sz w:val="21"/>
                      <w:szCs w:val="21"/>
                    </w:rPr>
                    <w:t>1.9</w:t>
                  </w:r>
                </w:p>
              </w:tc>
              <w:tc>
                <w:tcPr>
                  <w:tcW w:w="3244" w:type="dxa"/>
                  <w:vAlign w:val="center"/>
                </w:tcPr>
                <w:p w14:paraId="64B45A76">
                  <w:pPr>
                    <w:widowControl/>
                    <w:spacing w:line="240" w:lineRule="auto"/>
                    <w:ind w:firstLine="0" w:firstLineChars="0"/>
                    <w:jc w:val="center"/>
                    <w:rPr>
                      <w:color w:val="000000"/>
                      <w:kern w:val="0"/>
                      <w:sz w:val="21"/>
                      <w:szCs w:val="21"/>
                    </w:rPr>
                  </w:pPr>
                  <w:r>
                    <w:rPr>
                      <w:color w:val="000000"/>
                      <w:kern w:val="0"/>
                      <w:sz w:val="21"/>
                      <w:szCs w:val="21"/>
                    </w:rPr>
                    <w:t>1.6</w:t>
                  </w:r>
                </w:p>
              </w:tc>
            </w:tr>
            <w:tr w14:paraId="479DF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18" w:type="dxa"/>
                  <w:vAlign w:val="center"/>
                </w:tcPr>
                <w:p w14:paraId="7C6CACAF">
                  <w:pPr>
                    <w:spacing w:line="240" w:lineRule="auto"/>
                    <w:ind w:firstLine="0" w:firstLineChars="0"/>
                    <w:jc w:val="center"/>
                    <w:rPr>
                      <w:color w:val="000000"/>
                      <w:kern w:val="0"/>
                      <w:sz w:val="21"/>
                      <w:szCs w:val="21"/>
                    </w:rPr>
                  </w:pPr>
                  <w:r>
                    <w:rPr>
                      <w:color w:val="000000"/>
                      <w:kern w:val="0"/>
                      <w:sz w:val="21"/>
                      <w:szCs w:val="21"/>
                    </w:rPr>
                    <w:t>12</w:t>
                  </w:r>
                </w:p>
              </w:tc>
              <w:tc>
                <w:tcPr>
                  <w:tcW w:w="2535" w:type="dxa"/>
                  <w:vAlign w:val="center"/>
                </w:tcPr>
                <w:p w14:paraId="1D73BBE2">
                  <w:pPr>
                    <w:spacing w:line="240" w:lineRule="auto"/>
                    <w:ind w:firstLine="0" w:firstLineChars="0"/>
                    <w:jc w:val="center"/>
                    <w:rPr>
                      <w:color w:val="000000"/>
                      <w:kern w:val="0"/>
                      <w:sz w:val="21"/>
                      <w:szCs w:val="21"/>
                    </w:rPr>
                  </w:pPr>
                  <w:r>
                    <w:rPr>
                      <w:color w:val="000000"/>
                      <w:kern w:val="0"/>
                      <w:sz w:val="21"/>
                      <w:szCs w:val="21"/>
                    </w:rPr>
                    <w:t>1.5</w:t>
                  </w:r>
                </w:p>
              </w:tc>
              <w:tc>
                <w:tcPr>
                  <w:tcW w:w="3244" w:type="dxa"/>
                  <w:vAlign w:val="center"/>
                </w:tcPr>
                <w:p w14:paraId="18BC47C4">
                  <w:pPr>
                    <w:widowControl/>
                    <w:spacing w:line="240" w:lineRule="auto"/>
                    <w:ind w:firstLine="0" w:firstLineChars="0"/>
                    <w:jc w:val="center"/>
                    <w:rPr>
                      <w:color w:val="000000"/>
                      <w:kern w:val="0"/>
                      <w:sz w:val="21"/>
                      <w:szCs w:val="21"/>
                    </w:rPr>
                  </w:pPr>
                  <w:r>
                    <w:rPr>
                      <w:color w:val="000000"/>
                      <w:kern w:val="0"/>
                      <w:sz w:val="21"/>
                      <w:szCs w:val="21"/>
                    </w:rPr>
                    <w:t>1.3</w:t>
                  </w:r>
                </w:p>
              </w:tc>
            </w:tr>
          </w:tbl>
          <w:p w14:paraId="261E46B7">
            <w:pPr>
              <w:widowControl/>
              <w:ind w:firstLine="480"/>
              <w:jc w:val="left"/>
            </w:pPr>
            <w:r>
              <w:rPr>
                <w:color w:val="000000"/>
                <w:kern w:val="0"/>
              </w:rPr>
              <w:t>由上表可知，为保证对不同粒径颗粒物的过滤去除效果，选取的覆膜滤料孔径需要小于3.0µm，以保证对粒径大于2.6µm颗粒物的过滤净化效果。</w:t>
            </w:r>
          </w:p>
          <w:p w14:paraId="7D27EC73">
            <w:pPr>
              <w:widowControl/>
              <w:ind w:firstLine="480"/>
              <w:jc w:val="left"/>
              <w:rPr>
                <w:color w:val="000000"/>
                <w:kern w:val="0"/>
              </w:rPr>
            </w:pPr>
            <w:r>
              <w:rPr>
                <w:color w:val="000000"/>
                <w:kern w:val="0"/>
              </w:rPr>
              <w:t>为此，本项目含尘废气处理措施采用</w:t>
            </w:r>
            <w:r>
              <w:rPr>
                <w:rFonts w:hint="eastAsia"/>
                <w:color w:val="000000"/>
                <w:kern w:val="0"/>
              </w:rPr>
              <w:t>脉冲布袋除尘器</w:t>
            </w:r>
            <w:r>
              <w:rPr>
                <w:color w:val="000000"/>
                <w:kern w:val="0"/>
              </w:rPr>
              <w:t>，选用覆膜涤纶针刺毡，滤料滤膜孔径选择在0.3～3µm，可保证排放废气中颗粒物浓度小于10mg/m</w:t>
            </w:r>
            <w:r>
              <w:rPr>
                <w:color w:val="000000"/>
                <w:kern w:val="0"/>
                <w:vertAlign w:val="superscript"/>
              </w:rPr>
              <w:t>3</w:t>
            </w:r>
            <w:r>
              <w:rPr>
                <w:color w:val="000000"/>
                <w:kern w:val="0"/>
              </w:rPr>
              <w:t>。</w:t>
            </w:r>
          </w:p>
          <w:p w14:paraId="65788B32">
            <w:pPr>
              <w:numPr>
                <w:ilvl w:val="0"/>
                <w:numId w:val="14"/>
              </w:numPr>
              <w:ind w:firstLine="480"/>
            </w:pPr>
            <w:r>
              <w:rPr>
                <w:rFonts w:hint="eastAsia"/>
              </w:rPr>
              <w:t>静电式油烟净化器+活性炭吸附装置</w:t>
            </w:r>
          </w:p>
          <w:p w14:paraId="33713DBA">
            <w:pPr>
              <w:ind w:firstLine="480"/>
              <w:rPr>
                <w:color w:val="000000"/>
                <w:kern w:val="0"/>
              </w:rPr>
            </w:pPr>
            <w:r>
              <w:rPr>
                <w:rFonts w:hint="eastAsia"/>
              </w:rPr>
              <w:t>静电式油烟净化器+活性炭吸附装置</w:t>
            </w:r>
            <w:r>
              <w:rPr>
                <w:color w:val="000000"/>
                <w:kern w:val="0"/>
              </w:rPr>
              <w:t>为机械过滤加高压静电收集净化加后置过滤器的组合型油烟净化设备</w:t>
            </w:r>
            <w:r>
              <w:rPr>
                <w:rFonts w:hint="eastAsia"/>
                <w:color w:val="000000"/>
                <w:kern w:val="0"/>
              </w:rPr>
              <w:t>收集油烟，然后</w:t>
            </w:r>
            <w:r>
              <w:t>有机废气</w:t>
            </w:r>
            <w:r>
              <w:rPr>
                <w:rFonts w:hint="eastAsia"/>
              </w:rPr>
              <w:t>通过</w:t>
            </w:r>
            <w:r>
              <w:t>活性炭吸附箱进行吸附净化</w:t>
            </w:r>
            <w:r>
              <w:rPr>
                <w:color w:val="000000"/>
                <w:kern w:val="0"/>
              </w:rPr>
              <w:t>。</w:t>
            </w:r>
          </w:p>
          <w:p w14:paraId="005CBC71">
            <w:pPr>
              <w:widowControl/>
              <w:ind w:firstLine="480"/>
              <w:jc w:val="left"/>
              <w:rPr>
                <w:color w:val="000000"/>
                <w:kern w:val="0"/>
              </w:rPr>
            </w:pPr>
            <w:r>
              <w:rPr>
                <w:color w:val="000000"/>
                <w:kern w:val="0"/>
              </w:rPr>
              <w:t>首先，利用风机负压，将油烟吸入到机械过滤模块</w:t>
            </w:r>
            <w:r>
              <w:rPr>
                <w:rFonts w:hint="eastAsia"/>
                <w:color w:val="000000"/>
                <w:kern w:val="0"/>
                <w:lang w:eastAsia="zh-CN"/>
              </w:rPr>
              <w:t>--</w:t>
            </w:r>
            <w:r>
              <w:rPr>
                <w:color w:val="000000"/>
                <w:kern w:val="0"/>
              </w:rPr>
              <w:t>不锈钢除雾装置。除雾装置内放置层递式的金属除雾网，通过气流碰撞过滤丝网，把雾滴粘结下来，在过滤网内凝结成大油滴，然后在重力的作用下回流到集油盘中。</w:t>
            </w:r>
          </w:p>
          <w:p w14:paraId="2CD0C130">
            <w:pPr>
              <w:widowControl/>
              <w:ind w:firstLine="480"/>
              <w:jc w:val="left"/>
              <w:rPr>
                <w:color w:val="000000"/>
                <w:kern w:val="0"/>
              </w:rPr>
            </w:pPr>
            <w:r>
              <w:rPr>
                <w:color w:val="000000"/>
                <w:kern w:val="0"/>
              </w:rPr>
              <w:t>经过机械过滤后，精细油烟以及烟雾，在高压直流电源的阴和接地的阳之间所形成的高压电场通过时，由于阴发生电晕放电、气体被电离，带负电的气体离子，在电场力的作用下向阳板运动，在运动中与烟气颗粒相碰，则使尘粒荷以负电，荷电后的尘粒到达阳后，放出所带的电子尘粒则沉积于阳板上，而得到净化的气体排出净化器外。</w:t>
            </w:r>
          </w:p>
          <w:p w14:paraId="19B66A5A">
            <w:pPr>
              <w:widowControl/>
              <w:ind w:firstLine="480"/>
              <w:jc w:val="left"/>
              <w:rPr>
                <w:color w:val="000000"/>
                <w:kern w:val="0"/>
                <w:highlight w:val="none"/>
              </w:rPr>
            </w:pPr>
            <w:r>
              <w:rPr>
                <w:color w:val="000000"/>
                <w:kern w:val="0"/>
                <w:highlight w:val="none"/>
              </w:rPr>
              <w:t>油烟净化器的除尘器或集尘板应经常清洗，通常每隔1×2个月清洗一次。净化器的高、低压电场应用</w:t>
            </w:r>
            <w:r>
              <w:rPr>
                <w:rFonts w:hint="eastAsia"/>
                <w:color w:val="000000"/>
                <w:kern w:val="0"/>
                <w:highlight w:val="none"/>
              </w:rPr>
              <w:t>清洗液</w:t>
            </w:r>
            <w:r>
              <w:rPr>
                <w:color w:val="000000"/>
                <w:kern w:val="0"/>
                <w:highlight w:val="none"/>
              </w:rPr>
              <w:t>冲洗至干燥，以保持气流畅通、卫生。当灰尘积聚在净化器底盘和油烟净化器的电极上时，通常每六个月保持一次。长发刷可用于去除每一个电极和风叶片上的灰尘。每两个月清洗一次机器外壳和可变直径连接器，以确保净化器以最佳的性能运行。如果净化器是在尘土飞扬的环境中使用的，那么经常清洗它。</w:t>
            </w:r>
          </w:p>
          <w:p w14:paraId="7C40BFF7">
            <w:pPr>
              <w:widowControl/>
              <w:ind w:firstLine="480"/>
              <w:jc w:val="left"/>
            </w:pPr>
            <w:r>
              <w:rPr>
                <w:color w:val="000000"/>
                <w:kern w:val="0"/>
              </w:rPr>
              <w:t>在静电过滤模块后端，我们会根据实际需要，配置</w:t>
            </w:r>
            <w:r>
              <w:rPr>
                <w:rFonts w:hint="eastAsia"/>
                <w:color w:val="000000"/>
                <w:kern w:val="0"/>
              </w:rPr>
              <w:t>了</w:t>
            </w:r>
            <w:r>
              <w:rPr>
                <w:color w:val="000000"/>
                <w:kern w:val="0"/>
              </w:rPr>
              <w:t>活性炭</w:t>
            </w:r>
            <w:r>
              <w:rPr>
                <w:rFonts w:hint="eastAsia"/>
                <w:color w:val="000000"/>
                <w:kern w:val="0"/>
              </w:rPr>
              <w:t>过滤吸附装置</w:t>
            </w:r>
            <w:r>
              <w:rPr>
                <w:color w:val="000000"/>
                <w:kern w:val="0"/>
              </w:rPr>
              <w:t>，用于</w:t>
            </w:r>
            <w:r>
              <w:rPr>
                <w:rFonts w:hint="eastAsia"/>
                <w:color w:val="000000"/>
                <w:kern w:val="0"/>
              </w:rPr>
              <w:t>挥发性有机物</w:t>
            </w:r>
            <w:r>
              <w:rPr>
                <w:color w:val="000000"/>
                <w:kern w:val="0"/>
              </w:rPr>
              <w:t>的净化治理。</w:t>
            </w:r>
          </w:p>
          <w:p w14:paraId="12317906">
            <w:pPr>
              <w:ind w:firstLine="480"/>
            </w:pPr>
            <w:r>
              <w:rPr>
                <w:rFonts w:hint="eastAsia"/>
              </w:rPr>
              <w:t>本项目设计活性炭过滤吸附装置活性炭比表面积为700</w:t>
            </w:r>
            <w:r>
              <w:t>m</w:t>
            </w:r>
            <w:r>
              <w:rPr>
                <w:vertAlign w:val="superscript"/>
              </w:rPr>
              <w:t>2</w:t>
            </w:r>
            <w:r>
              <w:rPr>
                <w:rFonts w:hint="eastAsia"/>
              </w:rPr>
              <w:t>/g，材质为蜂窝，过滤风速为1.0</w:t>
            </w:r>
            <w:r>
              <w:t>m/</w:t>
            </w:r>
            <w:r>
              <w:rPr>
                <w:rFonts w:hint="eastAsia"/>
              </w:rPr>
              <w:t>s，设计风量为16000</w:t>
            </w:r>
            <w:r>
              <w:t>m</w:t>
            </w:r>
            <w:r>
              <w:rPr>
                <w:vertAlign w:val="superscript"/>
              </w:rPr>
              <w:t>3</w:t>
            </w:r>
            <w:r>
              <w:t>/h</w:t>
            </w:r>
            <w:r>
              <w:rPr>
                <w:rFonts w:hint="eastAsia"/>
              </w:rPr>
              <w:t>，去除效率为90%。根据设计单位提供资料，废气收集装置设置1个活性炭箱，每个活性炭箱为</w:t>
            </w:r>
            <w:r>
              <w:t>0.6m</w:t>
            </w:r>
            <w:r>
              <w:rPr>
                <w:vertAlign w:val="superscript"/>
              </w:rPr>
              <w:t>3</w:t>
            </w:r>
            <w:r>
              <w:rPr>
                <w:rFonts w:hint="eastAsia"/>
              </w:rPr>
              <w:t>，所以每个活性炭箱填充</w:t>
            </w:r>
            <w:r>
              <w:t>600</w:t>
            </w:r>
            <w:r>
              <w:rPr>
                <w:rFonts w:hint="eastAsia"/>
              </w:rPr>
              <w:t>块</w:t>
            </w:r>
            <w:r>
              <w:t>100×100×100mm</w:t>
            </w:r>
            <w:r>
              <w:rPr>
                <w:rFonts w:hint="eastAsia"/>
              </w:rPr>
              <w:t>的蜂窝活性炭，每一立方米活性炭约</w:t>
            </w:r>
            <w:r>
              <w:t>0.5</w:t>
            </w:r>
            <w:r>
              <w:rPr>
                <w:rFonts w:hint="eastAsia"/>
              </w:rPr>
              <w:t>吨，所以活性炭用量为</w:t>
            </w:r>
            <w:r>
              <w:t>0.</w:t>
            </w:r>
            <w:r>
              <w:rPr>
                <w:rFonts w:hint="eastAsia"/>
              </w:rPr>
              <w:t>3吨，活性炭每年更换一次。活性炭吸附装置参数见表4-7。</w:t>
            </w:r>
          </w:p>
          <w:p w14:paraId="7F04FF0E">
            <w:pPr>
              <w:ind w:firstLine="422"/>
              <w:jc w:val="center"/>
              <w:rPr>
                <w:b/>
                <w:bCs/>
                <w:sz w:val="21"/>
                <w:szCs w:val="21"/>
              </w:rPr>
            </w:pPr>
            <w:r>
              <w:rPr>
                <w:rFonts w:hint="eastAsia"/>
                <w:b/>
                <w:bCs/>
                <w:sz w:val="21"/>
                <w:szCs w:val="21"/>
              </w:rPr>
              <w:t>表4-7  活性炭吸附装置技术参数</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11"/>
              <w:gridCol w:w="2055"/>
              <w:gridCol w:w="2382"/>
              <w:gridCol w:w="2345"/>
            </w:tblGrid>
            <w:tr w14:paraId="111B4C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bottom w:val="single" w:color="auto" w:sz="4" w:space="0"/>
                    <w:right w:val="single" w:color="auto" w:sz="4" w:space="0"/>
                  </w:tcBorders>
                  <w:vAlign w:val="center"/>
                </w:tcPr>
                <w:p w14:paraId="091CDD3D">
                  <w:pPr>
                    <w:pStyle w:val="31"/>
                    <w:rPr>
                      <w:sz w:val="21"/>
                    </w:rPr>
                  </w:pPr>
                  <w:r>
                    <w:rPr>
                      <w:rFonts w:hint="eastAsia"/>
                      <w:sz w:val="21"/>
                    </w:rPr>
                    <w:t>序号</w:t>
                  </w:r>
                </w:p>
              </w:tc>
              <w:tc>
                <w:tcPr>
                  <w:tcW w:w="2055" w:type="dxa"/>
                  <w:tcBorders>
                    <w:left w:val="single" w:color="auto" w:sz="4" w:space="0"/>
                    <w:bottom w:val="single" w:color="auto" w:sz="4" w:space="0"/>
                    <w:right w:val="single" w:color="auto" w:sz="4" w:space="0"/>
                  </w:tcBorders>
                  <w:vAlign w:val="center"/>
                </w:tcPr>
                <w:p w14:paraId="476C7F74">
                  <w:pPr>
                    <w:pStyle w:val="31"/>
                    <w:rPr>
                      <w:sz w:val="21"/>
                    </w:rPr>
                  </w:pPr>
                  <w:r>
                    <w:rPr>
                      <w:rFonts w:hint="eastAsia"/>
                      <w:sz w:val="21"/>
                    </w:rPr>
                    <w:t>项目</w:t>
                  </w:r>
                </w:p>
              </w:tc>
              <w:tc>
                <w:tcPr>
                  <w:tcW w:w="2382" w:type="dxa"/>
                  <w:tcBorders>
                    <w:left w:val="single" w:color="auto" w:sz="4" w:space="0"/>
                    <w:bottom w:val="single" w:color="auto" w:sz="4" w:space="0"/>
                    <w:right w:val="single" w:color="auto" w:sz="4" w:space="0"/>
                  </w:tcBorders>
                  <w:vAlign w:val="center"/>
                </w:tcPr>
                <w:p w14:paraId="65C95195">
                  <w:pPr>
                    <w:pStyle w:val="31"/>
                    <w:rPr>
                      <w:sz w:val="21"/>
                    </w:rPr>
                  </w:pPr>
                  <w:r>
                    <w:rPr>
                      <w:rFonts w:hint="eastAsia"/>
                      <w:sz w:val="21"/>
                    </w:rPr>
                    <w:t>单位</w:t>
                  </w:r>
                </w:p>
              </w:tc>
              <w:tc>
                <w:tcPr>
                  <w:tcW w:w="2345" w:type="dxa"/>
                  <w:tcBorders>
                    <w:left w:val="single" w:color="auto" w:sz="4" w:space="0"/>
                    <w:bottom w:val="single" w:color="auto" w:sz="4" w:space="0"/>
                  </w:tcBorders>
                  <w:vAlign w:val="center"/>
                </w:tcPr>
                <w:p w14:paraId="3E2E7090">
                  <w:pPr>
                    <w:pStyle w:val="31"/>
                    <w:rPr>
                      <w:sz w:val="21"/>
                    </w:rPr>
                  </w:pPr>
                  <w:r>
                    <w:rPr>
                      <w:rFonts w:hint="eastAsia"/>
                      <w:sz w:val="21"/>
                    </w:rPr>
                    <w:t>参数</w:t>
                  </w:r>
                </w:p>
              </w:tc>
            </w:tr>
            <w:tr w14:paraId="505CDC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top w:val="single" w:color="auto" w:sz="4" w:space="0"/>
                    <w:bottom w:val="single" w:color="auto" w:sz="4" w:space="0"/>
                    <w:right w:val="single" w:color="auto" w:sz="4" w:space="0"/>
                  </w:tcBorders>
                  <w:vAlign w:val="center"/>
                </w:tcPr>
                <w:p w14:paraId="10AD7507">
                  <w:pPr>
                    <w:pStyle w:val="31"/>
                    <w:rPr>
                      <w:sz w:val="21"/>
                    </w:rPr>
                  </w:pPr>
                  <w:r>
                    <w:rPr>
                      <w:rFonts w:hint="eastAsia"/>
                      <w:sz w:val="21"/>
                    </w:rPr>
                    <w:t>1</w:t>
                  </w:r>
                </w:p>
              </w:tc>
              <w:tc>
                <w:tcPr>
                  <w:tcW w:w="2055" w:type="dxa"/>
                  <w:tcBorders>
                    <w:top w:val="single" w:color="auto" w:sz="4" w:space="0"/>
                    <w:left w:val="single" w:color="auto" w:sz="4" w:space="0"/>
                    <w:bottom w:val="single" w:color="auto" w:sz="4" w:space="0"/>
                    <w:right w:val="single" w:color="auto" w:sz="4" w:space="0"/>
                  </w:tcBorders>
                  <w:vAlign w:val="center"/>
                </w:tcPr>
                <w:p w14:paraId="15E5C806">
                  <w:pPr>
                    <w:pStyle w:val="31"/>
                    <w:rPr>
                      <w:sz w:val="21"/>
                    </w:rPr>
                  </w:pPr>
                  <w:r>
                    <w:rPr>
                      <w:rFonts w:hint="eastAsia"/>
                      <w:sz w:val="21"/>
                    </w:rPr>
                    <w:t>风机</w:t>
                  </w:r>
                  <w:r>
                    <w:rPr>
                      <w:sz w:val="21"/>
                    </w:rPr>
                    <w:t>风量</w:t>
                  </w:r>
                </w:p>
              </w:tc>
              <w:tc>
                <w:tcPr>
                  <w:tcW w:w="2382" w:type="dxa"/>
                  <w:tcBorders>
                    <w:top w:val="single" w:color="auto" w:sz="4" w:space="0"/>
                    <w:left w:val="single" w:color="auto" w:sz="4" w:space="0"/>
                    <w:bottom w:val="single" w:color="auto" w:sz="4" w:space="0"/>
                    <w:right w:val="single" w:color="auto" w:sz="4" w:space="0"/>
                  </w:tcBorders>
                  <w:vAlign w:val="center"/>
                </w:tcPr>
                <w:p w14:paraId="6FC079B0">
                  <w:pPr>
                    <w:pStyle w:val="31"/>
                    <w:rPr>
                      <w:sz w:val="21"/>
                    </w:rPr>
                  </w:pPr>
                  <w:r>
                    <w:rPr>
                      <w:rFonts w:hint="eastAsia"/>
                      <w:sz w:val="21"/>
                    </w:rPr>
                    <w:t>m</w:t>
                  </w:r>
                  <w:r>
                    <w:rPr>
                      <w:rFonts w:hint="eastAsia"/>
                      <w:sz w:val="21"/>
                      <w:vertAlign w:val="superscript"/>
                    </w:rPr>
                    <w:t>3</w:t>
                  </w:r>
                  <w:r>
                    <w:rPr>
                      <w:rFonts w:hint="eastAsia"/>
                      <w:sz w:val="21"/>
                    </w:rPr>
                    <w:t>/h</w:t>
                  </w:r>
                </w:p>
              </w:tc>
              <w:tc>
                <w:tcPr>
                  <w:tcW w:w="2345" w:type="dxa"/>
                  <w:tcBorders>
                    <w:top w:val="single" w:color="auto" w:sz="4" w:space="0"/>
                    <w:left w:val="single" w:color="auto" w:sz="4" w:space="0"/>
                    <w:bottom w:val="single" w:color="auto" w:sz="4" w:space="0"/>
                  </w:tcBorders>
                  <w:vAlign w:val="center"/>
                </w:tcPr>
                <w:p w14:paraId="75DCF58A">
                  <w:pPr>
                    <w:pStyle w:val="31"/>
                    <w:rPr>
                      <w:sz w:val="21"/>
                    </w:rPr>
                  </w:pPr>
                  <w:r>
                    <w:rPr>
                      <w:rFonts w:hint="eastAsia"/>
                      <w:sz w:val="21"/>
                    </w:rPr>
                    <w:t>16000</w:t>
                  </w:r>
                </w:p>
              </w:tc>
            </w:tr>
            <w:tr w14:paraId="6FFB4D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top w:val="single" w:color="auto" w:sz="4" w:space="0"/>
                    <w:bottom w:val="single" w:color="auto" w:sz="4" w:space="0"/>
                    <w:right w:val="single" w:color="auto" w:sz="4" w:space="0"/>
                  </w:tcBorders>
                  <w:vAlign w:val="center"/>
                </w:tcPr>
                <w:p w14:paraId="21899595">
                  <w:pPr>
                    <w:pStyle w:val="31"/>
                    <w:rPr>
                      <w:sz w:val="21"/>
                    </w:rPr>
                  </w:pPr>
                  <w:r>
                    <w:rPr>
                      <w:rFonts w:hint="eastAsia"/>
                      <w:sz w:val="21"/>
                    </w:rPr>
                    <w:t>2</w:t>
                  </w:r>
                </w:p>
              </w:tc>
              <w:tc>
                <w:tcPr>
                  <w:tcW w:w="2055" w:type="dxa"/>
                  <w:tcBorders>
                    <w:top w:val="single" w:color="auto" w:sz="4" w:space="0"/>
                    <w:left w:val="single" w:color="auto" w:sz="4" w:space="0"/>
                    <w:bottom w:val="single" w:color="auto" w:sz="4" w:space="0"/>
                    <w:right w:val="single" w:color="auto" w:sz="4" w:space="0"/>
                  </w:tcBorders>
                  <w:vAlign w:val="center"/>
                </w:tcPr>
                <w:p w14:paraId="3FFBF990">
                  <w:pPr>
                    <w:pStyle w:val="31"/>
                    <w:rPr>
                      <w:sz w:val="21"/>
                    </w:rPr>
                  </w:pPr>
                  <w:r>
                    <w:rPr>
                      <w:rFonts w:hint="eastAsia"/>
                      <w:sz w:val="21"/>
                    </w:rPr>
                    <w:t>处理</w:t>
                  </w:r>
                  <w:r>
                    <w:rPr>
                      <w:sz w:val="21"/>
                    </w:rPr>
                    <w:t>效率</w:t>
                  </w:r>
                </w:p>
              </w:tc>
              <w:tc>
                <w:tcPr>
                  <w:tcW w:w="2382" w:type="dxa"/>
                  <w:tcBorders>
                    <w:top w:val="single" w:color="auto" w:sz="4" w:space="0"/>
                    <w:left w:val="single" w:color="auto" w:sz="4" w:space="0"/>
                    <w:bottom w:val="single" w:color="auto" w:sz="4" w:space="0"/>
                    <w:right w:val="single" w:color="auto" w:sz="4" w:space="0"/>
                  </w:tcBorders>
                  <w:vAlign w:val="center"/>
                </w:tcPr>
                <w:p w14:paraId="7EEDBB0C">
                  <w:pPr>
                    <w:pStyle w:val="31"/>
                    <w:rPr>
                      <w:sz w:val="21"/>
                    </w:rPr>
                  </w:pPr>
                  <w:r>
                    <w:rPr>
                      <w:rFonts w:hint="eastAsia"/>
                      <w:sz w:val="21"/>
                    </w:rPr>
                    <w:t>%</w:t>
                  </w:r>
                </w:p>
              </w:tc>
              <w:tc>
                <w:tcPr>
                  <w:tcW w:w="2345" w:type="dxa"/>
                  <w:tcBorders>
                    <w:top w:val="single" w:color="auto" w:sz="4" w:space="0"/>
                    <w:left w:val="single" w:color="auto" w:sz="4" w:space="0"/>
                    <w:bottom w:val="single" w:color="auto" w:sz="4" w:space="0"/>
                  </w:tcBorders>
                  <w:vAlign w:val="center"/>
                </w:tcPr>
                <w:p w14:paraId="2544CA58">
                  <w:pPr>
                    <w:pStyle w:val="31"/>
                    <w:rPr>
                      <w:sz w:val="21"/>
                    </w:rPr>
                  </w:pPr>
                  <w:r>
                    <w:rPr>
                      <w:rFonts w:hint="eastAsia"/>
                      <w:sz w:val="21"/>
                    </w:rPr>
                    <w:t>90</w:t>
                  </w:r>
                </w:p>
              </w:tc>
            </w:tr>
            <w:tr w14:paraId="5E74B0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top w:val="single" w:color="auto" w:sz="4" w:space="0"/>
                    <w:bottom w:val="single" w:color="auto" w:sz="4" w:space="0"/>
                    <w:right w:val="single" w:color="auto" w:sz="4" w:space="0"/>
                  </w:tcBorders>
                  <w:vAlign w:val="center"/>
                </w:tcPr>
                <w:p w14:paraId="355F7FE2">
                  <w:pPr>
                    <w:pStyle w:val="31"/>
                    <w:rPr>
                      <w:sz w:val="21"/>
                    </w:rPr>
                  </w:pPr>
                  <w:r>
                    <w:rPr>
                      <w:rFonts w:hint="eastAsia"/>
                      <w:sz w:val="21"/>
                    </w:rPr>
                    <w:t>3</w:t>
                  </w:r>
                </w:p>
              </w:tc>
              <w:tc>
                <w:tcPr>
                  <w:tcW w:w="2055" w:type="dxa"/>
                  <w:tcBorders>
                    <w:top w:val="single" w:color="auto" w:sz="4" w:space="0"/>
                    <w:left w:val="single" w:color="auto" w:sz="4" w:space="0"/>
                    <w:bottom w:val="single" w:color="auto" w:sz="4" w:space="0"/>
                    <w:right w:val="single" w:color="auto" w:sz="4" w:space="0"/>
                  </w:tcBorders>
                  <w:vAlign w:val="center"/>
                </w:tcPr>
                <w:p w14:paraId="05F90085">
                  <w:pPr>
                    <w:pStyle w:val="31"/>
                    <w:rPr>
                      <w:sz w:val="21"/>
                    </w:rPr>
                  </w:pPr>
                  <w:r>
                    <w:rPr>
                      <w:rFonts w:hint="eastAsia"/>
                      <w:sz w:val="21"/>
                    </w:rPr>
                    <w:t>过滤</w:t>
                  </w:r>
                  <w:r>
                    <w:rPr>
                      <w:sz w:val="21"/>
                    </w:rPr>
                    <w:t>风速</w:t>
                  </w:r>
                </w:p>
              </w:tc>
              <w:tc>
                <w:tcPr>
                  <w:tcW w:w="2382" w:type="dxa"/>
                  <w:tcBorders>
                    <w:top w:val="single" w:color="auto" w:sz="4" w:space="0"/>
                    <w:left w:val="single" w:color="auto" w:sz="4" w:space="0"/>
                    <w:bottom w:val="single" w:color="auto" w:sz="4" w:space="0"/>
                    <w:right w:val="single" w:color="auto" w:sz="4" w:space="0"/>
                  </w:tcBorders>
                  <w:vAlign w:val="center"/>
                </w:tcPr>
                <w:p w14:paraId="3BAB56CD">
                  <w:pPr>
                    <w:pStyle w:val="31"/>
                    <w:rPr>
                      <w:sz w:val="21"/>
                    </w:rPr>
                  </w:pPr>
                  <w:r>
                    <w:rPr>
                      <w:rFonts w:hint="eastAsia"/>
                      <w:sz w:val="21"/>
                    </w:rPr>
                    <w:t>m/s</w:t>
                  </w:r>
                </w:p>
              </w:tc>
              <w:tc>
                <w:tcPr>
                  <w:tcW w:w="2345" w:type="dxa"/>
                  <w:tcBorders>
                    <w:top w:val="single" w:color="auto" w:sz="4" w:space="0"/>
                    <w:left w:val="single" w:color="auto" w:sz="4" w:space="0"/>
                    <w:bottom w:val="single" w:color="auto" w:sz="4" w:space="0"/>
                  </w:tcBorders>
                  <w:vAlign w:val="center"/>
                </w:tcPr>
                <w:p w14:paraId="468628FC">
                  <w:pPr>
                    <w:pStyle w:val="31"/>
                    <w:rPr>
                      <w:sz w:val="21"/>
                    </w:rPr>
                  </w:pPr>
                  <w:r>
                    <w:rPr>
                      <w:rFonts w:hint="eastAsia"/>
                      <w:sz w:val="21"/>
                    </w:rPr>
                    <w:t>1.0</w:t>
                  </w:r>
                </w:p>
              </w:tc>
            </w:tr>
            <w:tr w14:paraId="299BE6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top w:val="single" w:color="auto" w:sz="4" w:space="0"/>
                    <w:bottom w:val="single" w:color="auto" w:sz="4" w:space="0"/>
                    <w:right w:val="single" w:color="auto" w:sz="4" w:space="0"/>
                  </w:tcBorders>
                  <w:vAlign w:val="center"/>
                </w:tcPr>
                <w:p w14:paraId="1F7886D0">
                  <w:pPr>
                    <w:pStyle w:val="31"/>
                    <w:rPr>
                      <w:sz w:val="21"/>
                    </w:rPr>
                  </w:pPr>
                  <w:r>
                    <w:rPr>
                      <w:rFonts w:hint="eastAsia"/>
                      <w:sz w:val="21"/>
                    </w:rPr>
                    <w:t>4</w:t>
                  </w:r>
                </w:p>
              </w:tc>
              <w:tc>
                <w:tcPr>
                  <w:tcW w:w="2055" w:type="dxa"/>
                  <w:tcBorders>
                    <w:top w:val="single" w:color="auto" w:sz="4" w:space="0"/>
                    <w:left w:val="single" w:color="auto" w:sz="4" w:space="0"/>
                    <w:bottom w:val="single" w:color="auto" w:sz="4" w:space="0"/>
                    <w:right w:val="single" w:color="auto" w:sz="4" w:space="0"/>
                  </w:tcBorders>
                  <w:vAlign w:val="center"/>
                </w:tcPr>
                <w:p w14:paraId="4996C633">
                  <w:pPr>
                    <w:pStyle w:val="31"/>
                    <w:rPr>
                      <w:sz w:val="21"/>
                    </w:rPr>
                  </w:pPr>
                  <w:r>
                    <w:rPr>
                      <w:rFonts w:hint="eastAsia"/>
                      <w:sz w:val="21"/>
                    </w:rPr>
                    <w:t>比表面积</w:t>
                  </w:r>
                </w:p>
              </w:tc>
              <w:tc>
                <w:tcPr>
                  <w:tcW w:w="2382" w:type="dxa"/>
                  <w:tcBorders>
                    <w:top w:val="single" w:color="auto" w:sz="4" w:space="0"/>
                    <w:left w:val="single" w:color="auto" w:sz="4" w:space="0"/>
                    <w:bottom w:val="single" w:color="auto" w:sz="4" w:space="0"/>
                    <w:right w:val="single" w:color="auto" w:sz="4" w:space="0"/>
                  </w:tcBorders>
                  <w:vAlign w:val="center"/>
                </w:tcPr>
                <w:p w14:paraId="24B8701A">
                  <w:pPr>
                    <w:pStyle w:val="31"/>
                    <w:rPr>
                      <w:sz w:val="21"/>
                    </w:rPr>
                  </w:pPr>
                  <w:r>
                    <w:rPr>
                      <w:rFonts w:hint="eastAsia"/>
                      <w:sz w:val="21"/>
                    </w:rPr>
                    <w:t>m</w:t>
                  </w:r>
                  <w:r>
                    <w:rPr>
                      <w:rFonts w:hint="eastAsia"/>
                      <w:sz w:val="21"/>
                      <w:vertAlign w:val="superscript"/>
                    </w:rPr>
                    <w:t>2</w:t>
                  </w:r>
                  <w:r>
                    <w:rPr>
                      <w:rFonts w:hint="eastAsia"/>
                      <w:sz w:val="21"/>
                    </w:rPr>
                    <w:t>/g</w:t>
                  </w:r>
                </w:p>
              </w:tc>
              <w:tc>
                <w:tcPr>
                  <w:tcW w:w="2345" w:type="dxa"/>
                  <w:tcBorders>
                    <w:top w:val="single" w:color="auto" w:sz="4" w:space="0"/>
                    <w:left w:val="single" w:color="auto" w:sz="4" w:space="0"/>
                    <w:bottom w:val="single" w:color="auto" w:sz="4" w:space="0"/>
                  </w:tcBorders>
                  <w:vAlign w:val="center"/>
                </w:tcPr>
                <w:p w14:paraId="47A05727">
                  <w:pPr>
                    <w:pStyle w:val="31"/>
                    <w:rPr>
                      <w:sz w:val="21"/>
                    </w:rPr>
                  </w:pPr>
                  <w:r>
                    <w:rPr>
                      <w:rFonts w:hint="eastAsia"/>
                      <w:sz w:val="21"/>
                    </w:rPr>
                    <w:t>700</w:t>
                  </w:r>
                </w:p>
              </w:tc>
            </w:tr>
            <w:tr w14:paraId="29ED69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top w:val="single" w:color="auto" w:sz="4" w:space="0"/>
                    <w:bottom w:val="single" w:color="auto" w:sz="4" w:space="0"/>
                    <w:right w:val="single" w:color="auto" w:sz="4" w:space="0"/>
                  </w:tcBorders>
                  <w:vAlign w:val="center"/>
                </w:tcPr>
                <w:p w14:paraId="68992928">
                  <w:pPr>
                    <w:pStyle w:val="31"/>
                    <w:rPr>
                      <w:sz w:val="21"/>
                    </w:rPr>
                  </w:pPr>
                  <w:r>
                    <w:rPr>
                      <w:rFonts w:hint="eastAsia"/>
                      <w:sz w:val="21"/>
                    </w:rPr>
                    <w:t>5</w:t>
                  </w:r>
                </w:p>
              </w:tc>
              <w:tc>
                <w:tcPr>
                  <w:tcW w:w="2055" w:type="dxa"/>
                  <w:tcBorders>
                    <w:top w:val="single" w:color="auto" w:sz="4" w:space="0"/>
                    <w:left w:val="single" w:color="auto" w:sz="4" w:space="0"/>
                    <w:bottom w:val="single" w:color="auto" w:sz="4" w:space="0"/>
                    <w:right w:val="single" w:color="auto" w:sz="4" w:space="0"/>
                  </w:tcBorders>
                  <w:vAlign w:val="center"/>
                </w:tcPr>
                <w:p w14:paraId="5FB36F3E">
                  <w:pPr>
                    <w:pStyle w:val="31"/>
                    <w:rPr>
                      <w:sz w:val="21"/>
                    </w:rPr>
                  </w:pPr>
                  <w:r>
                    <w:rPr>
                      <w:rFonts w:hint="eastAsia"/>
                      <w:sz w:val="21"/>
                    </w:rPr>
                    <w:t>吸附材料</w:t>
                  </w:r>
                </w:p>
              </w:tc>
              <w:tc>
                <w:tcPr>
                  <w:tcW w:w="2382" w:type="dxa"/>
                  <w:tcBorders>
                    <w:top w:val="single" w:color="auto" w:sz="4" w:space="0"/>
                    <w:left w:val="single" w:color="auto" w:sz="4" w:space="0"/>
                    <w:bottom w:val="single" w:color="auto" w:sz="4" w:space="0"/>
                    <w:right w:val="single" w:color="auto" w:sz="4" w:space="0"/>
                  </w:tcBorders>
                  <w:vAlign w:val="center"/>
                </w:tcPr>
                <w:p w14:paraId="21ADC4F7">
                  <w:pPr>
                    <w:pStyle w:val="31"/>
                    <w:rPr>
                      <w:sz w:val="21"/>
                    </w:rPr>
                  </w:pPr>
                  <w:r>
                    <w:rPr>
                      <w:rFonts w:hint="eastAsia"/>
                      <w:sz w:val="21"/>
                    </w:rPr>
                    <w:t>-</w:t>
                  </w:r>
                </w:p>
              </w:tc>
              <w:tc>
                <w:tcPr>
                  <w:tcW w:w="2345" w:type="dxa"/>
                  <w:tcBorders>
                    <w:top w:val="single" w:color="auto" w:sz="4" w:space="0"/>
                    <w:left w:val="single" w:color="auto" w:sz="4" w:space="0"/>
                    <w:bottom w:val="single" w:color="auto" w:sz="4" w:space="0"/>
                  </w:tcBorders>
                  <w:vAlign w:val="center"/>
                </w:tcPr>
                <w:p w14:paraId="583AAEC4">
                  <w:pPr>
                    <w:pStyle w:val="31"/>
                    <w:rPr>
                      <w:sz w:val="21"/>
                    </w:rPr>
                  </w:pPr>
                  <w:r>
                    <w:rPr>
                      <w:rFonts w:hint="eastAsia"/>
                      <w:sz w:val="21"/>
                    </w:rPr>
                    <w:t>蜂窝活性炭</w:t>
                  </w:r>
                </w:p>
              </w:tc>
            </w:tr>
            <w:tr w14:paraId="180872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11" w:type="dxa"/>
                  <w:tcBorders>
                    <w:top w:val="single" w:color="auto" w:sz="4" w:space="0"/>
                    <w:right w:val="single" w:color="auto" w:sz="4" w:space="0"/>
                  </w:tcBorders>
                  <w:vAlign w:val="center"/>
                </w:tcPr>
                <w:p w14:paraId="1B3E3651">
                  <w:pPr>
                    <w:pStyle w:val="31"/>
                    <w:rPr>
                      <w:sz w:val="21"/>
                    </w:rPr>
                  </w:pPr>
                  <w:r>
                    <w:rPr>
                      <w:rFonts w:hint="eastAsia"/>
                      <w:sz w:val="21"/>
                    </w:rPr>
                    <w:t>6</w:t>
                  </w:r>
                </w:p>
              </w:tc>
              <w:tc>
                <w:tcPr>
                  <w:tcW w:w="2055" w:type="dxa"/>
                  <w:tcBorders>
                    <w:top w:val="single" w:color="auto" w:sz="4" w:space="0"/>
                    <w:left w:val="single" w:color="auto" w:sz="4" w:space="0"/>
                    <w:right w:val="single" w:color="auto" w:sz="4" w:space="0"/>
                  </w:tcBorders>
                  <w:vAlign w:val="center"/>
                </w:tcPr>
                <w:p w14:paraId="458F1F5C">
                  <w:pPr>
                    <w:pStyle w:val="31"/>
                    <w:rPr>
                      <w:sz w:val="21"/>
                    </w:rPr>
                  </w:pPr>
                  <w:r>
                    <w:rPr>
                      <w:rFonts w:hint="eastAsia"/>
                      <w:sz w:val="21"/>
                    </w:rPr>
                    <w:t>吸附碘值</w:t>
                  </w:r>
                </w:p>
              </w:tc>
              <w:tc>
                <w:tcPr>
                  <w:tcW w:w="2382" w:type="dxa"/>
                  <w:tcBorders>
                    <w:top w:val="single" w:color="auto" w:sz="4" w:space="0"/>
                    <w:left w:val="single" w:color="auto" w:sz="4" w:space="0"/>
                    <w:right w:val="single" w:color="auto" w:sz="4" w:space="0"/>
                  </w:tcBorders>
                  <w:vAlign w:val="center"/>
                </w:tcPr>
                <w:p w14:paraId="41E78020">
                  <w:pPr>
                    <w:pStyle w:val="31"/>
                    <w:rPr>
                      <w:sz w:val="21"/>
                    </w:rPr>
                  </w:pPr>
                  <w:r>
                    <w:rPr>
                      <w:rFonts w:hint="eastAsia"/>
                      <w:sz w:val="21"/>
                    </w:rPr>
                    <w:t>mg/g</w:t>
                  </w:r>
                </w:p>
              </w:tc>
              <w:tc>
                <w:tcPr>
                  <w:tcW w:w="2345" w:type="dxa"/>
                  <w:tcBorders>
                    <w:top w:val="single" w:color="auto" w:sz="4" w:space="0"/>
                    <w:left w:val="single" w:color="auto" w:sz="4" w:space="0"/>
                  </w:tcBorders>
                  <w:vAlign w:val="center"/>
                </w:tcPr>
                <w:p w14:paraId="11A0862C">
                  <w:pPr>
                    <w:pStyle w:val="31"/>
                    <w:rPr>
                      <w:sz w:val="21"/>
                    </w:rPr>
                  </w:pPr>
                  <w:r>
                    <w:rPr>
                      <w:rFonts w:hint="eastAsia"/>
                      <w:sz w:val="21"/>
                    </w:rPr>
                    <w:t>800</w:t>
                  </w:r>
                </w:p>
              </w:tc>
            </w:tr>
          </w:tbl>
          <w:p w14:paraId="4A0B4748">
            <w:pPr>
              <w:ind w:firstLine="480"/>
            </w:pPr>
            <w:r>
              <w:rPr>
                <w:color w:val="000000"/>
              </w:rPr>
              <w:t>按照</w:t>
            </w:r>
            <w:r>
              <w:rPr>
                <w:rFonts w:hint="eastAsia"/>
              </w:rPr>
              <w:t>《排放源统计调查产排污核算方法和系数手册》中36汽车制造业行业系数手册中可知，该治理技术为可行性技术。</w:t>
            </w:r>
          </w:p>
          <w:p w14:paraId="7BF57B77">
            <w:pPr>
              <w:numPr>
                <w:ilvl w:val="0"/>
                <w:numId w:val="14"/>
              </w:numPr>
              <w:ind w:firstLine="480"/>
              <w:rPr>
                <w:highlight w:val="none"/>
              </w:rPr>
            </w:pPr>
            <w:r>
              <w:rPr>
                <w:rFonts w:hint="eastAsia"/>
                <w:highlight w:val="none"/>
              </w:rPr>
              <w:t>环形燃烧器</w:t>
            </w:r>
          </w:p>
          <w:p w14:paraId="174DA387">
            <w:pPr>
              <w:widowControl/>
              <w:ind w:firstLine="480"/>
              <w:jc w:val="left"/>
              <w:rPr>
                <w:color w:val="000000"/>
                <w:kern w:val="0"/>
                <w:highlight w:val="none"/>
              </w:rPr>
            </w:pPr>
            <w:r>
              <w:rPr>
                <w:rFonts w:hint="eastAsia"/>
                <w:color w:val="000000"/>
                <w:kern w:val="0"/>
                <w:highlight w:val="none"/>
              </w:rPr>
              <w:t>燃烧器将燃料的化学能转变为热能的设备。燃烧器的应用范围：凡是以液体和气体燃料为能源，直接利用其热能的场合都可适用。如各类锅炉、加热炉、烘烤炉、喷涂炉、直燃式空调机等等。燃烧器的基本要求：运行安全、节约能源、保护环境。燃烧器是使燃料和空气以一定方式喷出混合（或混合喷出）燃烧的装置统称。</w:t>
            </w:r>
          </w:p>
          <w:p w14:paraId="232D4650">
            <w:pPr>
              <w:widowControl/>
              <w:ind w:firstLine="480"/>
              <w:jc w:val="left"/>
              <w:rPr>
                <w:color w:val="000000"/>
                <w:kern w:val="0"/>
                <w:highlight w:val="none"/>
              </w:rPr>
            </w:pPr>
            <w:r>
              <w:rPr>
                <w:rFonts w:hint="eastAsia"/>
                <w:color w:val="000000"/>
                <w:kern w:val="0"/>
                <w:highlight w:val="none"/>
              </w:rPr>
              <w:t>环形燃烧器的工作原理：环形燃烧器由圆形喷口组成，燃烧器中装有各种型式的旋流发生器（简称旋流器）。丙烷气流或热空气通过旋流器时，发生旋转，从喷出后即形成旋转射流。利用旋转射流，能形成有利于着火的高温烟气回流区，并使气流强烈混合。射出喷口后在气流中心形成回流区，这个回流区叫内回流区。内回流区卷吸炉内的高温烟气来加热丙烷气流，当丙烷气流拥有了一定热量并达到着火温度后就开始着火，火焰从内回流区的内边缘向外传播。与此同时，在旋转气流的也形成回流区，这个回流区叫外回流区。外回流区也卷吸高温烟气来加热空气和丙烷气流。由于二次风也形成旋转气流，二次风与一次风的混合比较强烈，使燃烧过程连续进行，不断发展，直至燃尽。</w:t>
            </w:r>
          </w:p>
          <w:p w14:paraId="0BF89E93">
            <w:pPr>
              <w:widowControl/>
              <w:ind w:firstLine="480"/>
              <w:jc w:val="left"/>
              <w:rPr>
                <w:color w:val="000000"/>
                <w:kern w:val="0"/>
                <w:highlight w:val="none"/>
              </w:rPr>
            </w:pPr>
            <w:r>
              <w:rPr>
                <w:rFonts w:hint="eastAsia"/>
                <w:color w:val="000000"/>
                <w:kern w:val="0"/>
                <w:highlight w:val="none"/>
              </w:rPr>
              <w:t>本项目一套环形燃烧器配备配备两个喷口，当渗碳多用炉炉门关闭状态下，只开启渗碳多用炉顶部防爆口的环形燃烧器喷口（流量较小）；当渗碳多用炉炉门开启状态下，同时开启渗碳多用炉顶部防爆口的环形燃烧器喷口（流量较小）和炉门一侧的环形燃烧器喷口（流量较大）。有效燃烧炉内产生的废气，防治爆炸隐患。</w:t>
            </w:r>
          </w:p>
          <w:p w14:paraId="1A971E19">
            <w:pPr>
              <w:ind w:firstLine="480"/>
              <w:rPr>
                <w:highlight w:val="none"/>
              </w:rPr>
            </w:pPr>
            <w:r>
              <w:rPr>
                <w:color w:val="000000"/>
                <w:kern w:val="0"/>
                <w:highlight w:val="none"/>
              </w:rPr>
              <w:t>为此，本项目</w:t>
            </w:r>
            <w:r>
              <w:rPr>
                <w:rFonts w:hint="eastAsia"/>
                <w:color w:val="000000"/>
                <w:kern w:val="0"/>
                <w:highlight w:val="none"/>
              </w:rPr>
              <w:t>渗碳工序</w:t>
            </w:r>
            <w:r>
              <w:rPr>
                <w:color w:val="000000"/>
                <w:kern w:val="0"/>
                <w:highlight w:val="none"/>
              </w:rPr>
              <w:t>处理措施采用</w:t>
            </w:r>
            <w:r>
              <w:rPr>
                <w:rFonts w:hint="eastAsia"/>
                <w:color w:val="000000"/>
                <w:kern w:val="0"/>
                <w:highlight w:val="none"/>
              </w:rPr>
              <w:t>设备自带的环形燃烧器</w:t>
            </w:r>
            <w:r>
              <w:rPr>
                <w:color w:val="000000"/>
                <w:kern w:val="0"/>
                <w:highlight w:val="none"/>
              </w:rPr>
              <w:t>，</w:t>
            </w:r>
            <w:r>
              <w:rPr>
                <w:rFonts w:hint="eastAsia"/>
                <w:color w:val="000000"/>
                <w:kern w:val="0"/>
                <w:highlight w:val="none"/>
              </w:rPr>
              <w:t>燃烧渗碳多用炉内可燃气体（甲醇、甲烷、H</w:t>
            </w:r>
            <w:r>
              <w:rPr>
                <w:rFonts w:hint="eastAsia"/>
                <w:color w:val="000000"/>
                <w:kern w:val="0"/>
                <w:highlight w:val="none"/>
                <w:vertAlign w:val="subscript"/>
              </w:rPr>
              <w:t>2</w:t>
            </w:r>
            <w:r>
              <w:rPr>
                <w:rFonts w:hint="eastAsia"/>
                <w:color w:val="000000"/>
                <w:kern w:val="0"/>
                <w:highlight w:val="none"/>
              </w:rPr>
              <w:t>、CO）</w:t>
            </w:r>
            <w:r>
              <w:rPr>
                <w:color w:val="000000"/>
                <w:kern w:val="0"/>
                <w:highlight w:val="none"/>
              </w:rPr>
              <w:t>，可保证排放废气</w:t>
            </w:r>
            <w:r>
              <w:rPr>
                <w:rFonts w:hint="eastAsia"/>
                <w:color w:val="000000"/>
                <w:kern w:val="0"/>
                <w:highlight w:val="none"/>
              </w:rPr>
              <w:t>有效燃烧</w:t>
            </w:r>
            <w:r>
              <w:rPr>
                <w:color w:val="000000"/>
                <w:kern w:val="0"/>
                <w:highlight w:val="none"/>
              </w:rPr>
              <w:t>。</w:t>
            </w:r>
            <w:r>
              <w:rPr>
                <w:color w:val="000000"/>
                <w:highlight w:val="none"/>
              </w:rPr>
              <w:t>按照</w:t>
            </w:r>
            <w:r>
              <w:rPr>
                <w:rFonts w:hint="eastAsia"/>
                <w:highlight w:val="none"/>
              </w:rPr>
              <w:t>《排放源统计调查产排污核算方法和系数手册》中36汽车制造业行业系数手册中可知，该治理技术为可行性技术。</w:t>
            </w:r>
          </w:p>
          <w:p w14:paraId="0B9E3257">
            <w:pPr>
              <w:numPr>
                <w:ilvl w:val="0"/>
                <w:numId w:val="14"/>
              </w:numPr>
              <w:ind w:firstLine="480"/>
              <w:rPr>
                <w:highlight w:val="none"/>
              </w:rPr>
            </w:pPr>
            <w:r>
              <w:rPr>
                <w:rFonts w:hint="eastAsia"/>
                <w:highlight w:val="none"/>
              </w:rPr>
              <w:t>工业油烟净化器</w:t>
            </w:r>
          </w:p>
          <w:p w14:paraId="3E22C734">
            <w:pPr>
              <w:widowControl/>
              <w:ind w:firstLine="480"/>
              <w:jc w:val="left"/>
              <w:rPr>
                <w:color w:val="000000"/>
                <w:kern w:val="0"/>
                <w:highlight w:val="none"/>
              </w:rPr>
            </w:pPr>
            <w:r>
              <w:rPr>
                <w:rFonts w:hint="eastAsia"/>
                <w:color w:val="000000"/>
                <w:kern w:val="0"/>
                <w:highlight w:val="none"/>
              </w:rPr>
              <w:t>数控</w:t>
            </w:r>
            <w:r>
              <w:rPr>
                <w:color w:val="000000"/>
                <w:kern w:val="0"/>
                <w:highlight w:val="none"/>
              </w:rPr>
              <w:t>滚齿机</w:t>
            </w:r>
            <w:r>
              <w:rPr>
                <w:rFonts w:hint="eastAsia"/>
                <w:color w:val="000000"/>
                <w:kern w:val="0"/>
                <w:highlight w:val="none"/>
              </w:rPr>
              <w:t>（高速运转）</w:t>
            </w:r>
            <w:r>
              <w:rPr>
                <w:color w:val="000000"/>
                <w:kern w:val="0"/>
                <w:highlight w:val="none"/>
              </w:rPr>
              <w:t>要使用</w:t>
            </w:r>
            <w:r>
              <w:rPr>
                <w:rFonts w:hint="eastAsia"/>
                <w:color w:val="000000"/>
                <w:kern w:val="0"/>
                <w:highlight w:val="none"/>
              </w:rPr>
              <w:t>液压油</w:t>
            </w:r>
            <w:r>
              <w:rPr>
                <w:color w:val="000000"/>
                <w:kern w:val="0"/>
                <w:highlight w:val="none"/>
              </w:rPr>
              <w:t>作为冷却液，这些设备加工过程中一般达到每分钟几百转，高速运转过程中，常常会出现大量烟雾。这些烟雾的粒径大多在0.07</w:t>
            </w:r>
            <w:r>
              <w:rPr>
                <w:rFonts w:hint="eastAsia"/>
                <w:color w:val="000000"/>
                <w:kern w:val="0"/>
                <w:highlight w:val="none"/>
              </w:rPr>
              <w:t>-1微米之间，这种类型的油雾，无法用机械式、离心式的油雾净化设备进行处理，只能采用带有后置过滤器的静电式油雾收集器。</w:t>
            </w:r>
          </w:p>
          <w:p w14:paraId="1DE9620F">
            <w:pPr>
              <w:ind w:firstLine="480"/>
              <w:rPr>
                <w:color w:val="000000"/>
                <w:kern w:val="0"/>
                <w:highlight w:val="none"/>
              </w:rPr>
            </w:pPr>
            <w:r>
              <w:rPr>
                <w:rFonts w:hint="eastAsia"/>
                <w:highlight w:val="none"/>
              </w:rPr>
              <w:t>本项目</w:t>
            </w:r>
            <w:r>
              <w:rPr>
                <w:rFonts w:hint="eastAsia"/>
                <w:color w:val="000000"/>
                <w:kern w:val="0"/>
                <w:highlight w:val="none"/>
              </w:rPr>
              <w:t>数控</w:t>
            </w:r>
            <w:r>
              <w:rPr>
                <w:color w:val="000000"/>
                <w:kern w:val="0"/>
                <w:highlight w:val="none"/>
              </w:rPr>
              <w:t>滚齿机</w:t>
            </w:r>
            <w:r>
              <w:rPr>
                <w:rFonts w:hint="eastAsia"/>
                <w:color w:val="000000"/>
                <w:kern w:val="0"/>
                <w:highlight w:val="none"/>
              </w:rPr>
              <w:t>（高速运转）配备的</w:t>
            </w:r>
            <w:r>
              <w:rPr>
                <w:rFonts w:hint="eastAsia"/>
                <w:highlight w:val="none"/>
              </w:rPr>
              <w:t>工业油烟净化器</w:t>
            </w:r>
            <w:r>
              <w:rPr>
                <w:color w:val="000000"/>
                <w:kern w:val="0"/>
                <w:highlight w:val="none"/>
              </w:rPr>
              <w:t>为机械过滤加高压静电收集净化加后置过滤器的组合型油烟净化设备</w:t>
            </w:r>
            <w:r>
              <w:rPr>
                <w:rFonts w:hint="eastAsia"/>
                <w:color w:val="000000"/>
                <w:kern w:val="0"/>
                <w:highlight w:val="none"/>
              </w:rPr>
              <w:t>收集油雾</w:t>
            </w:r>
            <w:r>
              <w:rPr>
                <w:color w:val="000000"/>
                <w:kern w:val="0"/>
                <w:highlight w:val="none"/>
              </w:rPr>
              <w:t>。</w:t>
            </w:r>
          </w:p>
          <w:p w14:paraId="59243783">
            <w:pPr>
              <w:widowControl/>
              <w:ind w:firstLine="480"/>
              <w:jc w:val="left"/>
              <w:rPr>
                <w:color w:val="000000"/>
                <w:kern w:val="0"/>
                <w:highlight w:val="none"/>
              </w:rPr>
            </w:pPr>
            <w:r>
              <w:rPr>
                <w:color w:val="000000"/>
                <w:kern w:val="0"/>
                <w:highlight w:val="none"/>
              </w:rPr>
              <w:t>首先，利用风机负压，将油烟吸入到机械过滤模块</w:t>
            </w:r>
            <w:r>
              <w:rPr>
                <w:rFonts w:hint="eastAsia"/>
                <w:color w:val="000000"/>
                <w:kern w:val="0"/>
                <w:highlight w:val="none"/>
                <w:lang w:eastAsia="zh-CN"/>
              </w:rPr>
              <w:t>--</w:t>
            </w:r>
            <w:r>
              <w:rPr>
                <w:color w:val="000000"/>
                <w:kern w:val="0"/>
                <w:highlight w:val="none"/>
              </w:rPr>
              <w:t>不锈钢除雾装置。除雾装置内放置层递式的金属除雾网，通过气流碰撞过滤丝网，把雾滴粘结下来，在过滤网内凝结成大油滴，然后在重力的作用下回流到集油盘中。</w:t>
            </w:r>
          </w:p>
          <w:p w14:paraId="10908320">
            <w:pPr>
              <w:widowControl/>
              <w:ind w:firstLine="480"/>
              <w:jc w:val="left"/>
              <w:rPr>
                <w:color w:val="000000"/>
                <w:kern w:val="0"/>
                <w:highlight w:val="none"/>
              </w:rPr>
            </w:pPr>
            <w:r>
              <w:rPr>
                <w:color w:val="000000"/>
                <w:kern w:val="0"/>
                <w:highlight w:val="none"/>
              </w:rPr>
              <w:t>经过机械过滤后，精细油烟以及烟雾，在高压直流电源的阴和接地的阳之间所形成的高压电场通过时，由于阴发生电晕放电、气体被电离，带负电的气体离子，在电场力的作用下向阳板运动，在运动中与烟气颗粒相碰，则使尘粒荷以负电，荷电后的尘粒到达阳后，放出所带的电子尘粒则沉积于阳板上，而得到净化的气体排出净化器外。</w:t>
            </w:r>
          </w:p>
          <w:p w14:paraId="17A16F1D">
            <w:pPr>
              <w:pStyle w:val="13"/>
              <w:ind w:left="0" w:leftChars="0" w:right="-14" w:rightChars="-6" w:firstLineChars="300"/>
              <w:rPr>
                <w:highlight w:val="none"/>
              </w:rPr>
            </w:pPr>
            <w:r>
              <w:rPr>
                <w:color w:val="000000"/>
                <w:kern w:val="0"/>
                <w:highlight w:val="none"/>
              </w:rPr>
              <w:t>工业</w:t>
            </w:r>
            <w:r>
              <w:rPr>
                <w:rFonts w:hint="eastAsia"/>
                <w:color w:val="000000"/>
                <w:kern w:val="0"/>
                <w:highlight w:val="none"/>
              </w:rPr>
              <w:t>油雾净化器回收处理再利用，可以大大节约这一部分成本，因而设备具有一定的经济性，处理率高。因此，</w:t>
            </w:r>
            <w:r>
              <w:rPr>
                <w:rFonts w:hint="eastAsia"/>
                <w:highlight w:val="none"/>
              </w:rPr>
              <w:t>该治理技术为可行性技术。</w:t>
            </w:r>
          </w:p>
          <w:p w14:paraId="5CAE5A11">
            <w:pPr>
              <w:pStyle w:val="13"/>
              <w:spacing w:after="0"/>
              <w:ind w:left="0" w:leftChars="0" w:right="0" w:rightChars="0" w:firstLine="480"/>
            </w:pPr>
            <w:r>
              <w:rPr>
                <w:rFonts w:hint="eastAsia"/>
              </w:rPr>
              <w:t>综上所述，</w:t>
            </w:r>
            <w:r>
              <w:t>在采取环评中要求的治理措施后，企业各污染物排放均能满足国家相应标准要求，对周围环境影响很小，环境影响可以接受</w:t>
            </w:r>
            <w:r>
              <w:rPr>
                <w:rFonts w:hint="eastAsia"/>
              </w:rPr>
              <w:t>。</w:t>
            </w:r>
          </w:p>
          <w:p w14:paraId="3F5B5442">
            <w:pPr>
              <w:ind w:firstLine="480"/>
            </w:pPr>
            <w:r>
              <w:rPr>
                <w:rFonts w:hint="eastAsia"/>
              </w:rPr>
              <w:t>5、监测计划</w:t>
            </w:r>
          </w:p>
          <w:p w14:paraId="536366AC">
            <w:pPr>
              <w:ind w:firstLine="480"/>
              <w:rPr>
                <w:kern w:val="1"/>
              </w:rPr>
            </w:pPr>
            <w:r>
              <w:rPr>
                <w:snapToGrid w:val="0"/>
                <w:color w:val="000000"/>
                <w:kern w:val="0"/>
              </w:rPr>
              <w:t>根据本建设项目性质与实际情况，</w:t>
            </w:r>
            <w:r>
              <w:rPr>
                <w:color w:val="000000"/>
              </w:rPr>
              <w:t>按照《排污单位自行监测技术指南 总则》</w:t>
            </w:r>
            <w:r>
              <w:rPr>
                <w:rFonts w:hint="eastAsia"/>
                <w:color w:val="000000"/>
              </w:rPr>
              <w:t>、</w:t>
            </w:r>
            <w:r>
              <w:rPr>
                <w:rFonts w:hint="eastAsia"/>
              </w:rPr>
              <w:t>《排污许可证申请与核发技术规范 汽车制造业》（HJ971</w:t>
            </w:r>
            <w:r>
              <w:rPr>
                <w:rFonts w:hint="eastAsia"/>
                <w:lang w:eastAsia="zh-CN"/>
              </w:rPr>
              <w:t>-</w:t>
            </w:r>
            <w:r>
              <w:rPr>
                <w:rFonts w:hint="eastAsia"/>
              </w:rPr>
              <w:t>2018）中零部件及配件生产排污单位</w:t>
            </w:r>
            <w:r>
              <w:rPr>
                <w:rFonts w:hint="eastAsia"/>
                <w:kern w:val="1"/>
              </w:rPr>
              <w:t>要求，企业投入运营后废气监测因子、监测频次情况见下表。</w:t>
            </w:r>
          </w:p>
          <w:p w14:paraId="5E63FDA7">
            <w:pPr>
              <w:pStyle w:val="36"/>
              <w:rPr>
                <w:sz w:val="21"/>
                <w:szCs w:val="21"/>
              </w:rPr>
            </w:pPr>
            <w:r>
              <w:rPr>
                <w:sz w:val="21"/>
                <w:szCs w:val="21"/>
              </w:rPr>
              <w:t>表</w:t>
            </w:r>
            <w:r>
              <w:rPr>
                <w:rFonts w:hint="eastAsia"/>
                <w:sz w:val="21"/>
                <w:szCs w:val="21"/>
              </w:rPr>
              <w:t>4-8</w:t>
            </w:r>
            <w:r>
              <w:rPr>
                <w:sz w:val="21"/>
                <w:szCs w:val="21"/>
              </w:rPr>
              <w:t xml:space="preserve">  项目废</w:t>
            </w:r>
            <w:r>
              <w:rPr>
                <w:rFonts w:hint="eastAsia"/>
                <w:sz w:val="21"/>
                <w:szCs w:val="21"/>
              </w:rPr>
              <w:t>气</w:t>
            </w:r>
            <w:r>
              <w:rPr>
                <w:sz w:val="21"/>
                <w:szCs w:val="21"/>
              </w:rPr>
              <w:t>监测计划表</w:t>
            </w:r>
          </w:p>
          <w:tbl>
            <w:tblPr>
              <w:tblStyle w:val="22"/>
              <w:tblW w:w="835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994"/>
              <w:gridCol w:w="1215"/>
              <w:gridCol w:w="885"/>
              <w:gridCol w:w="4481"/>
            </w:tblGrid>
            <w:tr w14:paraId="22E350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71" w:type="dxa"/>
                  <w:gridSpan w:val="2"/>
                  <w:tcBorders>
                    <w:tl2br w:val="nil"/>
                    <w:tr2bl w:val="nil"/>
                  </w:tcBorders>
                  <w:tcMar>
                    <w:top w:w="15" w:type="dxa"/>
                    <w:left w:w="15" w:type="dxa"/>
                    <w:bottom w:w="15" w:type="dxa"/>
                    <w:right w:w="15" w:type="dxa"/>
                  </w:tcMar>
                  <w:vAlign w:val="center"/>
                </w:tcPr>
                <w:p w14:paraId="553B19AE">
                  <w:pPr>
                    <w:pStyle w:val="31"/>
                    <w:rPr>
                      <w:sz w:val="21"/>
                    </w:rPr>
                  </w:pPr>
                  <w:r>
                    <w:rPr>
                      <w:sz w:val="21"/>
                    </w:rPr>
                    <w:t>监测点位</w:t>
                  </w:r>
                </w:p>
              </w:tc>
              <w:tc>
                <w:tcPr>
                  <w:tcW w:w="1215" w:type="dxa"/>
                  <w:tcBorders>
                    <w:tl2br w:val="nil"/>
                    <w:tr2bl w:val="nil"/>
                  </w:tcBorders>
                  <w:tcMar>
                    <w:top w:w="15" w:type="dxa"/>
                    <w:left w:w="15" w:type="dxa"/>
                    <w:bottom w:w="15" w:type="dxa"/>
                    <w:right w:w="15" w:type="dxa"/>
                  </w:tcMar>
                  <w:vAlign w:val="center"/>
                </w:tcPr>
                <w:p w14:paraId="3D99BB30">
                  <w:pPr>
                    <w:pStyle w:val="31"/>
                    <w:rPr>
                      <w:sz w:val="21"/>
                    </w:rPr>
                  </w:pPr>
                  <w:r>
                    <w:rPr>
                      <w:sz w:val="21"/>
                    </w:rPr>
                    <w:t>监测因子</w:t>
                  </w:r>
                </w:p>
              </w:tc>
              <w:tc>
                <w:tcPr>
                  <w:tcW w:w="885" w:type="dxa"/>
                  <w:tcBorders>
                    <w:tl2br w:val="nil"/>
                    <w:tr2bl w:val="nil"/>
                  </w:tcBorders>
                  <w:tcMar>
                    <w:top w:w="15" w:type="dxa"/>
                    <w:left w:w="15" w:type="dxa"/>
                    <w:bottom w:w="15" w:type="dxa"/>
                    <w:right w:w="15" w:type="dxa"/>
                  </w:tcMar>
                  <w:vAlign w:val="center"/>
                </w:tcPr>
                <w:p w14:paraId="3AA38FED">
                  <w:pPr>
                    <w:pStyle w:val="31"/>
                    <w:rPr>
                      <w:sz w:val="21"/>
                    </w:rPr>
                  </w:pPr>
                  <w:r>
                    <w:rPr>
                      <w:sz w:val="21"/>
                    </w:rPr>
                    <w:t>监测频次</w:t>
                  </w:r>
                </w:p>
              </w:tc>
              <w:tc>
                <w:tcPr>
                  <w:tcW w:w="4481" w:type="dxa"/>
                  <w:tcBorders>
                    <w:tl2br w:val="nil"/>
                    <w:tr2bl w:val="nil"/>
                  </w:tcBorders>
                  <w:tcMar>
                    <w:top w:w="15" w:type="dxa"/>
                    <w:left w:w="15" w:type="dxa"/>
                    <w:bottom w:w="15" w:type="dxa"/>
                    <w:right w:w="15" w:type="dxa"/>
                  </w:tcMar>
                  <w:vAlign w:val="center"/>
                </w:tcPr>
                <w:p w14:paraId="0245A425">
                  <w:pPr>
                    <w:pStyle w:val="31"/>
                    <w:rPr>
                      <w:sz w:val="21"/>
                    </w:rPr>
                  </w:pPr>
                  <w:r>
                    <w:rPr>
                      <w:sz w:val="21"/>
                    </w:rPr>
                    <w:t>执行排放标准</w:t>
                  </w:r>
                </w:p>
              </w:tc>
            </w:tr>
            <w:tr w14:paraId="69BBA6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7" w:type="dxa"/>
                  <w:vMerge w:val="restart"/>
                  <w:tcBorders>
                    <w:tl2br w:val="nil"/>
                    <w:tr2bl w:val="nil"/>
                  </w:tcBorders>
                  <w:tcMar>
                    <w:top w:w="15" w:type="dxa"/>
                    <w:left w:w="15" w:type="dxa"/>
                    <w:bottom w:w="15" w:type="dxa"/>
                    <w:right w:w="15" w:type="dxa"/>
                  </w:tcMar>
                  <w:vAlign w:val="center"/>
                </w:tcPr>
                <w:p w14:paraId="651494AD">
                  <w:pPr>
                    <w:pStyle w:val="31"/>
                    <w:rPr>
                      <w:sz w:val="21"/>
                    </w:rPr>
                  </w:pPr>
                  <w:r>
                    <w:rPr>
                      <w:rFonts w:hint="eastAsia"/>
                      <w:sz w:val="21"/>
                    </w:rPr>
                    <w:t>有组织</w:t>
                  </w:r>
                </w:p>
              </w:tc>
              <w:tc>
                <w:tcPr>
                  <w:tcW w:w="994" w:type="dxa"/>
                  <w:vMerge w:val="restart"/>
                  <w:tcBorders>
                    <w:tl2br w:val="nil"/>
                    <w:tr2bl w:val="nil"/>
                  </w:tcBorders>
                  <w:tcMar>
                    <w:top w:w="15" w:type="dxa"/>
                    <w:left w:w="15" w:type="dxa"/>
                    <w:bottom w:w="15" w:type="dxa"/>
                    <w:right w:w="15" w:type="dxa"/>
                  </w:tcMar>
                  <w:vAlign w:val="center"/>
                </w:tcPr>
                <w:p w14:paraId="15C32FD6">
                  <w:pPr>
                    <w:pStyle w:val="31"/>
                    <w:rPr>
                      <w:sz w:val="21"/>
                      <w:highlight w:val="none"/>
                    </w:rPr>
                  </w:pPr>
                  <w:r>
                    <w:rPr>
                      <w:rFonts w:hint="eastAsia"/>
                      <w:sz w:val="21"/>
                    </w:rPr>
                    <w:t>淬</w:t>
                  </w:r>
                  <w:r>
                    <w:rPr>
                      <w:rFonts w:hint="eastAsia"/>
                      <w:sz w:val="21"/>
                      <w:highlight w:val="none"/>
                    </w:rPr>
                    <w:t>火/回火</w:t>
                  </w:r>
                </w:p>
                <w:p w14:paraId="1784130D">
                  <w:pPr>
                    <w:pStyle w:val="31"/>
                  </w:pPr>
                  <w:r>
                    <w:rPr>
                      <w:sz w:val="21"/>
                      <w:highlight w:val="none"/>
                    </w:rPr>
                    <w:t>（DA00</w:t>
                  </w:r>
                  <w:r>
                    <w:rPr>
                      <w:rFonts w:hint="eastAsia"/>
                      <w:sz w:val="21"/>
                      <w:highlight w:val="none"/>
                      <w:lang w:val="en-US" w:eastAsia="zh-CN"/>
                    </w:rPr>
                    <w:t>1</w:t>
                  </w:r>
                  <w:r>
                    <w:rPr>
                      <w:sz w:val="21"/>
                    </w:rPr>
                    <w:t>）</w:t>
                  </w:r>
                </w:p>
              </w:tc>
              <w:tc>
                <w:tcPr>
                  <w:tcW w:w="1215" w:type="dxa"/>
                  <w:tcBorders>
                    <w:tl2br w:val="nil"/>
                    <w:tr2bl w:val="nil"/>
                  </w:tcBorders>
                  <w:tcMar>
                    <w:top w:w="15" w:type="dxa"/>
                    <w:left w:w="15" w:type="dxa"/>
                    <w:bottom w:w="15" w:type="dxa"/>
                    <w:right w:w="15" w:type="dxa"/>
                  </w:tcMar>
                  <w:vAlign w:val="center"/>
                </w:tcPr>
                <w:p w14:paraId="763498F5">
                  <w:pPr>
                    <w:pStyle w:val="31"/>
                    <w:rPr>
                      <w:sz w:val="21"/>
                    </w:rPr>
                  </w:pPr>
                  <w:r>
                    <w:rPr>
                      <w:rFonts w:hint="eastAsia"/>
                      <w:sz w:val="21"/>
                    </w:rPr>
                    <w:t>挥发性有机物（以非甲烷总烃代）</w:t>
                  </w:r>
                </w:p>
              </w:tc>
              <w:tc>
                <w:tcPr>
                  <w:tcW w:w="885" w:type="dxa"/>
                  <w:tcBorders>
                    <w:tl2br w:val="nil"/>
                    <w:tr2bl w:val="nil"/>
                  </w:tcBorders>
                  <w:tcMar>
                    <w:top w:w="15" w:type="dxa"/>
                    <w:left w:w="15" w:type="dxa"/>
                    <w:bottom w:w="15" w:type="dxa"/>
                    <w:right w:w="15" w:type="dxa"/>
                  </w:tcMar>
                  <w:vAlign w:val="center"/>
                </w:tcPr>
                <w:p w14:paraId="7CB7C9EF">
                  <w:pPr>
                    <w:pStyle w:val="31"/>
                    <w:rPr>
                      <w:sz w:val="21"/>
                    </w:rPr>
                  </w:pPr>
                  <w:r>
                    <w:rPr>
                      <w:sz w:val="21"/>
                    </w:rPr>
                    <w:t>1次/年</w:t>
                  </w:r>
                </w:p>
              </w:tc>
              <w:tc>
                <w:tcPr>
                  <w:tcW w:w="4481" w:type="dxa"/>
                  <w:tcBorders>
                    <w:tl2br w:val="nil"/>
                    <w:tr2bl w:val="nil"/>
                  </w:tcBorders>
                  <w:tcMar>
                    <w:top w:w="15" w:type="dxa"/>
                    <w:left w:w="15" w:type="dxa"/>
                    <w:bottom w:w="15" w:type="dxa"/>
                    <w:right w:w="15" w:type="dxa"/>
                  </w:tcMar>
                  <w:vAlign w:val="center"/>
                </w:tcPr>
                <w:p w14:paraId="78E388F7">
                  <w:pPr>
                    <w:pStyle w:val="31"/>
                    <w:rPr>
                      <w:sz w:val="21"/>
                    </w:rPr>
                  </w:pPr>
                  <w:r>
                    <w:rPr>
                      <w:sz w:val="21"/>
                    </w:rPr>
                    <w:t>《工业企业挥发性有机物排放标准》（DB13/2322-2016）表1中</w:t>
                  </w:r>
                  <w:r>
                    <w:rPr>
                      <w:rFonts w:hint="eastAsia"/>
                      <w:sz w:val="21"/>
                    </w:rPr>
                    <w:t>交通运输设备制造业（其他企业有机废气排放口）非甲烷总烃最高允许有组织排放浓度70</w:t>
                  </w:r>
                  <w:r>
                    <w:rPr>
                      <w:sz w:val="21"/>
                    </w:rPr>
                    <w:t>mg/m</w:t>
                  </w:r>
                  <w:r>
                    <w:rPr>
                      <w:sz w:val="21"/>
                      <w:vertAlign w:val="superscript"/>
                    </w:rPr>
                    <w:t>3</w:t>
                  </w:r>
                </w:p>
              </w:tc>
            </w:tr>
            <w:tr w14:paraId="1D95EB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7" w:type="dxa"/>
                  <w:vMerge w:val="continue"/>
                  <w:tcBorders>
                    <w:tl2br w:val="nil"/>
                    <w:tr2bl w:val="nil"/>
                  </w:tcBorders>
                  <w:tcMar>
                    <w:top w:w="15" w:type="dxa"/>
                    <w:left w:w="15" w:type="dxa"/>
                    <w:bottom w:w="15" w:type="dxa"/>
                    <w:right w:w="15" w:type="dxa"/>
                  </w:tcMar>
                  <w:vAlign w:val="center"/>
                </w:tcPr>
                <w:p w14:paraId="00F4FADE">
                  <w:pPr>
                    <w:pStyle w:val="31"/>
                    <w:rPr>
                      <w:sz w:val="21"/>
                    </w:rPr>
                  </w:pPr>
                </w:p>
              </w:tc>
              <w:tc>
                <w:tcPr>
                  <w:tcW w:w="994" w:type="dxa"/>
                  <w:vMerge w:val="continue"/>
                  <w:tcBorders>
                    <w:tl2br w:val="nil"/>
                    <w:tr2bl w:val="nil"/>
                  </w:tcBorders>
                  <w:tcMar>
                    <w:top w:w="15" w:type="dxa"/>
                    <w:left w:w="15" w:type="dxa"/>
                    <w:bottom w:w="15" w:type="dxa"/>
                    <w:right w:w="15" w:type="dxa"/>
                  </w:tcMar>
                  <w:vAlign w:val="center"/>
                </w:tcPr>
                <w:p w14:paraId="37481A90">
                  <w:pPr>
                    <w:pStyle w:val="31"/>
                    <w:rPr>
                      <w:sz w:val="21"/>
                    </w:rPr>
                  </w:pPr>
                </w:p>
              </w:tc>
              <w:tc>
                <w:tcPr>
                  <w:tcW w:w="1215" w:type="dxa"/>
                  <w:tcBorders>
                    <w:tl2br w:val="nil"/>
                    <w:tr2bl w:val="nil"/>
                  </w:tcBorders>
                  <w:tcMar>
                    <w:top w:w="15" w:type="dxa"/>
                    <w:left w:w="15" w:type="dxa"/>
                    <w:bottom w:w="15" w:type="dxa"/>
                    <w:right w:w="15" w:type="dxa"/>
                  </w:tcMar>
                  <w:vAlign w:val="center"/>
                </w:tcPr>
                <w:p w14:paraId="722C3BC2">
                  <w:pPr>
                    <w:pStyle w:val="31"/>
                    <w:rPr>
                      <w:sz w:val="21"/>
                    </w:rPr>
                  </w:pPr>
                  <w:r>
                    <w:rPr>
                      <w:rFonts w:hint="eastAsia"/>
                      <w:sz w:val="21"/>
                    </w:rPr>
                    <w:t>油雾</w:t>
                  </w:r>
                </w:p>
              </w:tc>
              <w:tc>
                <w:tcPr>
                  <w:tcW w:w="885" w:type="dxa"/>
                  <w:tcBorders>
                    <w:tl2br w:val="nil"/>
                    <w:tr2bl w:val="nil"/>
                  </w:tcBorders>
                  <w:tcMar>
                    <w:top w:w="15" w:type="dxa"/>
                    <w:left w:w="15" w:type="dxa"/>
                    <w:bottom w:w="15" w:type="dxa"/>
                    <w:right w:w="15" w:type="dxa"/>
                  </w:tcMar>
                  <w:vAlign w:val="center"/>
                </w:tcPr>
                <w:p w14:paraId="155D4E76">
                  <w:pPr>
                    <w:pStyle w:val="31"/>
                    <w:rPr>
                      <w:sz w:val="21"/>
                    </w:rPr>
                  </w:pPr>
                  <w:r>
                    <w:rPr>
                      <w:sz w:val="21"/>
                    </w:rPr>
                    <w:t>1次/年</w:t>
                  </w:r>
                </w:p>
              </w:tc>
              <w:tc>
                <w:tcPr>
                  <w:tcW w:w="4481" w:type="dxa"/>
                  <w:tcBorders>
                    <w:tl2br w:val="nil"/>
                    <w:tr2bl w:val="nil"/>
                  </w:tcBorders>
                  <w:tcMar>
                    <w:top w:w="15" w:type="dxa"/>
                    <w:left w:w="15" w:type="dxa"/>
                    <w:bottom w:w="15" w:type="dxa"/>
                    <w:right w:w="15" w:type="dxa"/>
                  </w:tcMar>
                  <w:vAlign w:val="center"/>
                </w:tcPr>
                <w:p w14:paraId="25A3CB1E">
                  <w:pPr>
                    <w:widowControl/>
                    <w:spacing w:line="240" w:lineRule="auto"/>
                    <w:ind w:firstLine="420"/>
                    <w:jc w:val="center"/>
                    <w:rPr>
                      <w:sz w:val="21"/>
                      <w:szCs w:val="21"/>
                    </w:rPr>
                  </w:pPr>
                  <w:r>
                    <w:rPr>
                      <w:sz w:val="21"/>
                      <w:szCs w:val="21"/>
                    </w:rPr>
                    <w:t>《钢铁工业大气污染物超低排放标准》(DB13/2169-2018)中表</w:t>
                  </w:r>
                  <w:r>
                    <w:rPr>
                      <w:rFonts w:hint="eastAsia"/>
                      <w:sz w:val="21"/>
                      <w:szCs w:val="21"/>
                    </w:rPr>
                    <w:t>4油雾</w:t>
                  </w:r>
                  <w:r>
                    <w:rPr>
                      <w:sz w:val="21"/>
                      <w:szCs w:val="21"/>
                    </w:rPr>
                    <w:t>排放限值</w:t>
                  </w:r>
                  <w:r>
                    <w:rPr>
                      <w:rFonts w:hint="eastAsia"/>
                      <w:sz w:val="21"/>
                      <w:szCs w:val="21"/>
                    </w:rPr>
                    <w:t>20</w:t>
                  </w:r>
                  <w:r>
                    <w:rPr>
                      <w:sz w:val="21"/>
                      <w:szCs w:val="21"/>
                    </w:rPr>
                    <w:t>mg/m</w:t>
                  </w:r>
                  <w:r>
                    <w:rPr>
                      <w:sz w:val="21"/>
                      <w:szCs w:val="21"/>
                      <w:vertAlign w:val="superscript"/>
                    </w:rPr>
                    <w:t>3</w:t>
                  </w:r>
                </w:p>
              </w:tc>
            </w:tr>
            <w:tr w14:paraId="7367A3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7" w:type="dxa"/>
                  <w:vMerge w:val="continue"/>
                  <w:tcBorders>
                    <w:tl2br w:val="nil"/>
                    <w:tr2bl w:val="nil"/>
                  </w:tcBorders>
                  <w:tcMar>
                    <w:top w:w="15" w:type="dxa"/>
                    <w:left w:w="15" w:type="dxa"/>
                    <w:bottom w:w="15" w:type="dxa"/>
                    <w:right w:w="15" w:type="dxa"/>
                  </w:tcMar>
                  <w:vAlign w:val="center"/>
                </w:tcPr>
                <w:p w14:paraId="4BC63415">
                  <w:pPr>
                    <w:pStyle w:val="31"/>
                    <w:rPr>
                      <w:sz w:val="21"/>
                    </w:rPr>
                  </w:pPr>
                </w:p>
              </w:tc>
              <w:tc>
                <w:tcPr>
                  <w:tcW w:w="994" w:type="dxa"/>
                  <w:tcBorders>
                    <w:tl2br w:val="nil"/>
                    <w:tr2bl w:val="nil"/>
                  </w:tcBorders>
                  <w:tcMar>
                    <w:top w:w="15" w:type="dxa"/>
                    <w:left w:w="15" w:type="dxa"/>
                    <w:bottom w:w="15" w:type="dxa"/>
                    <w:right w:w="15" w:type="dxa"/>
                  </w:tcMar>
                  <w:vAlign w:val="center"/>
                </w:tcPr>
                <w:p w14:paraId="58090D07">
                  <w:pPr>
                    <w:pStyle w:val="31"/>
                    <w:rPr>
                      <w:sz w:val="21"/>
                    </w:rPr>
                  </w:pPr>
                  <w:r>
                    <w:rPr>
                      <w:rFonts w:hint="eastAsia"/>
                      <w:sz w:val="21"/>
                    </w:rPr>
                    <w:t>抛丸</w:t>
                  </w:r>
                </w:p>
                <w:p w14:paraId="44C4F41A">
                  <w:pPr>
                    <w:pStyle w:val="31"/>
                    <w:ind w:firstLine="0" w:firstLineChars="0"/>
                    <w:rPr>
                      <w:rFonts w:ascii="Times New Roman" w:hAnsi="Times New Roman" w:eastAsia="宋体" w:cs="Times New Roman"/>
                      <w:kern w:val="2"/>
                      <w:sz w:val="21"/>
                      <w:szCs w:val="21"/>
                      <w:lang w:val="en-US" w:eastAsia="zh-CN" w:bidi="ar-SA"/>
                    </w:rPr>
                  </w:pPr>
                  <w:r>
                    <w:rPr>
                      <w:sz w:val="21"/>
                    </w:rPr>
                    <w:t>（DA00</w:t>
                  </w:r>
                  <w:r>
                    <w:rPr>
                      <w:rFonts w:hint="eastAsia"/>
                      <w:sz w:val="21"/>
                      <w:lang w:val="en-US" w:eastAsia="zh-CN"/>
                    </w:rPr>
                    <w:t>2</w:t>
                  </w:r>
                  <w:r>
                    <w:rPr>
                      <w:sz w:val="21"/>
                    </w:rPr>
                    <w:t>）</w:t>
                  </w:r>
                </w:p>
              </w:tc>
              <w:tc>
                <w:tcPr>
                  <w:tcW w:w="1215" w:type="dxa"/>
                  <w:tcBorders>
                    <w:tl2br w:val="nil"/>
                    <w:tr2bl w:val="nil"/>
                  </w:tcBorders>
                  <w:tcMar>
                    <w:top w:w="15" w:type="dxa"/>
                    <w:left w:w="15" w:type="dxa"/>
                    <w:bottom w:w="15" w:type="dxa"/>
                    <w:right w:w="15" w:type="dxa"/>
                  </w:tcMar>
                  <w:vAlign w:val="center"/>
                </w:tcPr>
                <w:p w14:paraId="54B1A834">
                  <w:pPr>
                    <w:pStyle w:val="31"/>
                    <w:ind w:firstLine="0" w:firstLineChars="0"/>
                    <w:rPr>
                      <w:rFonts w:hint="eastAsia" w:ascii="Times New Roman" w:hAnsi="Times New Roman" w:eastAsia="宋体" w:cs="Times New Roman"/>
                      <w:kern w:val="2"/>
                      <w:sz w:val="21"/>
                      <w:szCs w:val="21"/>
                      <w:lang w:val="en-US" w:eastAsia="zh-CN" w:bidi="ar-SA"/>
                    </w:rPr>
                  </w:pPr>
                  <w:r>
                    <w:rPr>
                      <w:sz w:val="21"/>
                    </w:rPr>
                    <w:t>颗粒物</w:t>
                  </w:r>
                </w:p>
              </w:tc>
              <w:tc>
                <w:tcPr>
                  <w:tcW w:w="885" w:type="dxa"/>
                  <w:tcBorders>
                    <w:tl2br w:val="nil"/>
                    <w:tr2bl w:val="nil"/>
                  </w:tcBorders>
                  <w:tcMar>
                    <w:top w:w="15" w:type="dxa"/>
                    <w:left w:w="15" w:type="dxa"/>
                    <w:bottom w:w="15" w:type="dxa"/>
                    <w:right w:w="15" w:type="dxa"/>
                  </w:tcMar>
                  <w:vAlign w:val="center"/>
                </w:tcPr>
                <w:p w14:paraId="20D7A5BB">
                  <w:pPr>
                    <w:pStyle w:val="31"/>
                    <w:ind w:firstLine="0" w:firstLineChars="0"/>
                    <w:rPr>
                      <w:rFonts w:ascii="Times New Roman" w:hAnsi="Times New Roman" w:eastAsia="宋体" w:cs="Times New Roman"/>
                      <w:kern w:val="2"/>
                      <w:sz w:val="21"/>
                      <w:szCs w:val="21"/>
                      <w:lang w:val="en-US" w:eastAsia="zh-CN" w:bidi="ar-SA"/>
                    </w:rPr>
                  </w:pPr>
                  <w:r>
                    <w:rPr>
                      <w:sz w:val="21"/>
                    </w:rPr>
                    <w:t>1次/年</w:t>
                  </w:r>
                </w:p>
              </w:tc>
              <w:tc>
                <w:tcPr>
                  <w:tcW w:w="4481" w:type="dxa"/>
                  <w:tcBorders>
                    <w:tl2br w:val="nil"/>
                    <w:tr2bl w:val="nil"/>
                  </w:tcBorders>
                  <w:tcMar>
                    <w:top w:w="15" w:type="dxa"/>
                    <w:left w:w="15" w:type="dxa"/>
                    <w:bottom w:w="15" w:type="dxa"/>
                    <w:right w:w="15" w:type="dxa"/>
                  </w:tcMar>
                  <w:vAlign w:val="center"/>
                </w:tcPr>
                <w:p w14:paraId="0A436C0B">
                  <w:pPr>
                    <w:widowControl/>
                    <w:spacing w:line="240" w:lineRule="auto"/>
                    <w:ind w:firstLine="420" w:firstLineChars="200"/>
                    <w:jc w:val="center"/>
                    <w:rPr>
                      <w:rFonts w:ascii="Times New Roman" w:hAnsi="Times New Roman" w:eastAsia="宋体" w:cs="Times New Roman"/>
                      <w:kern w:val="2"/>
                      <w:sz w:val="21"/>
                      <w:szCs w:val="21"/>
                      <w:lang w:val="en-US" w:eastAsia="zh-CN" w:bidi="ar-SA"/>
                    </w:rPr>
                  </w:pPr>
                  <w:r>
                    <w:rPr>
                      <w:sz w:val="21"/>
                      <w:szCs w:val="21"/>
                    </w:rPr>
                    <w:t>《钢铁工业大气污染物超低排放标准》(DB13/2169-2018)中表1颗粒物排放限值10mg/m</w:t>
                  </w:r>
                  <w:r>
                    <w:rPr>
                      <w:sz w:val="21"/>
                      <w:szCs w:val="21"/>
                      <w:vertAlign w:val="superscript"/>
                    </w:rPr>
                    <w:t>3</w:t>
                  </w:r>
                </w:p>
              </w:tc>
            </w:tr>
            <w:tr w14:paraId="20D501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7" w:type="dxa"/>
                  <w:vMerge w:val="restart"/>
                  <w:tcBorders>
                    <w:tl2br w:val="nil"/>
                    <w:tr2bl w:val="nil"/>
                  </w:tcBorders>
                  <w:tcMar>
                    <w:top w:w="15" w:type="dxa"/>
                    <w:left w:w="15" w:type="dxa"/>
                    <w:bottom w:w="15" w:type="dxa"/>
                    <w:right w:w="15" w:type="dxa"/>
                  </w:tcMar>
                  <w:vAlign w:val="center"/>
                </w:tcPr>
                <w:p w14:paraId="57912812">
                  <w:pPr>
                    <w:pStyle w:val="31"/>
                    <w:rPr>
                      <w:sz w:val="21"/>
                    </w:rPr>
                  </w:pPr>
                  <w:r>
                    <w:rPr>
                      <w:rFonts w:hint="eastAsia"/>
                      <w:sz w:val="21"/>
                    </w:rPr>
                    <w:t>无组织</w:t>
                  </w:r>
                </w:p>
              </w:tc>
              <w:tc>
                <w:tcPr>
                  <w:tcW w:w="994" w:type="dxa"/>
                  <w:vMerge w:val="restart"/>
                  <w:tcBorders>
                    <w:tl2br w:val="nil"/>
                    <w:tr2bl w:val="nil"/>
                  </w:tcBorders>
                  <w:tcMar>
                    <w:top w:w="15" w:type="dxa"/>
                    <w:left w:w="15" w:type="dxa"/>
                    <w:bottom w:w="15" w:type="dxa"/>
                    <w:right w:w="15" w:type="dxa"/>
                  </w:tcMar>
                  <w:vAlign w:val="center"/>
                </w:tcPr>
                <w:p w14:paraId="4D5B0D77">
                  <w:pPr>
                    <w:pStyle w:val="31"/>
                    <w:rPr>
                      <w:sz w:val="21"/>
                    </w:rPr>
                  </w:pPr>
                  <w:r>
                    <w:rPr>
                      <w:sz w:val="21"/>
                    </w:rPr>
                    <w:t>厂界</w:t>
                  </w:r>
                </w:p>
              </w:tc>
              <w:tc>
                <w:tcPr>
                  <w:tcW w:w="1215" w:type="dxa"/>
                  <w:tcBorders>
                    <w:tl2br w:val="nil"/>
                    <w:tr2bl w:val="nil"/>
                  </w:tcBorders>
                  <w:tcMar>
                    <w:top w:w="15" w:type="dxa"/>
                    <w:left w:w="15" w:type="dxa"/>
                    <w:bottom w:w="15" w:type="dxa"/>
                    <w:right w:w="15" w:type="dxa"/>
                  </w:tcMar>
                  <w:vAlign w:val="center"/>
                </w:tcPr>
                <w:p w14:paraId="098BCD6B">
                  <w:pPr>
                    <w:pStyle w:val="31"/>
                    <w:rPr>
                      <w:sz w:val="21"/>
                    </w:rPr>
                  </w:pPr>
                  <w:r>
                    <w:rPr>
                      <w:sz w:val="21"/>
                    </w:rPr>
                    <w:t>非甲烷总烃</w:t>
                  </w:r>
                </w:p>
              </w:tc>
              <w:tc>
                <w:tcPr>
                  <w:tcW w:w="885" w:type="dxa"/>
                  <w:tcBorders>
                    <w:tl2br w:val="nil"/>
                    <w:tr2bl w:val="nil"/>
                  </w:tcBorders>
                  <w:tcMar>
                    <w:top w:w="15" w:type="dxa"/>
                    <w:left w:w="15" w:type="dxa"/>
                    <w:bottom w:w="15" w:type="dxa"/>
                    <w:right w:w="15" w:type="dxa"/>
                  </w:tcMar>
                  <w:vAlign w:val="center"/>
                </w:tcPr>
                <w:p w14:paraId="01275EA5">
                  <w:pPr>
                    <w:pStyle w:val="31"/>
                    <w:rPr>
                      <w:sz w:val="21"/>
                    </w:rPr>
                  </w:pPr>
                  <w:r>
                    <w:rPr>
                      <w:sz w:val="21"/>
                    </w:rPr>
                    <w:t>1次/年</w:t>
                  </w:r>
                </w:p>
              </w:tc>
              <w:tc>
                <w:tcPr>
                  <w:tcW w:w="4481" w:type="dxa"/>
                  <w:tcBorders>
                    <w:tl2br w:val="nil"/>
                    <w:tr2bl w:val="nil"/>
                  </w:tcBorders>
                  <w:tcMar>
                    <w:top w:w="15" w:type="dxa"/>
                    <w:left w:w="15" w:type="dxa"/>
                    <w:bottom w:w="15" w:type="dxa"/>
                    <w:right w:w="15" w:type="dxa"/>
                  </w:tcMar>
                  <w:vAlign w:val="center"/>
                </w:tcPr>
                <w:p w14:paraId="51675E7A">
                  <w:pPr>
                    <w:pStyle w:val="31"/>
                    <w:rPr>
                      <w:sz w:val="21"/>
                    </w:rPr>
                  </w:pPr>
                  <w:r>
                    <w:rPr>
                      <w:sz w:val="21"/>
                    </w:rPr>
                    <w:t>《工业企业挥发性有机物排放控制标准》（DB13/2322-2016）表2企业边界大气污染物排放浓度限值：非甲烷总烃2.0mg/m</w:t>
                  </w:r>
                  <w:r>
                    <w:rPr>
                      <w:sz w:val="21"/>
                      <w:vertAlign w:val="superscript"/>
                    </w:rPr>
                    <w:t>3</w:t>
                  </w:r>
                </w:p>
              </w:tc>
            </w:tr>
            <w:tr w14:paraId="162C0B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77" w:type="dxa"/>
                  <w:vMerge w:val="continue"/>
                  <w:tcBorders>
                    <w:tl2br w:val="nil"/>
                    <w:tr2bl w:val="nil"/>
                  </w:tcBorders>
                  <w:tcMar>
                    <w:top w:w="15" w:type="dxa"/>
                    <w:left w:w="15" w:type="dxa"/>
                    <w:bottom w:w="15" w:type="dxa"/>
                    <w:right w:w="15" w:type="dxa"/>
                  </w:tcMar>
                  <w:vAlign w:val="center"/>
                </w:tcPr>
                <w:p w14:paraId="4E0084ED">
                  <w:pPr>
                    <w:pStyle w:val="31"/>
                    <w:rPr>
                      <w:sz w:val="21"/>
                    </w:rPr>
                  </w:pPr>
                </w:p>
              </w:tc>
              <w:tc>
                <w:tcPr>
                  <w:tcW w:w="994" w:type="dxa"/>
                  <w:vMerge w:val="continue"/>
                  <w:tcBorders>
                    <w:tl2br w:val="nil"/>
                    <w:tr2bl w:val="nil"/>
                  </w:tcBorders>
                  <w:tcMar>
                    <w:top w:w="15" w:type="dxa"/>
                    <w:left w:w="15" w:type="dxa"/>
                    <w:bottom w:w="15" w:type="dxa"/>
                    <w:right w:w="15" w:type="dxa"/>
                  </w:tcMar>
                  <w:vAlign w:val="center"/>
                </w:tcPr>
                <w:p w14:paraId="346BE427">
                  <w:pPr>
                    <w:pStyle w:val="31"/>
                    <w:rPr>
                      <w:sz w:val="21"/>
                    </w:rPr>
                  </w:pPr>
                </w:p>
              </w:tc>
              <w:tc>
                <w:tcPr>
                  <w:tcW w:w="1215" w:type="dxa"/>
                  <w:tcBorders>
                    <w:tl2br w:val="nil"/>
                    <w:tr2bl w:val="nil"/>
                  </w:tcBorders>
                  <w:tcMar>
                    <w:top w:w="15" w:type="dxa"/>
                    <w:left w:w="15" w:type="dxa"/>
                    <w:bottom w:w="15" w:type="dxa"/>
                    <w:right w:w="15" w:type="dxa"/>
                  </w:tcMar>
                  <w:vAlign w:val="center"/>
                </w:tcPr>
                <w:p w14:paraId="7B044DC6">
                  <w:pPr>
                    <w:pStyle w:val="31"/>
                    <w:rPr>
                      <w:sz w:val="21"/>
                    </w:rPr>
                  </w:pPr>
                  <w:r>
                    <w:rPr>
                      <w:sz w:val="21"/>
                    </w:rPr>
                    <w:t>颗粒物</w:t>
                  </w:r>
                </w:p>
              </w:tc>
              <w:tc>
                <w:tcPr>
                  <w:tcW w:w="885" w:type="dxa"/>
                  <w:tcBorders>
                    <w:tl2br w:val="nil"/>
                    <w:tr2bl w:val="nil"/>
                  </w:tcBorders>
                  <w:tcMar>
                    <w:top w:w="15" w:type="dxa"/>
                    <w:left w:w="15" w:type="dxa"/>
                    <w:bottom w:w="15" w:type="dxa"/>
                    <w:right w:w="15" w:type="dxa"/>
                  </w:tcMar>
                  <w:vAlign w:val="center"/>
                </w:tcPr>
                <w:p w14:paraId="084BE523">
                  <w:pPr>
                    <w:pStyle w:val="31"/>
                    <w:rPr>
                      <w:sz w:val="21"/>
                    </w:rPr>
                  </w:pPr>
                  <w:r>
                    <w:rPr>
                      <w:sz w:val="21"/>
                    </w:rPr>
                    <w:t>1次/年</w:t>
                  </w:r>
                </w:p>
              </w:tc>
              <w:tc>
                <w:tcPr>
                  <w:tcW w:w="4481" w:type="dxa"/>
                  <w:tcBorders>
                    <w:tl2br w:val="nil"/>
                    <w:tr2bl w:val="nil"/>
                  </w:tcBorders>
                  <w:tcMar>
                    <w:top w:w="15" w:type="dxa"/>
                    <w:left w:w="15" w:type="dxa"/>
                    <w:bottom w:w="15" w:type="dxa"/>
                    <w:right w:w="15" w:type="dxa"/>
                  </w:tcMar>
                  <w:vAlign w:val="center"/>
                </w:tcPr>
                <w:p w14:paraId="1DC2AF41">
                  <w:pPr>
                    <w:pStyle w:val="31"/>
                    <w:rPr>
                      <w:sz w:val="21"/>
                    </w:rPr>
                  </w:pPr>
                  <w:r>
                    <w:rPr>
                      <w:sz w:val="21"/>
                    </w:rPr>
                    <w:t>《大气污染物综合排放标准》（GB16297-1996）表2中颗粒物无组织排放浓度限值1.0mg/m</w:t>
                  </w:r>
                  <w:r>
                    <w:rPr>
                      <w:sz w:val="21"/>
                      <w:vertAlign w:val="superscript"/>
                    </w:rPr>
                    <w:t>3</w:t>
                  </w:r>
                </w:p>
              </w:tc>
            </w:tr>
          </w:tbl>
          <w:p w14:paraId="57052A7E">
            <w:pPr>
              <w:ind w:firstLine="480"/>
            </w:pPr>
            <w:r>
              <w:rPr>
                <w:rFonts w:hint="eastAsia"/>
              </w:rPr>
              <w:t>6、大气环境评价结论</w:t>
            </w:r>
          </w:p>
          <w:p w14:paraId="280DACCC">
            <w:pPr>
              <w:widowControl/>
              <w:ind w:firstLine="480"/>
              <w:jc w:val="left"/>
              <w:rPr>
                <w:b/>
                <w:bCs/>
                <w:highlight w:val="none"/>
              </w:rPr>
            </w:pPr>
            <w:r>
              <w:rPr>
                <w:rFonts w:hint="eastAsia"/>
              </w:rPr>
              <w:t>项目</w:t>
            </w:r>
            <w:r>
              <w:t>所在区域环境空气质量属于不达标区。</w:t>
            </w:r>
            <w:r>
              <w:rPr>
                <w:rFonts w:hint="eastAsia"/>
              </w:rPr>
              <w:t>特征</w:t>
            </w:r>
            <w:r>
              <w:t>污染物TSP24小时浓度满足《环境空气质量标准》（GB3095</w:t>
            </w:r>
            <w:r>
              <w:rPr>
                <w:rFonts w:hint="eastAsia"/>
                <w:lang w:eastAsia="zh-CN"/>
              </w:rPr>
              <w:t>-</w:t>
            </w:r>
            <w:r>
              <w:t>2012）中二级标准及其修改单</w:t>
            </w:r>
            <w:r>
              <w:rPr>
                <w:rFonts w:hint="eastAsia"/>
              </w:rPr>
              <w:t>的要求</w:t>
            </w:r>
            <w:r>
              <w:t>。非甲烷</w:t>
            </w:r>
            <w:r>
              <w:rPr>
                <w:spacing w:val="-6"/>
                <w:sz w:val="24"/>
              </w:rPr>
              <w:t>总烃小时浓度满足河北省地方标准《环境空气质量 非甲烷总烃》（DB13/1577-2012）</w:t>
            </w:r>
            <w:r>
              <w:rPr>
                <w:rFonts w:hint="eastAsia"/>
              </w:rPr>
              <w:t>限值的要求。项目淬火</w:t>
            </w:r>
            <w:r>
              <w:rPr>
                <w:rFonts w:hint="eastAsia"/>
                <w:highlight w:val="none"/>
              </w:rPr>
              <w:t>/回火产生挥发性有机物（以非甲烷总烃代）、油雾经集气口进入</w:t>
            </w:r>
            <w:r>
              <w:rPr>
                <w:rFonts w:hint="eastAsia"/>
                <w:color w:val="000000"/>
                <w:highlight w:val="none"/>
              </w:rPr>
              <w:t>一套静电式油烟净化器+活性炭吸附装置</w:t>
            </w:r>
            <w:r>
              <w:rPr>
                <w:rFonts w:hint="eastAsia"/>
                <w:highlight w:val="none"/>
              </w:rPr>
              <w:t>处理后经一根15m高排气筒排放；抛丸废气经一套脉冲布袋除尘器处理后通过一根15m高排气筒排放；数控滚齿机（高速运转）产生的油雾通过工业油烟净化器处理，排放达标；渗碳产生的废气通过渗碳多用炉防爆口设置环形燃烧器（渗碳多用炉自带）燃烧处理，排放达标。</w:t>
            </w:r>
            <w:r>
              <w:rPr>
                <w:highlight w:val="none"/>
              </w:rPr>
              <w:t>项目</w:t>
            </w:r>
            <w:r>
              <w:rPr>
                <w:rFonts w:hint="eastAsia"/>
                <w:highlight w:val="none"/>
              </w:rPr>
              <w:t>厂界外</w:t>
            </w:r>
            <w:r>
              <w:rPr>
                <w:highlight w:val="none"/>
              </w:rPr>
              <w:t>500m范围内</w:t>
            </w:r>
            <w:r>
              <w:rPr>
                <w:rFonts w:hint="eastAsia"/>
                <w:highlight w:val="none"/>
              </w:rPr>
              <w:t>的</w:t>
            </w:r>
            <w:r>
              <w:rPr>
                <w:highlight w:val="none"/>
              </w:rPr>
              <w:t>环境敏感点</w:t>
            </w:r>
            <w:r>
              <w:rPr>
                <w:rFonts w:hint="eastAsia"/>
                <w:highlight w:val="none"/>
              </w:rPr>
              <w:t>为厂区南侧320m的毛家坨村。</w:t>
            </w:r>
            <w:r>
              <w:rPr>
                <w:highlight w:val="none"/>
              </w:rPr>
              <w:t>项目采取各项污染防治措施后，污染物排放均能满足相应标准要求，</w:t>
            </w:r>
            <w:r>
              <w:rPr>
                <w:rFonts w:hint="eastAsia"/>
                <w:highlight w:val="none"/>
              </w:rPr>
              <w:t>且排放量较少，</w:t>
            </w:r>
            <w:r>
              <w:rPr>
                <w:highlight w:val="none"/>
              </w:rPr>
              <w:t>对周围环境影响</w:t>
            </w:r>
            <w:r>
              <w:rPr>
                <w:rFonts w:hint="eastAsia"/>
                <w:highlight w:val="none"/>
              </w:rPr>
              <w:t>较</w:t>
            </w:r>
            <w:r>
              <w:rPr>
                <w:highlight w:val="none"/>
              </w:rPr>
              <w:t>小，本项目大气环境影响可接受</w:t>
            </w:r>
            <w:r>
              <w:rPr>
                <w:rFonts w:hint="eastAsia"/>
                <w:highlight w:val="none"/>
              </w:rPr>
              <w:t>。</w:t>
            </w:r>
          </w:p>
          <w:p w14:paraId="2D0D8F48">
            <w:pPr>
              <w:ind w:firstLine="0" w:firstLineChars="0"/>
              <w:rPr>
                <w:b/>
                <w:bCs/>
                <w:highlight w:val="none"/>
              </w:rPr>
            </w:pPr>
            <w:r>
              <w:rPr>
                <w:rFonts w:hint="eastAsia"/>
                <w:b/>
                <w:bCs/>
                <w:highlight w:val="none"/>
              </w:rPr>
              <w:t>二、废水</w:t>
            </w:r>
          </w:p>
          <w:p w14:paraId="307D6C98">
            <w:pPr>
              <w:ind w:firstLine="480"/>
              <w:rPr>
                <w:rFonts w:hint="eastAsia"/>
                <w:highlight w:val="none"/>
              </w:rPr>
            </w:pPr>
            <w:r>
              <w:rPr>
                <w:rFonts w:hint="eastAsia"/>
                <w:highlight w:val="none"/>
              </w:rPr>
              <w:t>本项目废水主要为</w:t>
            </w:r>
            <w:r>
              <w:rPr>
                <w:rFonts w:hint="eastAsia"/>
                <w:highlight w:val="none"/>
                <w:lang w:val="en-US" w:eastAsia="zh-CN"/>
              </w:rPr>
              <w:t>热处理过程</w:t>
            </w:r>
            <w:r>
              <w:rPr>
                <w:rFonts w:hint="eastAsia"/>
                <w:highlight w:val="none"/>
              </w:rPr>
              <w:t>清洗机定期清理废水、</w:t>
            </w:r>
            <w:r>
              <w:rPr>
                <w:rFonts w:hint="eastAsia"/>
                <w:highlight w:val="none"/>
                <w:lang w:eastAsia="zh-CN"/>
              </w:rPr>
              <w:t>抛丸后</w:t>
            </w:r>
            <w:r>
              <w:rPr>
                <w:rFonts w:hint="eastAsia"/>
                <w:highlight w:val="none"/>
              </w:rPr>
              <w:t>清洗机定期清理废水</w:t>
            </w:r>
            <w:r>
              <w:rPr>
                <w:rFonts w:hint="eastAsia"/>
                <w:highlight w:val="none"/>
                <w:lang w:val="en-US" w:eastAsia="zh-CN"/>
              </w:rPr>
              <w:t>、</w:t>
            </w:r>
            <w:r>
              <w:rPr>
                <w:rFonts w:hint="eastAsia"/>
                <w:highlight w:val="none"/>
              </w:rPr>
              <w:t>软化水装置产生的浓盐水、蓄热式电锅炉排污水、生活废水。</w:t>
            </w:r>
          </w:p>
          <w:p w14:paraId="46482733">
            <w:pPr>
              <w:pStyle w:val="13"/>
              <w:spacing w:after="0"/>
              <w:ind w:left="0" w:leftChars="0" w:right="0" w:rightChars="0" w:firstLine="0" w:firstLineChars="0"/>
              <w:rPr>
                <w:highlight w:val="none"/>
              </w:rPr>
            </w:pPr>
            <w:r>
              <w:rPr>
                <w:rFonts w:hint="eastAsia"/>
                <w:highlight w:val="none"/>
              </w:rPr>
              <w:t xml:space="preserve">    1、厂区污水处理设施</w:t>
            </w:r>
          </w:p>
          <w:p w14:paraId="74299E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清洗废水</w:t>
            </w:r>
          </w:p>
          <w:p w14:paraId="5664D17A">
            <w:pPr>
              <w:bidi w:val="0"/>
              <w:rPr>
                <w:rFonts w:hint="eastAsia"/>
                <w:color w:val="auto"/>
                <w:highlight w:val="none"/>
                <w:lang w:eastAsia="zh-CN"/>
              </w:rPr>
            </w:pPr>
            <w:r>
              <w:rPr>
                <w:rFonts w:hint="eastAsia"/>
                <w:highlight w:val="none"/>
                <w:lang w:val="en-US" w:eastAsia="zh-CN"/>
              </w:rPr>
              <w:t>本项目热处理过程清洗机（自带油水分离器）清理废水主要污染物及产生浓度为COD：523mg/L、BOD</w:t>
            </w:r>
            <w:r>
              <w:rPr>
                <w:rFonts w:hint="eastAsia"/>
                <w:highlight w:val="none"/>
                <w:vertAlign w:val="subscript"/>
                <w:lang w:val="en-US" w:eastAsia="zh-CN"/>
              </w:rPr>
              <w:t>5</w:t>
            </w:r>
            <w:r>
              <w:rPr>
                <w:rFonts w:hint="eastAsia"/>
                <w:highlight w:val="none"/>
                <w:lang w:val="en-US" w:eastAsia="zh-CN"/>
              </w:rPr>
              <w:t>：200mg/L、SS：300mg/L、</w:t>
            </w:r>
            <w:r>
              <w:rPr>
                <w:rFonts w:hint="eastAsia"/>
                <w:sz w:val="24"/>
                <w:szCs w:val="24"/>
                <w:highlight w:val="none"/>
                <w:lang w:val="en-US" w:eastAsia="zh-CN"/>
              </w:rPr>
              <w:t>氨氮：25mg/L、</w:t>
            </w:r>
            <w:r>
              <w:rPr>
                <w:rFonts w:hint="eastAsia"/>
                <w:highlight w:val="none"/>
                <w:lang w:val="en-US" w:eastAsia="zh-CN"/>
              </w:rPr>
              <w:t>石油类：110mg/L、阴离子表面活性剂：90mg/L，废水产生量为</w:t>
            </w:r>
            <w:r>
              <w:rPr>
                <w:rFonts w:hint="eastAsia"/>
                <w:color w:val="auto"/>
                <w:highlight w:val="none"/>
                <w:lang w:val="en-US" w:eastAsia="zh-CN"/>
              </w:rPr>
              <w:t>9.6</w:t>
            </w:r>
            <w:r>
              <w:rPr>
                <w:rFonts w:hint="default"/>
                <w:color w:val="auto"/>
                <w:highlight w:val="none"/>
              </w:rPr>
              <w:t>m</w:t>
            </w:r>
            <w:r>
              <w:rPr>
                <w:rFonts w:hint="default"/>
                <w:color w:val="auto"/>
                <w:highlight w:val="none"/>
                <w:vertAlign w:val="superscript"/>
              </w:rPr>
              <w:t>3</w:t>
            </w:r>
            <w:r>
              <w:rPr>
                <w:rFonts w:hint="default"/>
                <w:color w:val="auto"/>
                <w:highlight w:val="none"/>
              </w:rPr>
              <w:t>/a</w:t>
            </w:r>
            <w:r>
              <w:rPr>
                <w:rFonts w:hint="eastAsia"/>
                <w:color w:val="auto"/>
                <w:highlight w:val="none"/>
                <w:lang w:eastAsia="zh-CN"/>
              </w:rPr>
              <w:t>。</w:t>
            </w:r>
          </w:p>
          <w:p w14:paraId="46835188">
            <w:pPr>
              <w:pStyle w:val="2"/>
              <w:ind w:left="0" w:leftChars="0"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抛丸后清洗废水产生浓度为COD：731mg/L、BOD</w:t>
            </w:r>
            <w:r>
              <w:rPr>
                <w:rFonts w:hint="eastAsia" w:ascii="Times New Roman" w:hAnsi="Times New Roman" w:eastAsia="宋体" w:cs="Times New Roman"/>
                <w:kern w:val="2"/>
                <w:sz w:val="24"/>
                <w:szCs w:val="24"/>
                <w:highlight w:val="none"/>
                <w:vertAlign w:val="subscript"/>
                <w:lang w:val="en-US" w:eastAsia="zh-CN" w:bidi="ar-SA"/>
              </w:rPr>
              <w:t>5</w:t>
            </w:r>
            <w:r>
              <w:rPr>
                <w:rFonts w:hint="eastAsia" w:ascii="Times New Roman" w:hAnsi="Times New Roman" w:eastAsia="宋体" w:cs="Times New Roman"/>
                <w:kern w:val="2"/>
                <w:sz w:val="24"/>
                <w:szCs w:val="24"/>
                <w:highlight w:val="none"/>
                <w:lang w:val="en-US" w:eastAsia="zh-CN" w:bidi="ar-SA"/>
              </w:rPr>
              <w:t>：200mg/L、SS：300mg/L、</w:t>
            </w:r>
            <w:r>
              <w:rPr>
                <w:rFonts w:hint="eastAsia"/>
                <w:sz w:val="24"/>
                <w:szCs w:val="24"/>
                <w:highlight w:val="none"/>
                <w:lang w:val="en-US" w:eastAsia="zh-CN"/>
              </w:rPr>
              <w:t>氨氮：25mg/L、</w:t>
            </w:r>
            <w:r>
              <w:rPr>
                <w:rFonts w:hint="eastAsia" w:ascii="Times New Roman" w:hAnsi="Times New Roman" w:eastAsia="宋体" w:cs="Times New Roman"/>
                <w:kern w:val="2"/>
                <w:sz w:val="24"/>
                <w:szCs w:val="24"/>
                <w:highlight w:val="none"/>
                <w:lang w:val="en-US" w:eastAsia="zh-CN" w:bidi="ar-SA"/>
              </w:rPr>
              <w:t>石油类：8mg/L、</w:t>
            </w:r>
            <w:r>
              <w:rPr>
                <w:rFonts w:hint="eastAsia" w:cs="Times New Roman"/>
                <w:kern w:val="2"/>
                <w:sz w:val="24"/>
                <w:szCs w:val="24"/>
                <w:highlight w:val="none"/>
                <w:lang w:val="en-US" w:eastAsia="zh-CN" w:bidi="ar-SA"/>
              </w:rPr>
              <w:t>阴离子表面活性剂</w:t>
            </w:r>
            <w:r>
              <w:rPr>
                <w:rFonts w:hint="eastAsia" w:ascii="Times New Roman" w:hAnsi="Times New Roman" w:eastAsia="宋体" w:cs="Times New Roman"/>
                <w:kern w:val="2"/>
                <w:sz w:val="24"/>
                <w:szCs w:val="24"/>
                <w:highlight w:val="none"/>
                <w:lang w:val="en-US" w:eastAsia="zh-CN" w:bidi="ar-SA"/>
              </w:rPr>
              <w:t>：90mg/L，废水</w:t>
            </w:r>
            <w:r>
              <w:rPr>
                <w:rFonts w:hint="eastAsia"/>
                <w:sz w:val="24"/>
                <w:szCs w:val="24"/>
                <w:highlight w:val="none"/>
                <w:lang w:val="en-US" w:eastAsia="zh-CN"/>
              </w:rPr>
              <w:t>产生量为</w:t>
            </w:r>
            <w:r>
              <w:rPr>
                <w:rFonts w:hint="eastAsia"/>
                <w:color w:val="auto"/>
                <w:sz w:val="24"/>
                <w:szCs w:val="24"/>
                <w:highlight w:val="none"/>
                <w:lang w:val="en-US" w:eastAsia="zh-CN"/>
              </w:rPr>
              <w:t>7.2</w:t>
            </w:r>
            <w:r>
              <w:rPr>
                <w:rFonts w:hint="default"/>
                <w:color w:val="auto"/>
                <w:sz w:val="24"/>
                <w:szCs w:val="24"/>
                <w:highlight w:val="none"/>
              </w:rPr>
              <w:t>m</w:t>
            </w:r>
            <w:r>
              <w:rPr>
                <w:rFonts w:hint="default"/>
                <w:color w:val="auto"/>
                <w:sz w:val="24"/>
                <w:szCs w:val="24"/>
                <w:highlight w:val="none"/>
                <w:vertAlign w:val="superscript"/>
              </w:rPr>
              <w:t>3</w:t>
            </w:r>
            <w:r>
              <w:rPr>
                <w:rFonts w:hint="default"/>
                <w:color w:val="auto"/>
                <w:sz w:val="24"/>
                <w:szCs w:val="24"/>
                <w:highlight w:val="none"/>
              </w:rPr>
              <w:t>/a</w:t>
            </w:r>
            <w:r>
              <w:rPr>
                <w:rFonts w:hint="eastAsia" w:ascii="Times New Roman" w:hAnsi="Times New Roman" w:eastAsia="宋体" w:cs="Times New Roman"/>
                <w:kern w:val="2"/>
                <w:sz w:val="24"/>
                <w:szCs w:val="24"/>
                <w:highlight w:val="none"/>
                <w:lang w:val="en-US" w:eastAsia="zh-CN" w:bidi="ar-SA"/>
              </w:rPr>
              <w:t>。</w:t>
            </w:r>
          </w:p>
          <w:p w14:paraId="259164FC">
            <w:pPr>
              <w:numPr>
                <w:ilvl w:val="0"/>
                <w:numId w:val="0"/>
              </w:numPr>
              <w:bidi w:val="0"/>
              <w:ind w:left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软化水装置产生的浓盐水、蓄热式电锅炉排污水</w:t>
            </w:r>
          </w:p>
          <w:p w14:paraId="43763900">
            <w:pPr>
              <w:numPr>
                <w:ilvl w:val="0"/>
                <w:numId w:val="0"/>
              </w:numPr>
              <w:bidi w:val="0"/>
              <w:ind w:left="0" w:leftChars="0" w:firstLine="480" w:firstLineChars="200"/>
              <w:rPr>
                <w:rFonts w:hint="eastAsia"/>
                <w:color w:val="auto"/>
                <w:highlight w:val="none"/>
                <w:lang w:eastAsia="zh-CN"/>
              </w:rPr>
            </w:pPr>
            <w:r>
              <w:rPr>
                <w:rFonts w:hint="eastAsia" w:ascii="Times New Roman" w:hAnsi="Times New Roman" w:eastAsia="宋体" w:cs="Times New Roman"/>
                <w:highlight w:val="none"/>
                <w:lang w:val="en-US" w:eastAsia="zh-CN"/>
              </w:rPr>
              <w:t>本</w:t>
            </w:r>
            <w:r>
              <w:rPr>
                <w:rFonts w:hint="eastAsia"/>
                <w:highlight w:val="none"/>
                <w:lang w:val="en-US" w:eastAsia="zh-CN"/>
              </w:rPr>
              <w:t>项目</w:t>
            </w:r>
            <w:r>
              <w:rPr>
                <w:rFonts w:hint="eastAsia" w:ascii="Times New Roman" w:hAnsi="Times New Roman" w:eastAsia="宋体" w:cs="Times New Roman"/>
                <w:highlight w:val="none"/>
                <w:lang w:val="en-US" w:eastAsia="zh-CN"/>
              </w:rPr>
              <w:t>软化水装置产生的浓盐水、蓄热式电锅炉排污水</w:t>
            </w:r>
            <w:r>
              <w:rPr>
                <w:rFonts w:hint="eastAsia"/>
                <w:highlight w:val="none"/>
                <w:lang w:val="en-US" w:eastAsia="zh-CN"/>
              </w:rPr>
              <w:t>产生浓度为COD：240mg/L、BOD</w:t>
            </w:r>
            <w:r>
              <w:rPr>
                <w:rFonts w:hint="eastAsia"/>
                <w:highlight w:val="none"/>
                <w:vertAlign w:val="subscript"/>
                <w:lang w:val="en-US" w:eastAsia="zh-CN"/>
              </w:rPr>
              <w:t>5</w:t>
            </w:r>
            <w:r>
              <w:rPr>
                <w:rFonts w:hint="eastAsia"/>
                <w:highlight w:val="none"/>
                <w:lang w:val="en-US" w:eastAsia="zh-CN"/>
              </w:rPr>
              <w:t>：120mg/L、SS：125mg/L、氨氮：25mg/L，废水产生量为0.975</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eastAsia="zh-CN"/>
              </w:rPr>
              <w:t>（</w:t>
            </w:r>
            <w:r>
              <w:rPr>
                <w:rFonts w:hint="eastAsia"/>
                <w:highlight w:val="none"/>
                <w:lang w:val="en-US" w:eastAsia="zh-CN"/>
              </w:rPr>
              <w:t>117</w:t>
            </w:r>
            <w:r>
              <w:rPr>
                <w:rFonts w:hint="eastAsia"/>
                <w:highlight w:val="none"/>
              </w:rPr>
              <w:t>m</w:t>
            </w:r>
            <w:r>
              <w:rPr>
                <w:rFonts w:hint="eastAsia"/>
                <w:highlight w:val="none"/>
                <w:vertAlign w:val="superscript"/>
              </w:rPr>
              <w:t>3</w:t>
            </w:r>
            <w:r>
              <w:rPr>
                <w:rFonts w:hint="eastAsia"/>
                <w:highlight w:val="none"/>
              </w:rPr>
              <w:t>/d，锅炉年工作120d</w:t>
            </w:r>
            <w:r>
              <w:rPr>
                <w:rFonts w:hint="eastAsia"/>
                <w:highlight w:val="none"/>
                <w:lang w:eastAsia="zh-CN"/>
              </w:rPr>
              <w:t>）</w:t>
            </w:r>
            <w:r>
              <w:rPr>
                <w:rFonts w:hint="eastAsia"/>
                <w:color w:val="auto"/>
                <w:highlight w:val="none"/>
                <w:lang w:eastAsia="zh-CN"/>
              </w:rPr>
              <w:t>。</w:t>
            </w:r>
          </w:p>
          <w:p w14:paraId="599A6B1C">
            <w:pPr>
              <w:bidi w:val="0"/>
              <w:rPr>
                <w:rFonts w:hint="default"/>
                <w:highlight w:val="none"/>
                <w:lang w:val="en-US" w:eastAsia="zh-CN"/>
              </w:rPr>
            </w:pPr>
            <w:r>
              <w:rPr>
                <w:rFonts w:hint="eastAsia"/>
                <w:highlight w:val="none"/>
                <w:lang w:val="en-US" w:eastAsia="zh-CN"/>
              </w:rPr>
              <w:t>生活污水</w:t>
            </w:r>
          </w:p>
          <w:p w14:paraId="42A63365">
            <w:pPr>
              <w:bidi w:val="0"/>
              <w:rPr>
                <w:rFonts w:hint="eastAsia"/>
                <w:highlight w:val="none"/>
                <w:lang w:val="en-US" w:eastAsia="zh-CN"/>
              </w:rPr>
            </w:pPr>
            <w:r>
              <w:rPr>
                <w:rFonts w:hint="eastAsia"/>
                <w:color w:val="auto"/>
                <w:highlight w:val="none"/>
                <w:lang w:val="en-US" w:eastAsia="zh-CN"/>
              </w:rPr>
              <w:t>本项目职工生活污水主要为淋浴、盥洗废水、冲厕废水和食堂废水，生活废水主要污染物及产生浓度为</w:t>
            </w:r>
            <w:r>
              <w:rPr>
                <w:rFonts w:hint="eastAsia"/>
                <w:highlight w:val="none"/>
                <w:lang w:val="en-US" w:eastAsia="zh-CN"/>
              </w:rPr>
              <w:t>COD：340mg/L、BOD</w:t>
            </w:r>
            <w:r>
              <w:rPr>
                <w:rFonts w:hint="eastAsia"/>
                <w:highlight w:val="none"/>
                <w:vertAlign w:val="subscript"/>
                <w:lang w:val="en-US" w:eastAsia="zh-CN"/>
              </w:rPr>
              <w:t>5</w:t>
            </w:r>
            <w:r>
              <w:rPr>
                <w:rFonts w:hint="eastAsia"/>
                <w:highlight w:val="none"/>
                <w:lang w:val="en-US" w:eastAsia="zh-CN"/>
              </w:rPr>
              <w:t>：150mg/L、SS：200mg/L、氨氮：25mg/L、动植物油：12mg/L，废水总排放量</w:t>
            </w:r>
            <w:r>
              <w:rPr>
                <w:rFonts w:hint="eastAsia"/>
                <w:highlight w:val="none"/>
              </w:rPr>
              <w:t>5.84m</w:t>
            </w:r>
            <w:r>
              <w:rPr>
                <w:rFonts w:hint="eastAsia"/>
                <w:highlight w:val="none"/>
                <w:vertAlign w:val="superscript"/>
              </w:rPr>
              <w:t>3</w:t>
            </w:r>
            <w:r>
              <w:rPr>
                <w:rFonts w:hint="eastAsia"/>
                <w:highlight w:val="none"/>
              </w:rPr>
              <w:t>/d（1752m</w:t>
            </w:r>
            <w:r>
              <w:rPr>
                <w:rFonts w:hint="eastAsia"/>
                <w:highlight w:val="none"/>
                <w:vertAlign w:val="superscript"/>
              </w:rPr>
              <w:t>3</w:t>
            </w:r>
            <w:r>
              <w:rPr>
                <w:rFonts w:hint="eastAsia"/>
                <w:highlight w:val="none"/>
              </w:rPr>
              <w:t>/a）</w:t>
            </w:r>
          </w:p>
          <w:p w14:paraId="0743B905">
            <w:pPr>
              <w:ind w:firstLine="480"/>
              <w:rPr>
                <w:rFonts w:hint="eastAsia"/>
                <w:highlight w:val="none"/>
              </w:rPr>
            </w:pPr>
            <w:r>
              <w:rPr>
                <w:rFonts w:hint="eastAsia"/>
                <w:color w:val="auto"/>
                <w:highlight w:val="none"/>
                <w:lang w:val="en-US" w:eastAsia="zh-CN"/>
              </w:rPr>
              <w:t>本项目</w:t>
            </w:r>
            <w:r>
              <w:rPr>
                <w:rFonts w:hint="eastAsia"/>
                <w:highlight w:val="none"/>
              </w:rPr>
              <w:t>热处理过程清洗废水经</w:t>
            </w:r>
            <w:r>
              <w:rPr>
                <w:rFonts w:hint="eastAsia"/>
                <w:highlight w:val="none"/>
                <w:lang w:val="en-US" w:eastAsia="zh-CN"/>
              </w:rPr>
              <w:t>设备自带</w:t>
            </w:r>
            <w:r>
              <w:rPr>
                <w:rFonts w:hint="eastAsia"/>
                <w:highlight w:val="none"/>
              </w:rPr>
              <w:t>油水分离器分离上层油污后，废水排入</w:t>
            </w:r>
            <w:r>
              <w:rPr>
                <w:rFonts w:hint="eastAsia"/>
                <w:highlight w:val="none"/>
                <w:lang w:val="en-US" w:eastAsia="zh-CN"/>
              </w:rPr>
              <w:t>污水处理设施处理，然后经</w:t>
            </w:r>
            <w:r>
              <w:rPr>
                <w:rFonts w:hint="eastAsia"/>
                <w:highlight w:val="none"/>
              </w:rPr>
              <w:t>园区污水管网，汇入</w:t>
            </w:r>
            <w:r>
              <w:rPr>
                <w:rFonts w:hint="eastAsia"/>
                <w:highlight w:val="none"/>
                <w:lang w:val="en-US" w:eastAsia="zh-CN"/>
              </w:rPr>
              <w:t>园区</w:t>
            </w:r>
            <w:r>
              <w:rPr>
                <w:rFonts w:hint="eastAsia"/>
                <w:highlight w:val="none"/>
              </w:rPr>
              <w:t>污水处理厂；抛丸后清理定期更换废水排入</w:t>
            </w:r>
            <w:r>
              <w:rPr>
                <w:rFonts w:hint="eastAsia"/>
                <w:highlight w:val="none"/>
                <w:lang w:val="en-US" w:eastAsia="zh-CN"/>
              </w:rPr>
              <w:t>污水处理设施处理后，经</w:t>
            </w:r>
            <w:r>
              <w:rPr>
                <w:rFonts w:hint="eastAsia"/>
                <w:highlight w:val="none"/>
              </w:rPr>
              <w:t>园区污水管网，汇入</w:t>
            </w:r>
            <w:r>
              <w:rPr>
                <w:rFonts w:hint="eastAsia"/>
                <w:highlight w:val="none"/>
                <w:lang w:val="en-US" w:eastAsia="zh-CN"/>
              </w:rPr>
              <w:t>园区</w:t>
            </w:r>
            <w:r>
              <w:rPr>
                <w:rFonts w:hint="eastAsia"/>
                <w:highlight w:val="none"/>
              </w:rPr>
              <w:t>污水处理厂</w:t>
            </w:r>
            <w:r>
              <w:rPr>
                <w:rFonts w:hint="eastAsia"/>
                <w:highlight w:val="none"/>
                <w:lang w:eastAsia="zh-CN"/>
              </w:rPr>
              <w:t>；</w:t>
            </w:r>
            <w:r>
              <w:rPr>
                <w:rFonts w:hint="eastAsia"/>
                <w:highlight w:val="none"/>
              </w:rPr>
              <w:t>软化水装置产生的浓盐水、蓄热式电锅炉排污水</w:t>
            </w:r>
            <w:r>
              <w:rPr>
                <w:rFonts w:hint="eastAsia"/>
                <w:highlight w:val="none"/>
                <w:lang w:val="en-US" w:eastAsia="zh-CN"/>
              </w:rPr>
              <w:t>经</w:t>
            </w:r>
            <w:r>
              <w:rPr>
                <w:rFonts w:hint="eastAsia"/>
                <w:highlight w:val="none"/>
              </w:rPr>
              <w:t>园区污水管网，汇入唐山</w:t>
            </w:r>
            <w:r>
              <w:rPr>
                <w:rFonts w:hint="eastAsia"/>
                <w:highlight w:val="none"/>
                <w:lang w:val="en-US" w:eastAsia="zh-CN"/>
              </w:rPr>
              <w:t>园区</w:t>
            </w:r>
            <w:r>
              <w:rPr>
                <w:rFonts w:hint="eastAsia"/>
                <w:highlight w:val="none"/>
              </w:rPr>
              <w:t>污水处理厂</w:t>
            </w:r>
            <w:r>
              <w:rPr>
                <w:rFonts w:hint="eastAsia"/>
                <w:highlight w:val="none"/>
                <w:lang w:eastAsia="zh-CN"/>
              </w:rPr>
              <w:t>；</w:t>
            </w:r>
            <w:r>
              <w:rPr>
                <w:rFonts w:hint="eastAsia"/>
                <w:highlight w:val="none"/>
              </w:rPr>
              <w:t>生活废水</w:t>
            </w:r>
            <w:r>
              <w:rPr>
                <w:rFonts w:hint="eastAsia"/>
                <w:highlight w:val="none"/>
                <w:lang w:eastAsia="zh-CN"/>
              </w:rPr>
              <w:t>中食堂废水经隔油池处理后与其它生活污水一起经园区污水管网排入园区污水处理厂</w:t>
            </w:r>
            <w:r>
              <w:rPr>
                <w:rFonts w:hint="eastAsia"/>
                <w:highlight w:val="none"/>
              </w:rPr>
              <w:t>。</w:t>
            </w:r>
          </w:p>
          <w:p w14:paraId="59729599">
            <w:pPr>
              <w:keepNext w:val="0"/>
              <w:keepLines w:val="0"/>
              <w:pageBreakBefore w:val="0"/>
              <w:widowControl w:val="0"/>
              <w:tabs>
                <w:tab w:val="left" w:pos="528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color w:val="auto"/>
                <w:sz w:val="21"/>
                <w:szCs w:val="21"/>
                <w:highlight w:val="none"/>
                <w:lang w:eastAsia="zh-CN"/>
              </w:rPr>
            </w:pPr>
            <w:r>
              <w:rPr>
                <w:rFonts w:hint="eastAsia"/>
                <w:b/>
                <w:color w:val="auto"/>
                <w:sz w:val="21"/>
                <w:szCs w:val="21"/>
                <w:highlight w:val="none"/>
                <w:lang w:eastAsia="zh-CN"/>
              </w:rPr>
              <w:t>表</w:t>
            </w:r>
            <w:r>
              <w:rPr>
                <w:rFonts w:hint="eastAsia"/>
                <w:b/>
                <w:color w:val="auto"/>
                <w:sz w:val="21"/>
                <w:szCs w:val="21"/>
                <w:highlight w:val="none"/>
                <w:lang w:val="en-US" w:eastAsia="zh-CN"/>
              </w:rPr>
              <w:t xml:space="preserve">4-9  </w:t>
            </w:r>
            <w:r>
              <w:rPr>
                <w:rFonts w:hint="eastAsia"/>
                <w:b/>
                <w:color w:val="auto"/>
                <w:sz w:val="21"/>
                <w:szCs w:val="21"/>
                <w:highlight w:val="none"/>
                <w:lang w:eastAsia="zh-CN"/>
              </w:rPr>
              <w:t>废水水质表（单位：</w:t>
            </w:r>
            <w:r>
              <w:rPr>
                <w:rFonts w:hint="eastAsia"/>
                <w:b/>
                <w:bCs w:val="0"/>
                <w:color w:val="auto"/>
                <w:sz w:val="21"/>
                <w:szCs w:val="21"/>
                <w:highlight w:val="none"/>
                <w:vertAlign w:val="baseline"/>
                <w:lang w:val="en-US" w:eastAsia="zh-CN"/>
              </w:rPr>
              <w:t>mg/L</w:t>
            </w:r>
            <w:r>
              <w:rPr>
                <w:rFonts w:hint="eastAsia"/>
                <w:b/>
                <w:color w:val="auto"/>
                <w:sz w:val="21"/>
                <w:szCs w:val="21"/>
                <w:highlight w:val="none"/>
                <w:lang w:eastAsia="zh-CN"/>
              </w:rPr>
              <w:t>）</w:t>
            </w:r>
          </w:p>
          <w:tbl>
            <w:tblPr>
              <w:tblStyle w:val="23"/>
              <w:tblW w:w="8300" w:type="dxa"/>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108" w:type="dxa"/>
                <w:bottom w:w="0" w:type="dxa"/>
                <w:right w:w="108" w:type="dxa"/>
              </w:tblCellMar>
            </w:tblPr>
            <w:tblGrid>
              <w:gridCol w:w="2985"/>
              <w:gridCol w:w="705"/>
              <w:gridCol w:w="750"/>
              <w:gridCol w:w="675"/>
              <w:gridCol w:w="675"/>
              <w:gridCol w:w="705"/>
              <w:gridCol w:w="677"/>
              <w:gridCol w:w="1128"/>
            </w:tblGrid>
            <w:tr w14:paraId="15A14157">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718" w:hRule="atLeast"/>
                <w:jc w:val="center"/>
              </w:trPr>
              <w:tc>
                <w:tcPr>
                  <w:tcW w:w="2985" w:type="dxa"/>
                  <w:tcBorders>
                    <w:bottom w:val="single" w:color="auto" w:sz="4" w:space="0"/>
                    <w:right w:val="single" w:color="auto" w:sz="4" w:space="0"/>
                  </w:tcBorders>
                  <w:noWrap w:val="0"/>
                  <w:vAlign w:val="center"/>
                  <mc:AlternateContent>
                    <mc:Choice Requires="wpsCustomData">
                      <wpsCustomData:diagonals>
                        <wpsCustomData:diagonal from="10200" to="30000">
                          <wpsCustomData:border w:val="single" w:color="auto" w:sz="12" w:space="0"/>
                        </wpsCustomData:diagonal>
                      </wpsCustomData:diagonals>
                    </mc:Choice>
                  </mc:AlternateContent>
                </w:tcPr>
                <w:p w14:paraId="2FFC9F93">
                  <w:pPr>
                    <w:keepNext w:val="0"/>
                    <w:keepLines w:val="0"/>
                    <w:pageBreakBefore w:val="0"/>
                    <w:widowControl w:val="0"/>
                    <w:tabs>
                      <w:tab w:val="left" w:pos="5280"/>
                    </w:tabs>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b w:val="0"/>
                      <w:bCs/>
                      <w:color w:val="auto"/>
                      <w:sz w:val="21"/>
                      <w:szCs w:val="21"/>
                      <w:vertAlign w:val="baseline"/>
                      <w:lang w:eastAsia="zh-CN"/>
                    </w:rPr>
                  </w:pPr>
                  <w:r>
                    <w:rPr>
                      <w:rFonts w:hint="eastAsia"/>
                      <w:b w:val="0"/>
                      <w:bCs/>
                      <w:color w:val="auto"/>
                      <w:sz w:val="21"/>
                      <w:szCs w:val="21"/>
                      <w:lang w:val="en-US" w:eastAsia="zh-CN"/>
                    </w:rPr>
                    <w:t xml:space="preserve">      </w:t>
                  </w:r>
                </w:p>
                <w:p w14:paraId="06E9AC30">
                  <w:pPr>
                    <w:keepNext w:val="0"/>
                    <w:keepLines w:val="0"/>
                    <w:pageBreakBefore w:val="0"/>
                    <w:widowControl w:val="0"/>
                    <w:tabs>
                      <w:tab w:val="left" w:pos="5280"/>
                    </w:tabs>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mc:AlternateContent>
                      <mc:Choice Requires="wpsCustomData">
                        <wpsCustomData:diagonalParaType/>
                      </mc:Choice>
                    </mc:AlternateContent>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浓度</w:t>
                  </w:r>
                </w:p>
                <w:p w14:paraId="3C07A56D">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lang w:val="en-US" w:eastAsia="zh-CN"/>
                    </w:rPr>
                    <w:t xml:space="preserve">   </w:t>
                  </w:r>
                  <w:r>
                    <w:rPr>
                      <w:rFonts w:hint="eastAsia"/>
                      <w:b w:val="0"/>
                      <w:bCs/>
                      <w:color w:val="auto"/>
                      <w:sz w:val="21"/>
                      <w:szCs w:val="21"/>
                      <w:lang w:eastAsia="zh-CN"/>
                    </w:rPr>
                    <w:t>名称</w:t>
                  </w:r>
                </w:p>
              </w:tc>
              <w:tc>
                <w:tcPr>
                  <w:tcW w:w="705" w:type="dxa"/>
                  <w:tcBorders>
                    <w:left w:val="single" w:color="auto" w:sz="4" w:space="0"/>
                    <w:bottom w:val="single" w:color="auto" w:sz="4" w:space="0"/>
                    <w:right w:val="single" w:color="auto" w:sz="4" w:space="0"/>
                  </w:tcBorders>
                  <w:noWrap w:val="0"/>
                  <w:vAlign w:val="center"/>
                </w:tcPr>
                <w:p w14:paraId="1D60E0BE">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COD</w:t>
                  </w:r>
                </w:p>
              </w:tc>
              <w:tc>
                <w:tcPr>
                  <w:tcW w:w="750" w:type="dxa"/>
                  <w:tcBorders>
                    <w:left w:val="single" w:color="auto" w:sz="4" w:space="0"/>
                    <w:bottom w:val="single" w:color="auto" w:sz="4" w:space="0"/>
                    <w:right w:val="single" w:color="auto" w:sz="4" w:space="0"/>
                  </w:tcBorders>
                  <w:noWrap w:val="0"/>
                  <w:vAlign w:val="center"/>
                </w:tcPr>
                <w:p w14:paraId="1FAAD90B">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BOD</w:t>
                  </w:r>
                  <w:r>
                    <w:rPr>
                      <w:rFonts w:hint="eastAsia"/>
                      <w:b w:val="0"/>
                      <w:bCs/>
                      <w:color w:val="auto"/>
                      <w:sz w:val="21"/>
                      <w:szCs w:val="21"/>
                      <w:vertAlign w:val="subscript"/>
                      <w:lang w:val="en-US" w:eastAsia="zh-CN"/>
                    </w:rPr>
                    <w:t>5</w:t>
                  </w:r>
                </w:p>
              </w:tc>
              <w:tc>
                <w:tcPr>
                  <w:tcW w:w="675" w:type="dxa"/>
                  <w:tcBorders>
                    <w:left w:val="single" w:color="auto" w:sz="4" w:space="0"/>
                    <w:bottom w:val="single" w:color="auto" w:sz="4" w:space="0"/>
                    <w:right w:val="single" w:color="auto" w:sz="4" w:space="0"/>
                  </w:tcBorders>
                  <w:noWrap w:val="0"/>
                  <w:vAlign w:val="center"/>
                </w:tcPr>
                <w:p w14:paraId="73D55CBF">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SS</w:t>
                  </w:r>
                </w:p>
              </w:tc>
              <w:tc>
                <w:tcPr>
                  <w:tcW w:w="675" w:type="dxa"/>
                  <w:tcBorders>
                    <w:left w:val="single" w:color="auto" w:sz="4" w:space="0"/>
                    <w:bottom w:val="single" w:color="auto" w:sz="4" w:space="0"/>
                    <w:right w:val="single" w:color="auto" w:sz="4" w:space="0"/>
                  </w:tcBorders>
                  <w:noWrap w:val="0"/>
                  <w:vAlign w:val="center"/>
                </w:tcPr>
                <w:p w14:paraId="337D83B6">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eastAsia="宋体"/>
                      <w:b w:val="0"/>
                      <w:bCs/>
                      <w:color w:val="auto"/>
                      <w:sz w:val="21"/>
                      <w:szCs w:val="21"/>
                      <w:vertAlign w:val="baseline"/>
                      <w:lang w:val="en-US" w:eastAsia="zh-CN"/>
                    </w:rPr>
                  </w:pPr>
                  <w:r>
                    <w:rPr>
                      <w:rFonts w:hint="eastAsia"/>
                      <w:b w:val="0"/>
                      <w:bCs/>
                      <w:color w:val="auto"/>
                      <w:sz w:val="21"/>
                      <w:szCs w:val="21"/>
                      <w:vertAlign w:val="baseline"/>
                      <w:lang w:val="en-US" w:eastAsia="zh-CN"/>
                    </w:rPr>
                    <w:t>石油类</w:t>
                  </w:r>
                </w:p>
              </w:tc>
              <w:tc>
                <w:tcPr>
                  <w:tcW w:w="705" w:type="dxa"/>
                  <w:tcBorders>
                    <w:left w:val="single" w:color="auto" w:sz="4" w:space="0"/>
                    <w:bottom w:val="single" w:color="auto" w:sz="4" w:space="0"/>
                    <w:right w:val="single" w:color="auto" w:sz="4" w:space="0"/>
                  </w:tcBorders>
                  <w:noWrap w:val="0"/>
                  <w:vAlign w:val="center"/>
                </w:tcPr>
                <w:p w14:paraId="06666D99">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氨氮</w:t>
                  </w:r>
                </w:p>
              </w:tc>
              <w:tc>
                <w:tcPr>
                  <w:tcW w:w="677" w:type="dxa"/>
                  <w:tcBorders>
                    <w:left w:val="single" w:color="auto" w:sz="4" w:space="0"/>
                    <w:bottom w:val="single" w:color="auto" w:sz="4" w:space="0"/>
                    <w:right w:val="single" w:color="auto" w:sz="4" w:space="0"/>
                  </w:tcBorders>
                  <w:noWrap w:val="0"/>
                  <w:vAlign w:val="center"/>
                </w:tcPr>
                <w:p w14:paraId="1957DAB6">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动植物油</w:t>
                  </w:r>
                </w:p>
              </w:tc>
              <w:tc>
                <w:tcPr>
                  <w:tcW w:w="1128" w:type="dxa"/>
                  <w:tcBorders>
                    <w:left w:val="single" w:color="auto" w:sz="4" w:space="0"/>
                    <w:bottom w:val="single" w:color="auto" w:sz="4" w:space="0"/>
                  </w:tcBorders>
                  <w:noWrap w:val="0"/>
                  <w:vAlign w:val="center"/>
                </w:tcPr>
                <w:p w14:paraId="471D8627">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阴离子表面活性剂</w:t>
                  </w:r>
                </w:p>
              </w:tc>
            </w:tr>
            <w:tr w14:paraId="7B1EC5F5">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2985" w:type="dxa"/>
                  <w:tcBorders>
                    <w:top w:val="single" w:color="auto" w:sz="4" w:space="0"/>
                    <w:bottom w:val="single" w:color="auto" w:sz="4" w:space="0"/>
                    <w:right w:val="single" w:color="auto" w:sz="4" w:space="0"/>
                  </w:tcBorders>
                  <w:noWrap w:val="0"/>
                  <w:vAlign w:val="center"/>
                </w:tcPr>
                <w:p w14:paraId="38256494">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热处理清洗机清理废水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A65AB6D">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578</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849BE9D">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200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F29FB9D">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500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371AD2">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100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2CB77B9">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25</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004964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eastAsia="zh-CN"/>
                    </w:rPr>
                    <w:t>-</w:t>
                  </w:r>
                </w:p>
              </w:tc>
              <w:tc>
                <w:tcPr>
                  <w:tcW w:w="1128" w:type="dxa"/>
                  <w:tcBorders>
                    <w:top w:val="single" w:color="auto" w:sz="4" w:space="0"/>
                    <w:left w:val="single" w:color="auto" w:sz="4" w:space="0"/>
                    <w:bottom w:val="single" w:color="auto" w:sz="4" w:space="0"/>
                  </w:tcBorders>
                  <w:noWrap w:val="0"/>
                  <w:vAlign w:val="center"/>
                </w:tcPr>
                <w:p w14:paraId="79DF174A">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36</w:t>
                  </w:r>
                </w:p>
              </w:tc>
            </w:tr>
            <w:tr w14:paraId="46BB1C02">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2985" w:type="dxa"/>
                  <w:tcBorders>
                    <w:top w:val="single" w:color="auto" w:sz="4" w:space="0"/>
                    <w:bottom w:val="single" w:color="auto" w:sz="4" w:space="0"/>
                    <w:right w:val="single" w:color="auto" w:sz="4" w:space="0"/>
                  </w:tcBorders>
                  <w:noWrap w:val="0"/>
                  <w:vAlign w:val="center"/>
                </w:tcPr>
                <w:p w14:paraId="34754675">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抛丸后清洗机清理废水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DD6D0E2">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720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2C35F69">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b w:val="0"/>
                      <w:bCs/>
                      <w:color w:val="auto"/>
                      <w:sz w:val="21"/>
                      <w:szCs w:val="21"/>
                      <w:vertAlign w:val="baseline"/>
                      <w:lang w:val="en-US" w:eastAsia="zh-CN"/>
                    </w:rPr>
                    <w:t>200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FA2F325">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 w:val="0"/>
                      <w:bCs/>
                      <w:color w:val="auto"/>
                      <w:kern w:val="2"/>
                      <w:sz w:val="21"/>
                      <w:szCs w:val="21"/>
                      <w:vertAlign w:val="baseline"/>
                      <w:lang w:val="en-US" w:eastAsia="zh-CN" w:bidi="ar-SA"/>
                    </w:rPr>
                  </w:pPr>
                  <w:r>
                    <w:rPr>
                      <w:rFonts w:hint="eastAsia"/>
                      <w:b w:val="0"/>
                      <w:bCs/>
                      <w:color w:val="auto"/>
                      <w:sz w:val="21"/>
                      <w:szCs w:val="21"/>
                      <w:vertAlign w:val="baseline"/>
                      <w:lang w:val="en-US" w:eastAsia="zh-CN"/>
                    </w:rPr>
                    <w:t>300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9AA3C6">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60DA67">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25</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5B82829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eastAsia="zh-CN"/>
                    </w:rPr>
                    <w:t>-</w:t>
                  </w:r>
                </w:p>
              </w:tc>
              <w:tc>
                <w:tcPr>
                  <w:tcW w:w="1128" w:type="dxa"/>
                  <w:tcBorders>
                    <w:top w:val="single" w:color="auto" w:sz="4" w:space="0"/>
                    <w:left w:val="single" w:color="auto" w:sz="4" w:space="0"/>
                    <w:bottom w:val="single" w:color="auto" w:sz="4" w:space="0"/>
                  </w:tcBorders>
                  <w:noWrap w:val="0"/>
                  <w:vAlign w:val="center"/>
                </w:tcPr>
                <w:p w14:paraId="2C42D633">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36</w:t>
                  </w:r>
                </w:p>
              </w:tc>
            </w:tr>
            <w:tr w14:paraId="008A549F">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67" w:hRule="atLeast"/>
                <w:jc w:val="center"/>
              </w:trPr>
              <w:tc>
                <w:tcPr>
                  <w:tcW w:w="2985" w:type="dxa"/>
                  <w:tcBorders>
                    <w:top w:val="single" w:color="auto" w:sz="4" w:space="0"/>
                    <w:bottom w:val="single" w:color="auto" w:sz="4" w:space="0"/>
                    <w:right w:val="single" w:color="auto" w:sz="4" w:space="0"/>
                  </w:tcBorders>
                  <w:noWrap w:val="0"/>
                  <w:vAlign w:val="center"/>
                </w:tcPr>
                <w:p w14:paraId="27116E17">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软化水装置产生的浓盐水、蓄热式电锅炉排污水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2B8F67">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240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C792A87">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120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A76023E">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125</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A0A0249">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8241B51">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25</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46CA81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eastAsia="zh-CN"/>
                    </w:rPr>
                    <w:t>-</w:t>
                  </w:r>
                </w:p>
              </w:tc>
              <w:tc>
                <w:tcPr>
                  <w:tcW w:w="1128" w:type="dxa"/>
                  <w:tcBorders>
                    <w:top w:val="single" w:color="auto" w:sz="4" w:space="0"/>
                    <w:left w:val="single" w:color="auto" w:sz="4" w:space="0"/>
                    <w:bottom w:val="single" w:color="auto" w:sz="4" w:space="0"/>
                  </w:tcBorders>
                  <w:noWrap w:val="0"/>
                  <w:vAlign w:val="center"/>
                </w:tcPr>
                <w:p w14:paraId="28E1A65D">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eastAsia="zh-CN"/>
                    </w:rPr>
                    <w:t>-</w:t>
                  </w:r>
                </w:p>
              </w:tc>
            </w:tr>
            <w:tr w14:paraId="0B616C9A">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PrEx>
              <w:trPr>
                <w:trHeight w:val="536" w:hRule="atLeast"/>
                <w:jc w:val="center"/>
              </w:trPr>
              <w:tc>
                <w:tcPr>
                  <w:tcW w:w="2985" w:type="dxa"/>
                  <w:tcBorders>
                    <w:top w:val="single" w:color="auto" w:sz="4" w:space="0"/>
                    <w:bottom w:val="single" w:color="auto" w:sz="4" w:space="0"/>
                    <w:right w:val="single" w:color="auto" w:sz="4" w:space="0"/>
                  </w:tcBorders>
                  <w:noWrap w:val="0"/>
                  <w:vAlign w:val="center"/>
                </w:tcPr>
                <w:p w14:paraId="644CEB50">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eastAsia="zh-CN"/>
                    </w:rPr>
                  </w:pPr>
                  <w:r>
                    <w:rPr>
                      <w:rFonts w:hint="eastAsia"/>
                      <w:b w:val="0"/>
                      <w:bCs/>
                      <w:color w:val="auto"/>
                      <w:sz w:val="21"/>
                      <w:szCs w:val="21"/>
                      <w:vertAlign w:val="baseline"/>
                      <w:lang w:eastAsia="zh-CN"/>
                    </w:rPr>
                    <w:t>生活污水</w:t>
                  </w:r>
                  <w:r>
                    <w:rPr>
                      <w:rFonts w:hint="eastAsia"/>
                      <w:b w:val="0"/>
                      <w:bCs/>
                      <w:color w:val="auto"/>
                      <w:sz w:val="21"/>
                      <w:szCs w:val="21"/>
                      <w:vertAlign w:val="baseline"/>
                      <w:lang w:val="en-US" w:eastAsia="zh-CN"/>
                    </w:rPr>
                    <w:t>水质</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7357AF3">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340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FE9606E">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150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AB345B8">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200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25C67D0">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eastAsia="zh-CN"/>
                    </w:rPr>
                  </w:pPr>
                  <w:r>
                    <w:rPr>
                      <w:rFonts w:hint="eastAsia"/>
                      <w:b w:val="0"/>
                      <w:bCs/>
                      <w:color w:val="auto"/>
                      <w:sz w:val="21"/>
                      <w:szCs w:val="21"/>
                      <w:vertAlign w:val="baseline"/>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29FF3FA">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25</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2EAB8E7A">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vertAlign w:val="baseline"/>
                      <w:lang w:val="en-US" w:eastAsia="zh-CN"/>
                    </w:rPr>
                  </w:pPr>
                  <w:r>
                    <w:rPr>
                      <w:rFonts w:hint="eastAsia"/>
                      <w:b w:val="0"/>
                      <w:bCs/>
                      <w:color w:val="auto"/>
                      <w:sz w:val="21"/>
                      <w:szCs w:val="21"/>
                      <w:vertAlign w:val="baseline"/>
                      <w:lang w:val="en-US" w:eastAsia="zh-CN"/>
                    </w:rPr>
                    <w:t>12</w:t>
                  </w:r>
                </w:p>
              </w:tc>
              <w:tc>
                <w:tcPr>
                  <w:tcW w:w="1128" w:type="dxa"/>
                  <w:tcBorders>
                    <w:top w:val="single" w:color="auto" w:sz="4" w:space="0"/>
                    <w:left w:val="single" w:color="auto" w:sz="4" w:space="0"/>
                    <w:bottom w:val="single" w:color="auto" w:sz="4" w:space="0"/>
                  </w:tcBorders>
                  <w:noWrap w:val="0"/>
                  <w:vAlign w:val="center"/>
                </w:tcPr>
                <w:p w14:paraId="37596C83">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eastAsia="zh-CN"/>
                    </w:rPr>
                    <w:t>-</w:t>
                  </w:r>
                </w:p>
              </w:tc>
            </w:tr>
            <w:tr w14:paraId="1212C0A1">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53" w:hRule="atLeast"/>
                <w:jc w:val="center"/>
              </w:trPr>
              <w:tc>
                <w:tcPr>
                  <w:tcW w:w="2985" w:type="dxa"/>
                  <w:tcBorders>
                    <w:top w:val="single" w:color="auto" w:sz="4" w:space="0"/>
                    <w:right w:val="single" w:color="auto" w:sz="4" w:space="0"/>
                  </w:tcBorders>
                  <w:noWrap w:val="0"/>
                  <w:vAlign w:val="center"/>
                </w:tcPr>
                <w:p w14:paraId="5CD45595">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混合后水质</w:t>
                  </w:r>
                </w:p>
                <w:p w14:paraId="3F5801B2">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（热处理清洗机清理废水、抛丸后清洗机清理废水）</w:t>
                  </w:r>
                </w:p>
              </w:tc>
              <w:tc>
                <w:tcPr>
                  <w:tcW w:w="705" w:type="dxa"/>
                  <w:tcBorders>
                    <w:top w:val="single" w:color="auto" w:sz="4" w:space="0"/>
                    <w:left w:val="single" w:color="auto" w:sz="4" w:space="0"/>
                    <w:right w:val="single" w:color="auto" w:sz="4" w:space="0"/>
                  </w:tcBorders>
                  <w:noWrap w:val="0"/>
                  <w:vAlign w:val="center"/>
                </w:tcPr>
                <w:p w14:paraId="76B1700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cs="Times New Roman"/>
                      <w:i w:val="0"/>
                      <w:iCs w:val="0"/>
                      <w:color w:val="000000"/>
                      <w:kern w:val="0"/>
                      <w:sz w:val="21"/>
                      <w:szCs w:val="21"/>
                      <w:u w:val="none"/>
                      <w:lang w:val="en-US" w:eastAsia="zh-CN" w:bidi="ar"/>
                    </w:rPr>
                    <w:t>684.5</w:t>
                  </w:r>
                </w:p>
              </w:tc>
              <w:tc>
                <w:tcPr>
                  <w:tcW w:w="750" w:type="dxa"/>
                  <w:tcBorders>
                    <w:top w:val="single" w:color="auto" w:sz="4" w:space="0"/>
                    <w:left w:val="single" w:color="auto" w:sz="4" w:space="0"/>
                    <w:right w:val="single" w:color="auto" w:sz="4" w:space="0"/>
                  </w:tcBorders>
                  <w:noWrap w:val="0"/>
                  <w:vAlign w:val="center"/>
                </w:tcPr>
                <w:p w14:paraId="0919CC3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cs="Times New Roman"/>
                      <w:i w:val="0"/>
                      <w:iCs w:val="0"/>
                      <w:color w:val="000000"/>
                      <w:kern w:val="0"/>
                      <w:sz w:val="21"/>
                      <w:szCs w:val="21"/>
                      <w:u w:val="none"/>
                      <w:lang w:val="en-US" w:eastAsia="zh-CN" w:bidi="ar"/>
                    </w:rPr>
                    <w:t>200</w:t>
                  </w:r>
                </w:p>
              </w:tc>
              <w:tc>
                <w:tcPr>
                  <w:tcW w:w="675" w:type="dxa"/>
                  <w:tcBorders>
                    <w:top w:val="single" w:color="auto" w:sz="4" w:space="0"/>
                    <w:left w:val="single" w:color="auto" w:sz="4" w:space="0"/>
                    <w:right w:val="single" w:color="auto" w:sz="4" w:space="0"/>
                  </w:tcBorders>
                  <w:noWrap w:val="0"/>
                  <w:vAlign w:val="center"/>
                </w:tcPr>
                <w:p w14:paraId="79BBA4D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cs="Times New Roman"/>
                      <w:i w:val="0"/>
                      <w:iCs w:val="0"/>
                      <w:color w:val="000000"/>
                      <w:kern w:val="0"/>
                      <w:sz w:val="21"/>
                      <w:szCs w:val="21"/>
                      <w:u w:val="none"/>
                      <w:lang w:val="en-US" w:eastAsia="zh-CN" w:bidi="ar"/>
                    </w:rPr>
                    <w:t>350</w:t>
                  </w:r>
                </w:p>
              </w:tc>
              <w:tc>
                <w:tcPr>
                  <w:tcW w:w="675" w:type="dxa"/>
                  <w:tcBorders>
                    <w:top w:val="single" w:color="auto" w:sz="4" w:space="0"/>
                    <w:left w:val="single" w:color="auto" w:sz="4" w:space="0"/>
                    <w:right w:val="single" w:color="auto" w:sz="4" w:space="0"/>
                  </w:tcBorders>
                  <w:noWrap w:val="0"/>
                  <w:vAlign w:val="center"/>
                </w:tcPr>
                <w:p w14:paraId="2A00E4F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cs="Times New Roman"/>
                      <w:i w:val="0"/>
                      <w:iCs w:val="0"/>
                      <w:color w:val="000000"/>
                      <w:kern w:val="0"/>
                      <w:sz w:val="21"/>
                      <w:szCs w:val="21"/>
                      <w:u w:val="none"/>
                      <w:lang w:val="en-US" w:eastAsia="zh-CN" w:bidi="ar"/>
                    </w:rPr>
                    <w:t>34</w:t>
                  </w:r>
                </w:p>
              </w:tc>
              <w:tc>
                <w:tcPr>
                  <w:tcW w:w="705" w:type="dxa"/>
                  <w:tcBorders>
                    <w:top w:val="single" w:color="auto" w:sz="4" w:space="0"/>
                    <w:left w:val="single" w:color="auto" w:sz="4" w:space="0"/>
                    <w:right w:val="single" w:color="auto" w:sz="4" w:space="0"/>
                  </w:tcBorders>
                  <w:noWrap w:val="0"/>
                  <w:vAlign w:val="center"/>
                </w:tcPr>
                <w:p w14:paraId="0D355A7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25</w:t>
                  </w:r>
                </w:p>
              </w:tc>
              <w:tc>
                <w:tcPr>
                  <w:tcW w:w="677" w:type="dxa"/>
                  <w:tcBorders>
                    <w:top w:val="single" w:color="auto" w:sz="4" w:space="0"/>
                    <w:left w:val="single" w:color="auto" w:sz="4" w:space="0"/>
                    <w:right w:val="single" w:color="auto" w:sz="4" w:space="0"/>
                  </w:tcBorders>
                  <w:noWrap w:val="0"/>
                  <w:vAlign w:val="center"/>
                </w:tcPr>
                <w:p w14:paraId="286340B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b w:val="0"/>
                      <w:bCs/>
                      <w:color w:val="auto"/>
                      <w:sz w:val="21"/>
                      <w:szCs w:val="21"/>
                      <w:vertAlign w:val="baseline"/>
                      <w:lang w:eastAsia="zh-CN"/>
                    </w:rPr>
                    <w:t>-</w:t>
                  </w:r>
                </w:p>
              </w:tc>
              <w:tc>
                <w:tcPr>
                  <w:tcW w:w="1128" w:type="dxa"/>
                  <w:tcBorders>
                    <w:top w:val="single" w:color="auto" w:sz="4" w:space="0"/>
                    <w:left w:val="single" w:color="auto" w:sz="4" w:space="0"/>
                  </w:tcBorders>
                  <w:noWrap w:val="0"/>
                  <w:vAlign w:val="center"/>
                </w:tcPr>
                <w:p w14:paraId="47CD3DC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b w:val="0"/>
                      <w:bCs/>
                      <w:color w:val="auto"/>
                      <w:sz w:val="21"/>
                      <w:szCs w:val="21"/>
                      <w:vertAlign w:val="baseline"/>
                      <w:lang w:val="en-US" w:eastAsia="zh-CN"/>
                    </w:rPr>
                    <w:t>36</w:t>
                  </w:r>
                </w:p>
              </w:tc>
            </w:tr>
          </w:tbl>
          <w:p w14:paraId="4B969BAB">
            <w:pPr>
              <w:bidi w:val="0"/>
              <w:rPr>
                <w:rFonts w:hint="eastAsia"/>
                <w:color w:val="auto"/>
                <w:highlight w:val="none"/>
                <w:lang w:val="en-US" w:eastAsia="zh-CN"/>
              </w:rPr>
            </w:pPr>
            <w:r>
              <w:rPr>
                <w:rFonts w:hint="eastAsia"/>
                <w:color w:val="auto"/>
                <w:highlight w:val="none"/>
                <w:lang w:val="en-US" w:eastAsia="zh-CN"/>
              </w:rPr>
              <w:t>污水处理设施工艺：</w:t>
            </w:r>
          </w:p>
          <w:p w14:paraId="511C800A">
            <w:pPr>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highlight w:val="none"/>
              </w:rPr>
              <w:t>①</w:t>
            </w:r>
            <w:r>
              <w:rPr>
                <w:rFonts w:hint="eastAsia"/>
                <w:color w:val="auto"/>
                <w:highlight w:val="none"/>
                <w:lang w:val="en-US" w:eastAsia="zh-CN"/>
              </w:rPr>
              <w:fldChar w:fldCharType="end"/>
            </w:r>
            <w:r>
              <w:rPr>
                <w:rFonts w:hint="eastAsia"/>
                <w:color w:val="auto"/>
                <w:highlight w:val="none"/>
                <w:lang w:val="en-US" w:eastAsia="zh-CN"/>
              </w:rPr>
              <w:t>隔油</w:t>
            </w:r>
          </w:p>
          <w:p w14:paraId="101357F1">
            <w:pPr>
              <w:numPr>
                <w:ilvl w:val="0"/>
                <w:numId w:val="0"/>
              </w:numPr>
              <w:bidi w:val="0"/>
              <w:ind w:left="0" w:leftChars="0" w:firstLine="480" w:firstLineChars="200"/>
              <w:rPr>
                <w:rFonts w:hint="eastAsia"/>
                <w:color w:val="auto"/>
                <w:highlight w:val="none"/>
                <w:lang w:val="en-US" w:eastAsia="zh-CN"/>
              </w:rPr>
            </w:pPr>
            <w:r>
              <w:rPr>
                <w:rFonts w:hint="eastAsia"/>
                <w:color w:val="auto"/>
                <w:highlight w:val="none"/>
                <w:lang w:val="en-US" w:eastAsia="zh-CN"/>
              </w:rPr>
              <w:t>清洗机清理废水经过管网收集，进入隔油池，经过隔油沉淀去处清洗机清理废水中的浮油和悬浮物后。</w:t>
            </w:r>
          </w:p>
          <w:p w14:paraId="7C7139B3">
            <w:pPr>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highlight w:val="none"/>
              </w:rPr>
              <w:t>②</w:t>
            </w:r>
            <w:r>
              <w:rPr>
                <w:rFonts w:hint="eastAsia"/>
                <w:color w:val="auto"/>
                <w:highlight w:val="none"/>
                <w:lang w:val="en-US" w:eastAsia="zh-CN"/>
              </w:rPr>
              <w:fldChar w:fldCharType="end"/>
            </w:r>
            <w:r>
              <w:rPr>
                <w:rFonts w:hint="eastAsia"/>
                <w:color w:val="auto"/>
                <w:highlight w:val="none"/>
                <w:lang w:val="en-US" w:eastAsia="zh-CN"/>
              </w:rPr>
              <w:t>絮凝沉淀</w:t>
            </w:r>
          </w:p>
          <w:p w14:paraId="737F2CF9">
            <w:pPr>
              <w:bidi w:val="0"/>
              <w:rPr>
                <w:rFonts w:hint="eastAsia"/>
                <w:color w:val="auto"/>
                <w:highlight w:val="none"/>
                <w:lang w:val="en-US" w:eastAsia="zh-CN"/>
              </w:rPr>
            </w:pPr>
            <w:r>
              <w:rPr>
                <w:rFonts w:hint="eastAsia"/>
                <w:color w:val="auto"/>
                <w:highlight w:val="none"/>
                <w:lang w:val="en-US" w:eastAsia="zh-CN"/>
              </w:rPr>
              <w:t>清洗机清理废水经提升泵入反应池，通过自动控制加药调节其pH，使其达到最佳絮凝效果，同时加入适量的聚丙稀酰氨（PAM)，起到架桥的作用，形成更大的絮状物，利于沉淀。通过加药反应后，清洗机废水通过自流流入竖流式沉淀池，沉淀去处废水中的悬浮物。沉淀后废水排入反应池中，加入酸或碱调节其pH值，处理后排入园区污水管网。</w:t>
            </w:r>
          </w:p>
          <w:p w14:paraId="3DE0494F">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eastAsia"/>
                <w:b/>
                <w:color w:val="auto"/>
                <w:sz w:val="21"/>
                <w:highlight w:val="none"/>
                <w:lang w:eastAsia="zh-CN"/>
              </w:rPr>
              <w:drawing>
                <wp:anchor distT="0" distB="0" distL="114935" distR="114935" simplePos="0" relativeHeight="251662336" behindDoc="0" locked="0" layoutInCell="1" allowOverlap="1">
                  <wp:simplePos x="0" y="0"/>
                  <wp:positionH relativeFrom="column">
                    <wp:posOffset>410210</wp:posOffset>
                  </wp:positionH>
                  <wp:positionV relativeFrom="paragraph">
                    <wp:posOffset>34925</wp:posOffset>
                  </wp:positionV>
                  <wp:extent cx="4605655" cy="2274570"/>
                  <wp:effectExtent l="0" t="0" r="4445" b="11430"/>
                  <wp:wrapTopAndBottom/>
                  <wp:docPr id="11" name="图片 11" descr="图片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1-12"/>
                          <pic:cNvPicPr>
                            <a:picLocks noChangeAspect="1"/>
                          </pic:cNvPicPr>
                        </pic:nvPicPr>
                        <pic:blipFill>
                          <a:blip r:embed="rId19"/>
                          <a:stretch>
                            <a:fillRect/>
                          </a:stretch>
                        </pic:blipFill>
                        <pic:spPr>
                          <a:xfrm>
                            <a:off x="0" y="0"/>
                            <a:ext cx="4605655" cy="2274570"/>
                          </a:xfrm>
                          <a:prstGeom prst="rect">
                            <a:avLst/>
                          </a:prstGeom>
                        </pic:spPr>
                      </pic:pic>
                    </a:graphicData>
                  </a:graphic>
                </wp:anchor>
              </w:drawing>
            </w:r>
            <w:r>
              <w:rPr>
                <w:rFonts w:hint="eastAsia"/>
                <w:b/>
                <w:color w:val="auto"/>
                <w:sz w:val="21"/>
                <w:highlight w:val="none"/>
                <w:lang w:eastAsia="zh-CN"/>
              </w:rPr>
              <w:t>图</w:t>
            </w:r>
            <w:r>
              <w:rPr>
                <w:rFonts w:hint="eastAsia"/>
                <w:b/>
                <w:color w:val="auto"/>
                <w:sz w:val="21"/>
                <w:highlight w:val="none"/>
                <w:lang w:val="en-US" w:eastAsia="zh-CN"/>
              </w:rPr>
              <w:t xml:space="preserve">4-1  </w:t>
            </w:r>
            <w:r>
              <w:rPr>
                <w:rFonts w:hint="eastAsia"/>
                <w:b/>
                <w:color w:val="auto"/>
                <w:sz w:val="21"/>
                <w:highlight w:val="none"/>
                <w:lang w:eastAsia="zh-CN"/>
              </w:rPr>
              <w:t>污水处理</w:t>
            </w:r>
            <w:r>
              <w:rPr>
                <w:rFonts w:hint="eastAsia"/>
                <w:b/>
                <w:color w:val="auto"/>
                <w:sz w:val="21"/>
                <w:highlight w:val="none"/>
                <w:lang w:val="en-US" w:eastAsia="zh-CN"/>
              </w:rPr>
              <w:t>设施</w:t>
            </w:r>
            <w:r>
              <w:rPr>
                <w:rFonts w:hint="eastAsia"/>
                <w:b/>
                <w:color w:val="auto"/>
                <w:sz w:val="21"/>
                <w:highlight w:val="none"/>
                <w:lang w:eastAsia="zh-CN"/>
              </w:rPr>
              <w:t>工艺流程图</w:t>
            </w:r>
            <w:r>
              <w:rPr>
                <w:rFonts w:hint="eastAsia"/>
                <w:b/>
                <w:color w:val="auto"/>
                <w:sz w:val="21"/>
                <w:highlight w:val="none"/>
                <w:lang w:val="en-US" w:eastAsia="zh-CN"/>
              </w:rPr>
              <w:t xml:space="preserve"> </w:t>
            </w:r>
          </w:p>
          <w:p w14:paraId="5EC12D3A">
            <w:pPr>
              <w:bidi w:val="0"/>
              <w:rPr>
                <w:rFonts w:hint="default"/>
                <w:b w:val="0"/>
                <w:bCs w:val="0"/>
                <w:highlight w:val="none"/>
                <w:lang w:val="en-US" w:eastAsia="zh-CN"/>
              </w:rPr>
            </w:pPr>
            <w:r>
              <w:rPr>
                <w:rFonts w:hint="eastAsia"/>
                <w:b w:val="0"/>
                <w:bCs w:val="0"/>
                <w:highlight w:val="none"/>
                <w:lang w:val="en-US" w:eastAsia="zh-CN"/>
              </w:rPr>
              <w:t>2、废水处理措施可行性分析</w:t>
            </w:r>
          </w:p>
          <w:p w14:paraId="7A4E3F7A">
            <w:pPr>
              <w:bidi w:val="0"/>
              <w:rPr>
                <w:rFonts w:hint="eastAsia"/>
                <w:highlight w:val="none"/>
              </w:rPr>
            </w:pPr>
            <w:r>
              <w:rPr>
                <w:rFonts w:hint="default"/>
                <w:highlight w:val="none"/>
                <w:lang w:val="en-US" w:eastAsia="zh-CN"/>
              </w:rPr>
              <w:t>根据工程分析，本项目</w:t>
            </w:r>
            <w:r>
              <w:rPr>
                <w:rFonts w:hint="eastAsia"/>
                <w:highlight w:val="none"/>
                <w:lang w:val="en-US" w:eastAsia="zh-CN"/>
              </w:rPr>
              <w:t>废水产生量为6.262</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val="en-US" w:eastAsia="zh-CN"/>
              </w:rPr>
              <w:t>1878.6</w:t>
            </w:r>
            <w:r>
              <w:rPr>
                <w:rFonts w:hint="eastAsia"/>
                <w:highlight w:val="none"/>
              </w:rPr>
              <w:t>m</w:t>
            </w:r>
            <w:r>
              <w:rPr>
                <w:rFonts w:hint="eastAsia"/>
                <w:highlight w:val="none"/>
                <w:vertAlign w:val="superscript"/>
              </w:rPr>
              <w:t>3</w:t>
            </w:r>
            <w:r>
              <w:rPr>
                <w:rFonts w:hint="eastAsia"/>
                <w:highlight w:val="none"/>
              </w:rPr>
              <w:t>/a）</w:t>
            </w:r>
            <w:r>
              <w:rPr>
                <w:rFonts w:hint="eastAsia"/>
                <w:sz w:val="24"/>
                <w:szCs w:val="24"/>
                <w:highlight w:val="none"/>
                <w:lang w:val="en-US" w:eastAsia="zh-CN"/>
              </w:rPr>
              <w:t>，其中</w:t>
            </w:r>
            <w:r>
              <w:rPr>
                <w:rFonts w:hint="eastAsia"/>
                <w:b w:val="0"/>
                <w:bCs/>
                <w:color w:val="auto"/>
                <w:sz w:val="24"/>
                <w:szCs w:val="24"/>
                <w:highlight w:val="none"/>
                <w:vertAlign w:val="baseline"/>
                <w:lang w:val="en-US" w:eastAsia="zh-CN"/>
              </w:rPr>
              <w:t>热处理清洗机清理废水经自带油水分离器处理后废水、抛丸后清洗机清理废水</w:t>
            </w:r>
            <w:r>
              <w:rPr>
                <w:rFonts w:hint="eastAsia" w:cs="Times New Roman"/>
                <w:b w:val="0"/>
                <w:bCs/>
                <w:color w:val="auto"/>
                <w:sz w:val="24"/>
                <w:szCs w:val="24"/>
                <w:highlight w:val="none"/>
                <w:vertAlign w:val="baseline"/>
                <w:lang w:val="en-US" w:eastAsia="zh-CN"/>
              </w:rPr>
              <w:t>混合进入污水处理设施处理</w:t>
            </w:r>
            <w:r>
              <w:rPr>
                <w:rFonts w:hint="eastAsia" w:cs="Times New Roman"/>
                <w:b w:val="0"/>
                <w:bCs/>
                <w:color w:val="auto"/>
                <w:sz w:val="21"/>
                <w:szCs w:val="21"/>
                <w:highlight w:val="none"/>
                <w:vertAlign w:val="baseline"/>
                <w:lang w:val="en-US" w:eastAsia="zh-CN"/>
              </w:rPr>
              <w:t>，</w:t>
            </w:r>
            <w:r>
              <w:rPr>
                <w:rFonts w:hint="eastAsia" w:cs="Times New Roman"/>
                <w:b w:val="0"/>
                <w:bCs/>
                <w:color w:val="auto"/>
                <w:sz w:val="24"/>
                <w:szCs w:val="24"/>
                <w:highlight w:val="none"/>
                <w:vertAlign w:val="baseline"/>
                <w:lang w:val="en-US" w:eastAsia="zh-CN"/>
              </w:rPr>
              <w:t>废水量为</w:t>
            </w:r>
            <w:r>
              <w:rPr>
                <w:rFonts w:hint="eastAsia"/>
                <w:highlight w:val="none"/>
                <w:lang w:val="en-US" w:eastAsia="zh-CN"/>
              </w:rPr>
              <w:t>9.6</w:t>
            </w:r>
            <w:r>
              <w:rPr>
                <w:rFonts w:hint="eastAsia"/>
                <w:highlight w:val="none"/>
              </w:rPr>
              <w:t>m</w:t>
            </w:r>
            <w:r>
              <w:rPr>
                <w:rFonts w:hint="eastAsia"/>
                <w:highlight w:val="none"/>
                <w:vertAlign w:val="superscript"/>
              </w:rPr>
              <w:t>3</w:t>
            </w:r>
            <w:r>
              <w:rPr>
                <w:rFonts w:hint="eastAsia"/>
                <w:highlight w:val="none"/>
              </w:rPr>
              <w:t>/a</w:t>
            </w:r>
            <w:r>
              <w:rPr>
                <w:rFonts w:hint="eastAsia"/>
                <w:highlight w:val="none"/>
                <w:lang w:eastAsia="zh-CN"/>
              </w:rPr>
              <w:t>，混合后</w:t>
            </w:r>
            <w:r>
              <w:rPr>
                <w:rFonts w:hint="default"/>
                <w:highlight w:val="none"/>
                <w:lang w:val="en-US" w:eastAsia="zh-CN"/>
              </w:rPr>
              <w:t>废水中主要污染物</w:t>
            </w:r>
            <w:r>
              <w:rPr>
                <w:rFonts w:hint="eastAsia"/>
                <w:highlight w:val="none"/>
                <w:lang w:val="en-US" w:eastAsia="zh-CN"/>
              </w:rPr>
              <w:t>及浓度</w:t>
            </w:r>
            <w:r>
              <w:rPr>
                <w:rFonts w:hint="default"/>
                <w:highlight w:val="none"/>
                <w:lang w:val="en-US" w:eastAsia="zh-CN"/>
              </w:rPr>
              <w:t>为</w:t>
            </w:r>
            <w:r>
              <w:rPr>
                <w:rFonts w:hint="eastAsia"/>
                <w:highlight w:val="none"/>
                <w:lang w:val="en-US" w:eastAsia="zh-CN"/>
              </w:rPr>
              <w:t>COD：</w:t>
            </w:r>
            <w:r>
              <w:rPr>
                <w:rFonts w:hint="eastAsia"/>
                <w:color w:val="auto"/>
                <w:highlight w:val="none"/>
                <w:lang w:val="en-US" w:eastAsia="zh-CN"/>
              </w:rPr>
              <w:t>684.5mg/L、BOD</w:t>
            </w:r>
            <w:r>
              <w:rPr>
                <w:rFonts w:hint="eastAsia"/>
                <w:color w:val="auto"/>
                <w:highlight w:val="none"/>
                <w:vertAlign w:val="subscript"/>
                <w:lang w:val="en-US" w:eastAsia="zh-CN"/>
              </w:rPr>
              <w:t>5</w:t>
            </w:r>
            <w:r>
              <w:rPr>
                <w:rFonts w:hint="eastAsia"/>
                <w:color w:val="auto"/>
                <w:highlight w:val="none"/>
                <w:lang w:val="en-US" w:eastAsia="zh-CN"/>
              </w:rPr>
              <w:t>：200mg/L、SS：350mg/L、氨氮：25mg/L、石油类：34mg/L、阴离子表面活性剂：36mg/L。项目在1#厂房东侧建设一套处理能力为3m</w:t>
            </w:r>
            <w:r>
              <w:rPr>
                <w:rFonts w:hint="eastAsia"/>
                <w:color w:val="auto"/>
                <w:highlight w:val="none"/>
                <w:vertAlign w:val="superscript"/>
                <w:lang w:val="en-US" w:eastAsia="zh-CN"/>
              </w:rPr>
              <w:t>3</w:t>
            </w:r>
            <w:r>
              <w:rPr>
                <w:rFonts w:hint="eastAsia"/>
                <w:color w:val="auto"/>
                <w:highlight w:val="none"/>
                <w:lang w:val="en-US" w:eastAsia="zh-CN"/>
              </w:rPr>
              <w:t>/d的污水处理设施，处理工艺为</w:t>
            </w:r>
            <w:r>
              <w:rPr>
                <w:rFonts w:hint="eastAsia"/>
                <w:highlight w:val="none"/>
                <w:lang w:val="en-US" w:eastAsia="zh-CN"/>
              </w:rPr>
              <w:t>“隔油+絮凝沉淀”</w:t>
            </w:r>
            <w:r>
              <w:rPr>
                <w:rFonts w:hint="default"/>
                <w:highlight w:val="none"/>
                <w:lang w:val="en-US" w:eastAsia="zh-CN"/>
              </w:rPr>
              <w:t>，</w:t>
            </w:r>
            <w:r>
              <w:rPr>
                <w:rFonts w:hint="eastAsia"/>
                <w:highlight w:val="none"/>
                <w:lang w:val="en-US" w:eastAsia="zh-CN"/>
              </w:rPr>
              <w:t>去处理为50%，</w:t>
            </w:r>
            <w:r>
              <w:rPr>
                <w:rFonts w:hint="default"/>
                <w:highlight w:val="none"/>
                <w:lang w:val="en-US" w:eastAsia="zh-CN"/>
              </w:rPr>
              <w:t>处理后</w:t>
            </w:r>
            <w:r>
              <w:rPr>
                <w:rFonts w:hint="eastAsia"/>
                <w:highlight w:val="none"/>
                <w:lang w:val="en-US" w:eastAsia="zh-CN"/>
              </w:rPr>
              <w:t>经园区污水管网，排入园区污水处理厂</w:t>
            </w:r>
            <w:r>
              <w:rPr>
                <w:rFonts w:hint="default"/>
                <w:highlight w:val="none"/>
                <w:lang w:val="en-US" w:eastAsia="zh-CN"/>
              </w:rPr>
              <w:t>。</w:t>
            </w:r>
            <w:r>
              <w:rPr>
                <w:rFonts w:hint="eastAsia"/>
                <w:highlight w:val="none"/>
              </w:rPr>
              <w:t>软化水装置产生的浓盐水、蓄热式电锅炉排污水</w:t>
            </w:r>
            <w:r>
              <w:rPr>
                <w:rFonts w:hint="eastAsia"/>
                <w:highlight w:val="none"/>
                <w:lang w:val="en-US" w:eastAsia="zh-CN"/>
              </w:rPr>
              <w:t>、</w:t>
            </w:r>
            <w:r>
              <w:rPr>
                <w:rFonts w:hint="eastAsia"/>
                <w:highlight w:val="none"/>
              </w:rPr>
              <w:t>生活废水</w:t>
            </w:r>
            <w:r>
              <w:rPr>
                <w:rFonts w:hint="eastAsia"/>
                <w:highlight w:val="none"/>
                <w:lang w:eastAsia="zh-CN"/>
              </w:rPr>
              <w:t>中食堂废水经隔油池处理后废水、其它生活污水混合后出水口水质见表</w:t>
            </w:r>
            <w:r>
              <w:rPr>
                <w:rFonts w:hint="eastAsia"/>
                <w:highlight w:val="none"/>
                <w:lang w:val="en-US" w:eastAsia="zh-CN"/>
              </w:rPr>
              <w:t>4-10</w:t>
            </w:r>
            <w:r>
              <w:rPr>
                <w:rFonts w:hint="default"/>
                <w:highlight w:val="none"/>
                <w:lang w:val="en-US" w:eastAsia="zh-CN"/>
              </w:rPr>
              <w:t>。</w:t>
            </w:r>
          </w:p>
          <w:p w14:paraId="2880A770">
            <w:pPr>
              <w:keepNext w:val="0"/>
              <w:keepLines w:val="0"/>
              <w:pageBreakBefore w:val="0"/>
              <w:widowControl w:val="0"/>
              <w:tabs>
                <w:tab w:val="left" w:pos="528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b/>
                <w:color w:val="auto"/>
                <w:sz w:val="21"/>
                <w:szCs w:val="21"/>
                <w:highlight w:val="none"/>
                <w:lang w:eastAsia="zh-CN"/>
              </w:rPr>
            </w:pPr>
            <w:r>
              <w:rPr>
                <w:rFonts w:hint="eastAsia"/>
                <w:b/>
                <w:color w:val="auto"/>
                <w:sz w:val="21"/>
                <w:szCs w:val="21"/>
                <w:highlight w:val="none"/>
                <w:lang w:eastAsia="zh-CN"/>
              </w:rPr>
              <w:t>表</w:t>
            </w:r>
            <w:r>
              <w:rPr>
                <w:rFonts w:hint="eastAsia"/>
                <w:b/>
                <w:color w:val="auto"/>
                <w:sz w:val="21"/>
                <w:szCs w:val="21"/>
                <w:highlight w:val="none"/>
                <w:lang w:val="en-US" w:eastAsia="zh-CN"/>
              </w:rPr>
              <w:t xml:space="preserve">4-10 </w:t>
            </w:r>
            <w:r>
              <w:rPr>
                <w:rFonts w:hint="eastAsia"/>
                <w:b/>
                <w:color w:val="auto"/>
                <w:sz w:val="21"/>
                <w:szCs w:val="21"/>
                <w:highlight w:val="none"/>
                <w:lang w:eastAsia="zh-CN"/>
              </w:rPr>
              <w:t>出水口水质表（单位：</w:t>
            </w:r>
            <w:r>
              <w:rPr>
                <w:rFonts w:hint="eastAsia"/>
                <w:b/>
                <w:bCs w:val="0"/>
                <w:color w:val="auto"/>
                <w:sz w:val="21"/>
                <w:szCs w:val="21"/>
                <w:highlight w:val="none"/>
                <w:vertAlign w:val="baseline"/>
                <w:lang w:val="en-US" w:eastAsia="zh-CN"/>
              </w:rPr>
              <w:t>mg/L</w:t>
            </w:r>
            <w:r>
              <w:rPr>
                <w:rFonts w:hint="eastAsia"/>
                <w:b/>
                <w:color w:val="auto"/>
                <w:sz w:val="21"/>
                <w:szCs w:val="21"/>
                <w:highlight w:val="none"/>
                <w:lang w:eastAsia="zh-CN"/>
              </w:rPr>
              <w:t>）</w:t>
            </w:r>
          </w:p>
          <w:tbl>
            <w:tblPr>
              <w:tblStyle w:val="23"/>
              <w:tblW w:w="8300" w:type="dxa"/>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108" w:type="dxa"/>
                <w:bottom w:w="0" w:type="dxa"/>
                <w:right w:w="108" w:type="dxa"/>
              </w:tblCellMar>
            </w:tblPr>
            <w:tblGrid>
              <w:gridCol w:w="2442"/>
              <w:gridCol w:w="885"/>
              <w:gridCol w:w="780"/>
              <w:gridCol w:w="765"/>
              <w:gridCol w:w="780"/>
              <w:gridCol w:w="720"/>
              <w:gridCol w:w="800"/>
              <w:gridCol w:w="1128"/>
            </w:tblGrid>
            <w:tr w14:paraId="3D22E667">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718" w:hRule="atLeast"/>
                <w:jc w:val="center"/>
              </w:trPr>
              <w:tc>
                <w:tcPr>
                  <w:tcW w:w="2442" w:type="dxa"/>
                  <w:tcBorders>
                    <w:bottom w:val="single" w:color="auto" w:sz="4" w:space="0"/>
                    <w:right w:val="single" w:color="auto" w:sz="4" w:space="0"/>
                  </w:tcBorders>
                  <w:noWrap w:val="0"/>
                  <w:vAlign w:val="center"/>
                  <mc:AlternateContent>
                    <mc:Choice Requires="wpsCustomData">
                      <wpsCustomData:diagonals>
                        <wpsCustomData:diagonal from="10200" to="30000">
                          <wpsCustomData:border w:val="single" w:color="auto" w:sz="12" w:space="0"/>
                        </wpsCustomData:diagonal>
                      </wpsCustomData:diagonals>
                    </mc:Choice>
                  </mc:AlternateContent>
                </w:tcPr>
                <w:p w14:paraId="05D08D56">
                  <w:pPr>
                    <w:keepNext w:val="0"/>
                    <w:keepLines w:val="0"/>
                    <w:pageBreakBefore w:val="0"/>
                    <w:widowControl w:val="0"/>
                    <w:tabs>
                      <w:tab w:val="left" w:pos="5280"/>
                    </w:tabs>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eastAsia="zh-CN"/>
                    </w:rPr>
                  </w:pPr>
                  <w:r>
                    <w:rPr>
                      <w:rFonts w:hint="eastAsia"/>
                      <w:b w:val="0"/>
                      <w:bCs/>
                      <w:color w:val="auto"/>
                      <w:sz w:val="21"/>
                      <w:szCs w:val="21"/>
                      <w:highlight w:val="none"/>
                      <w:lang w:val="en-US" w:eastAsia="zh-CN"/>
                    </w:rPr>
                    <w:t xml:space="preserve">      </w:t>
                  </w:r>
                </w:p>
                <w:p w14:paraId="255D0B64">
                  <w:pPr>
                    <w:keepNext w:val="0"/>
                    <w:keepLines w:val="0"/>
                    <w:pageBreakBefore w:val="0"/>
                    <w:widowControl w:val="0"/>
                    <w:tabs>
                      <w:tab w:val="left" w:pos="5280"/>
                    </w:tabs>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mc:AlternateContent>
                      <mc:Choice Requires="wpsCustomData">
                        <wpsCustomData:diagonalParaType/>
                      </mc:Choice>
                    </mc:AlternateContent>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浓度</w:t>
                  </w:r>
                </w:p>
                <w:p w14:paraId="74592A45">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val="en-US" w:eastAsia="zh-CN"/>
                    </w:rPr>
                  </w:pPr>
                  <w:r>
                    <w:rPr>
                      <w:rFonts w:hint="eastAsia"/>
                      <w:b w:val="0"/>
                      <w:bCs/>
                      <w:color w:val="auto"/>
                      <w:sz w:val="21"/>
                      <w:szCs w:val="21"/>
                      <w:highlight w:val="none"/>
                      <w:lang w:val="en-US" w:eastAsia="zh-CN"/>
                    </w:rPr>
                    <w:t xml:space="preserve">   </w:t>
                  </w:r>
                  <w:r>
                    <w:rPr>
                      <w:rFonts w:hint="eastAsia"/>
                      <w:b w:val="0"/>
                      <w:bCs/>
                      <w:color w:val="auto"/>
                      <w:sz w:val="21"/>
                      <w:szCs w:val="21"/>
                      <w:highlight w:val="none"/>
                      <w:lang w:eastAsia="zh-CN"/>
                    </w:rPr>
                    <w:t>名称</w:t>
                  </w:r>
                </w:p>
              </w:tc>
              <w:tc>
                <w:tcPr>
                  <w:tcW w:w="885" w:type="dxa"/>
                  <w:tcBorders>
                    <w:left w:val="single" w:color="auto" w:sz="4" w:space="0"/>
                    <w:bottom w:val="single" w:color="auto" w:sz="4" w:space="0"/>
                    <w:right w:val="single" w:color="auto" w:sz="4" w:space="0"/>
                  </w:tcBorders>
                  <w:noWrap w:val="0"/>
                  <w:vAlign w:val="center"/>
                </w:tcPr>
                <w:p w14:paraId="5BF3C880">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COD</w:t>
                  </w:r>
                </w:p>
              </w:tc>
              <w:tc>
                <w:tcPr>
                  <w:tcW w:w="780" w:type="dxa"/>
                  <w:tcBorders>
                    <w:left w:val="single" w:color="auto" w:sz="4" w:space="0"/>
                    <w:bottom w:val="single" w:color="auto" w:sz="4" w:space="0"/>
                    <w:right w:val="single" w:color="auto" w:sz="4" w:space="0"/>
                  </w:tcBorders>
                  <w:noWrap w:val="0"/>
                  <w:vAlign w:val="center"/>
                </w:tcPr>
                <w:p w14:paraId="7D4A4A7F">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BOD</w:t>
                  </w:r>
                  <w:r>
                    <w:rPr>
                      <w:rFonts w:hint="eastAsia"/>
                      <w:b w:val="0"/>
                      <w:bCs/>
                      <w:color w:val="auto"/>
                      <w:sz w:val="21"/>
                      <w:szCs w:val="21"/>
                      <w:highlight w:val="none"/>
                      <w:vertAlign w:val="subscript"/>
                      <w:lang w:val="en-US" w:eastAsia="zh-CN"/>
                    </w:rPr>
                    <w:t>5</w:t>
                  </w:r>
                </w:p>
              </w:tc>
              <w:tc>
                <w:tcPr>
                  <w:tcW w:w="765" w:type="dxa"/>
                  <w:tcBorders>
                    <w:left w:val="single" w:color="auto" w:sz="4" w:space="0"/>
                    <w:bottom w:val="single" w:color="auto" w:sz="4" w:space="0"/>
                    <w:right w:val="single" w:color="auto" w:sz="4" w:space="0"/>
                  </w:tcBorders>
                  <w:noWrap w:val="0"/>
                  <w:vAlign w:val="center"/>
                </w:tcPr>
                <w:p w14:paraId="535D3CBA">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SS</w:t>
                  </w:r>
                </w:p>
              </w:tc>
              <w:tc>
                <w:tcPr>
                  <w:tcW w:w="780" w:type="dxa"/>
                  <w:tcBorders>
                    <w:left w:val="single" w:color="auto" w:sz="4" w:space="0"/>
                    <w:bottom w:val="single" w:color="auto" w:sz="4" w:space="0"/>
                    <w:right w:val="single" w:color="auto" w:sz="4" w:space="0"/>
                  </w:tcBorders>
                  <w:noWrap w:val="0"/>
                  <w:vAlign w:val="center"/>
                </w:tcPr>
                <w:p w14:paraId="1EDE7E47">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石油类</w:t>
                  </w:r>
                </w:p>
              </w:tc>
              <w:tc>
                <w:tcPr>
                  <w:tcW w:w="720" w:type="dxa"/>
                  <w:tcBorders>
                    <w:left w:val="single" w:color="auto" w:sz="4" w:space="0"/>
                    <w:bottom w:val="single" w:color="auto" w:sz="4" w:space="0"/>
                    <w:right w:val="single" w:color="auto" w:sz="4" w:space="0"/>
                  </w:tcBorders>
                  <w:noWrap w:val="0"/>
                  <w:vAlign w:val="center"/>
                </w:tcPr>
                <w:p w14:paraId="5CDCB8E4">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氨氮</w:t>
                  </w:r>
                </w:p>
              </w:tc>
              <w:tc>
                <w:tcPr>
                  <w:tcW w:w="800" w:type="dxa"/>
                  <w:tcBorders>
                    <w:left w:val="single" w:color="auto" w:sz="4" w:space="0"/>
                    <w:bottom w:val="single" w:color="auto" w:sz="4" w:space="0"/>
                    <w:right w:val="single" w:color="auto" w:sz="4" w:space="0"/>
                  </w:tcBorders>
                  <w:noWrap w:val="0"/>
                  <w:vAlign w:val="center"/>
                </w:tcPr>
                <w:p w14:paraId="0EE4EA63">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动植物油</w:t>
                  </w:r>
                </w:p>
              </w:tc>
              <w:tc>
                <w:tcPr>
                  <w:tcW w:w="1128" w:type="dxa"/>
                  <w:tcBorders>
                    <w:left w:val="single" w:color="auto" w:sz="4" w:space="0"/>
                    <w:bottom w:val="single" w:color="auto" w:sz="4" w:space="0"/>
                  </w:tcBorders>
                  <w:noWrap w:val="0"/>
                  <w:vAlign w:val="center"/>
                </w:tcPr>
                <w:p w14:paraId="2FF8EC33">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阴离子表面活性剂</w:t>
                  </w:r>
                </w:p>
              </w:tc>
            </w:tr>
            <w:tr w14:paraId="012DA5BD">
              <w:tblPrEx>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CellMar>
                  <w:top w:w="0" w:type="dxa"/>
                  <w:left w:w="108" w:type="dxa"/>
                  <w:bottom w:w="0" w:type="dxa"/>
                  <w:right w:w="108" w:type="dxa"/>
                </w:tblCellMar>
              </w:tblPrEx>
              <w:trPr>
                <w:trHeight w:val="553" w:hRule="atLeast"/>
                <w:jc w:val="center"/>
              </w:trPr>
              <w:tc>
                <w:tcPr>
                  <w:tcW w:w="2442" w:type="dxa"/>
                  <w:tcBorders>
                    <w:top w:val="single" w:color="auto" w:sz="4" w:space="0"/>
                    <w:right w:val="single" w:color="auto" w:sz="4" w:space="0"/>
                  </w:tcBorders>
                  <w:noWrap w:val="0"/>
                  <w:vAlign w:val="center"/>
                </w:tcPr>
                <w:p w14:paraId="424D2C32">
                  <w:pPr>
                    <w:keepNext w:val="0"/>
                    <w:keepLines w:val="0"/>
                    <w:pageBreakBefore w:val="0"/>
                    <w:widowControl w:val="0"/>
                    <w:tabs>
                      <w:tab w:val="left" w:pos="5280"/>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混合后水质</w:t>
                  </w:r>
                </w:p>
              </w:tc>
              <w:tc>
                <w:tcPr>
                  <w:tcW w:w="885" w:type="dxa"/>
                  <w:tcBorders>
                    <w:top w:val="single" w:color="auto" w:sz="4" w:space="0"/>
                    <w:left w:val="single" w:color="auto" w:sz="4" w:space="0"/>
                    <w:right w:val="single" w:color="auto" w:sz="4" w:space="0"/>
                  </w:tcBorders>
                  <w:noWrap w:val="0"/>
                  <w:vAlign w:val="center"/>
                </w:tcPr>
                <w:p w14:paraId="237FFE6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334</w:t>
                  </w:r>
                </w:p>
              </w:tc>
              <w:tc>
                <w:tcPr>
                  <w:tcW w:w="780" w:type="dxa"/>
                  <w:tcBorders>
                    <w:top w:val="single" w:color="auto" w:sz="4" w:space="0"/>
                    <w:left w:val="single" w:color="auto" w:sz="4" w:space="0"/>
                    <w:right w:val="single" w:color="auto" w:sz="4" w:space="0"/>
                  </w:tcBorders>
                  <w:noWrap w:val="0"/>
                  <w:vAlign w:val="center"/>
                </w:tcPr>
                <w:p w14:paraId="38283ED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148</w:t>
                  </w:r>
                </w:p>
              </w:tc>
              <w:tc>
                <w:tcPr>
                  <w:tcW w:w="765" w:type="dxa"/>
                  <w:tcBorders>
                    <w:top w:val="single" w:color="auto" w:sz="4" w:space="0"/>
                    <w:left w:val="single" w:color="auto" w:sz="4" w:space="0"/>
                    <w:right w:val="single" w:color="auto" w:sz="4" w:space="0"/>
                  </w:tcBorders>
                  <w:noWrap w:val="0"/>
                  <w:vAlign w:val="center"/>
                </w:tcPr>
                <w:p w14:paraId="7D70766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196</w:t>
                  </w:r>
                </w:p>
              </w:tc>
              <w:tc>
                <w:tcPr>
                  <w:tcW w:w="780" w:type="dxa"/>
                  <w:tcBorders>
                    <w:top w:val="single" w:color="auto" w:sz="4" w:space="0"/>
                    <w:left w:val="single" w:color="auto" w:sz="4" w:space="0"/>
                    <w:right w:val="single" w:color="auto" w:sz="4" w:space="0"/>
                  </w:tcBorders>
                  <w:noWrap w:val="0"/>
                  <w:vAlign w:val="center"/>
                </w:tcPr>
                <w:p w14:paraId="7E5945A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0.09</w:t>
                  </w:r>
                </w:p>
              </w:tc>
              <w:tc>
                <w:tcPr>
                  <w:tcW w:w="720" w:type="dxa"/>
                  <w:tcBorders>
                    <w:top w:val="single" w:color="auto" w:sz="4" w:space="0"/>
                    <w:left w:val="single" w:color="auto" w:sz="4" w:space="0"/>
                    <w:right w:val="single" w:color="auto" w:sz="4" w:space="0"/>
                  </w:tcBorders>
                  <w:noWrap w:val="0"/>
                  <w:vAlign w:val="center"/>
                </w:tcPr>
                <w:p w14:paraId="6617312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24.95</w:t>
                  </w:r>
                </w:p>
              </w:tc>
              <w:tc>
                <w:tcPr>
                  <w:tcW w:w="800" w:type="dxa"/>
                  <w:tcBorders>
                    <w:top w:val="single" w:color="auto" w:sz="4" w:space="0"/>
                    <w:left w:val="single" w:color="auto" w:sz="4" w:space="0"/>
                    <w:right w:val="single" w:color="auto" w:sz="4" w:space="0"/>
                  </w:tcBorders>
                  <w:noWrap w:val="0"/>
                  <w:vAlign w:val="center"/>
                </w:tcPr>
                <w:p w14:paraId="7530DA7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11.94</w:t>
                  </w:r>
                </w:p>
              </w:tc>
              <w:tc>
                <w:tcPr>
                  <w:tcW w:w="1128" w:type="dxa"/>
                  <w:tcBorders>
                    <w:top w:val="single" w:color="auto" w:sz="4" w:space="0"/>
                    <w:left w:val="single" w:color="auto" w:sz="4" w:space="0"/>
                  </w:tcBorders>
                  <w:noWrap w:val="0"/>
                  <w:vAlign w:val="center"/>
                </w:tcPr>
                <w:p w14:paraId="060B0A5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0.1</w:t>
                  </w:r>
                </w:p>
              </w:tc>
            </w:tr>
          </w:tbl>
          <w:p w14:paraId="57B95797">
            <w:pPr>
              <w:pStyle w:val="36"/>
              <w:bidi w:val="0"/>
              <w:rPr>
                <w:rFonts w:hint="eastAsia"/>
                <w:highlight w:val="none"/>
                <w:lang w:val="en-US" w:eastAsia="zh-CN"/>
              </w:rPr>
            </w:pPr>
            <w:r>
              <w:rPr>
                <w:rFonts w:hint="eastAsia"/>
                <w:sz w:val="21"/>
                <w:szCs w:val="21"/>
                <w:highlight w:val="none"/>
                <w:lang w:val="en-US" w:eastAsia="zh-CN"/>
              </w:rPr>
              <w:t>表4-11  出水口达标情况表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163"/>
              <w:gridCol w:w="763"/>
              <w:gridCol w:w="804"/>
              <w:gridCol w:w="1071"/>
              <w:gridCol w:w="660"/>
              <w:gridCol w:w="850"/>
              <w:gridCol w:w="850"/>
              <w:gridCol w:w="850"/>
            </w:tblGrid>
            <w:tr w14:paraId="77E24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restart"/>
                  <w:tcBorders>
                    <w:tl2br w:val="nil"/>
                    <w:tr2bl w:val="nil"/>
                  </w:tcBorders>
                  <w:noWrap w:val="0"/>
                  <w:vAlign w:val="center"/>
                </w:tcPr>
                <w:p w14:paraId="710E5F59">
                  <w:pPr>
                    <w:pStyle w:val="31"/>
                    <w:bidi w:val="0"/>
                    <w:rPr>
                      <w:rFonts w:hint="default"/>
                      <w:sz w:val="21"/>
                      <w:szCs w:val="21"/>
                      <w:highlight w:val="none"/>
                      <w:lang w:val="en-US"/>
                    </w:rPr>
                  </w:pPr>
                  <w:r>
                    <w:rPr>
                      <w:sz w:val="21"/>
                      <w:szCs w:val="21"/>
                      <w:highlight w:val="none"/>
                    </w:rPr>
                    <w:t>产</w:t>
                  </w:r>
                  <w:r>
                    <w:rPr>
                      <w:rFonts w:hint="eastAsia"/>
                      <w:sz w:val="21"/>
                      <w:szCs w:val="21"/>
                      <w:highlight w:val="none"/>
                      <w:lang w:val="en-US" w:eastAsia="zh-CN"/>
                    </w:rPr>
                    <w:t>污</w:t>
                  </w:r>
                  <w:r>
                    <w:rPr>
                      <w:sz w:val="21"/>
                      <w:szCs w:val="21"/>
                      <w:highlight w:val="none"/>
                    </w:rPr>
                    <w:t>环节</w:t>
                  </w:r>
                </w:p>
              </w:tc>
              <w:tc>
                <w:tcPr>
                  <w:tcW w:w="1163" w:type="dxa"/>
                  <w:vMerge w:val="restart"/>
                  <w:tcBorders>
                    <w:tl2br w:val="nil"/>
                    <w:tr2bl w:val="nil"/>
                  </w:tcBorders>
                  <w:noWrap w:val="0"/>
                  <w:vAlign w:val="center"/>
                </w:tcPr>
                <w:p w14:paraId="1C500C76">
                  <w:pPr>
                    <w:pStyle w:val="31"/>
                    <w:bidi w:val="0"/>
                    <w:rPr>
                      <w:rFonts w:hint="default"/>
                      <w:sz w:val="21"/>
                      <w:szCs w:val="21"/>
                      <w:highlight w:val="none"/>
                      <w:lang w:val="en-US"/>
                    </w:rPr>
                  </w:pPr>
                  <w:r>
                    <w:rPr>
                      <w:sz w:val="21"/>
                      <w:szCs w:val="21"/>
                      <w:highlight w:val="none"/>
                    </w:rPr>
                    <w:t>污染物</w:t>
                  </w:r>
                </w:p>
              </w:tc>
              <w:tc>
                <w:tcPr>
                  <w:tcW w:w="3298" w:type="dxa"/>
                  <w:gridSpan w:val="4"/>
                  <w:tcBorders>
                    <w:tl2br w:val="nil"/>
                    <w:tr2bl w:val="nil"/>
                  </w:tcBorders>
                  <w:noWrap w:val="0"/>
                  <w:vAlign w:val="center"/>
                </w:tcPr>
                <w:p w14:paraId="42EBCD6D">
                  <w:pPr>
                    <w:pStyle w:val="31"/>
                    <w:bidi w:val="0"/>
                    <w:rPr>
                      <w:rFonts w:hint="default"/>
                      <w:sz w:val="21"/>
                      <w:szCs w:val="21"/>
                      <w:highlight w:val="none"/>
                      <w:lang w:val="en-US"/>
                    </w:rPr>
                  </w:pPr>
                  <w:r>
                    <w:rPr>
                      <w:sz w:val="21"/>
                      <w:szCs w:val="21"/>
                      <w:highlight w:val="none"/>
                    </w:rPr>
                    <w:t>处理后情况</w:t>
                  </w:r>
                </w:p>
              </w:tc>
              <w:tc>
                <w:tcPr>
                  <w:tcW w:w="1700" w:type="dxa"/>
                  <w:gridSpan w:val="2"/>
                  <w:vMerge w:val="restart"/>
                  <w:tcBorders>
                    <w:tl2br w:val="nil"/>
                    <w:tr2bl w:val="nil"/>
                  </w:tcBorders>
                  <w:noWrap w:val="0"/>
                  <w:vAlign w:val="center"/>
                </w:tcPr>
                <w:p w14:paraId="6D59A0B0">
                  <w:pPr>
                    <w:pStyle w:val="31"/>
                    <w:bidi w:val="0"/>
                    <w:rPr>
                      <w:rFonts w:hint="eastAsia" w:eastAsia="宋体"/>
                      <w:sz w:val="21"/>
                      <w:szCs w:val="21"/>
                      <w:highlight w:val="none"/>
                      <w:lang w:eastAsia="zh-CN"/>
                    </w:rPr>
                  </w:pPr>
                  <w:r>
                    <w:rPr>
                      <w:rFonts w:hint="eastAsia"/>
                      <w:sz w:val="21"/>
                      <w:szCs w:val="21"/>
                      <w:highlight w:val="none"/>
                      <w:lang w:eastAsia="zh-CN"/>
                    </w:rPr>
                    <w:t>排放标准</w:t>
                  </w:r>
                </w:p>
              </w:tc>
              <w:tc>
                <w:tcPr>
                  <w:tcW w:w="850" w:type="dxa"/>
                  <w:vMerge w:val="restart"/>
                  <w:tcBorders>
                    <w:tl2br w:val="nil"/>
                    <w:tr2bl w:val="nil"/>
                  </w:tcBorders>
                  <w:noWrap w:val="0"/>
                  <w:vAlign w:val="center"/>
                </w:tcPr>
                <w:p w14:paraId="2CEA1AD6">
                  <w:pPr>
                    <w:pStyle w:val="31"/>
                    <w:bidi w:val="0"/>
                    <w:rPr>
                      <w:rFonts w:hint="eastAsia" w:eastAsia="宋体"/>
                      <w:sz w:val="21"/>
                      <w:szCs w:val="21"/>
                      <w:highlight w:val="none"/>
                      <w:lang w:eastAsia="zh-CN"/>
                    </w:rPr>
                  </w:pPr>
                  <w:r>
                    <w:rPr>
                      <w:rFonts w:hint="eastAsia"/>
                      <w:sz w:val="21"/>
                      <w:szCs w:val="21"/>
                      <w:highlight w:val="none"/>
                      <w:lang w:eastAsia="zh-CN"/>
                    </w:rPr>
                    <w:t>是否达标</w:t>
                  </w:r>
                </w:p>
              </w:tc>
            </w:tr>
            <w:tr w14:paraId="709F6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6D46A3D3">
                  <w:pPr>
                    <w:pStyle w:val="31"/>
                    <w:bidi w:val="0"/>
                    <w:rPr>
                      <w:rFonts w:hint="default"/>
                      <w:sz w:val="21"/>
                      <w:szCs w:val="21"/>
                      <w:highlight w:val="none"/>
                    </w:rPr>
                  </w:pPr>
                </w:p>
              </w:tc>
              <w:tc>
                <w:tcPr>
                  <w:tcW w:w="1163" w:type="dxa"/>
                  <w:vMerge w:val="continue"/>
                  <w:tcBorders>
                    <w:tl2br w:val="nil"/>
                    <w:tr2bl w:val="nil"/>
                  </w:tcBorders>
                  <w:noWrap w:val="0"/>
                  <w:vAlign w:val="center"/>
                </w:tcPr>
                <w:p w14:paraId="2AE0E28D">
                  <w:pPr>
                    <w:pStyle w:val="31"/>
                    <w:bidi w:val="0"/>
                    <w:rPr>
                      <w:rFonts w:hint="default"/>
                      <w:sz w:val="21"/>
                      <w:szCs w:val="21"/>
                      <w:highlight w:val="none"/>
                    </w:rPr>
                  </w:pPr>
                </w:p>
              </w:tc>
              <w:tc>
                <w:tcPr>
                  <w:tcW w:w="1567" w:type="dxa"/>
                  <w:gridSpan w:val="2"/>
                  <w:tcBorders>
                    <w:tl2br w:val="nil"/>
                    <w:tr2bl w:val="nil"/>
                  </w:tcBorders>
                  <w:noWrap w:val="0"/>
                  <w:vAlign w:val="center"/>
                </w:tcPr>
                <w:p w14:paraId="40B856E7">
                  <w:pPr>
                    <w:pStyle w:val="31"/>
                    <w:bidi w:val="0"/>
                    <w:rPr>
                      <w:rFonts w:hint="default"/>
                      <w:sz w:val="21"/>
                      <w:szCs w:val="21"/>
                      <w:highlight w:val="none"/>
                      <w:lang w:val="en-US"/>
                    </w:rPr>
                  </w:pPr>
                  <w:r>
                    <w:rPr>
                      <w:sz w:val="21"/>
                      <w:szCs w:val="21"/>
                      <w:highlight w:val="none"/>
                    </w:rPr>
                    <w:t>处理后浓度</w:t>
                  </w:r>
                </w:p>
              </w:tc>
              <w:tc>
                <w:tcPr>
                  <w:tcW w:w="1731" w:type="dxa"/>
                  <w:gridSpan w:val="2"/>
                  <w:tcBorders>
                    <w:tl2br w:val="nil"/>
                    <w:tr2bl w:val="nil"/>
                  </w:tcBorders>
                  <w:noWrap w:val="0"/>
                  <w:vAlign w:val="center"/>
                </w:tcPr>
                <w:p w14:paraId="3C2600BD">
                  <w:pPr>
                    <w:pStyle w:val="31"/>
                    <w:bidi w:val="0"/>
                    <w:rPr>
                      <w:rFonts w:hint="default"/>
                      <w:sz w:val="21"/>
                      <w:szCs w:val="21"/>
                      <w:highlight w:val="none"/>
                      <w:lang w:val="en-US"/>
                    </w:rPr>
                  </w:pPr>
                  <w:r>
                    <w:rPr>
                      <w:sz w:val="21"/>
                      <w:szCs w:val="21"/>
                      <w:highlight w:val="none"/>
                    </w:rPr>
                    <w:t>处理后量</w:t>
                  </w:r>
                </w:p>
              </w:tc>
              <w:tc>
                <w:tcPr>
                  <w:tcW w:w="1700" w:type="dxa"/>
                  <w:gridSpan w:val="2"/>
                  <w:vMerge w:val="continue"/>
                  <w:tcBorders>
                    <w:tl2br w:val="nil"/>
                    <w:tr2bl w:val="nil"/>
                  </w:tcBorders>
                  <w:noWrap w:val="0"/>
                  <w:vAlign w:val="center"/>
                </w:tcPr>
                <w:p w14:paraId="26E166AA">
                  <w:pPr>
                    <w:pStyle w:val="31"/>
                    <w:bidi w:val="0"/>
                    <w:rPr>
                      <w:sz w:val="21"/>
                      <w:szCs w:val="21"/>
                      <w:highlight w:val="none"/>
                    </w:rPr>
                  </w:pPr>
                </w:p>
              </w:tc>
              <w:tc>
                <w:tcPr>
                  <w:tcW w:w="850" w:type="dxa"/>
                  <w:vMerge w:val="continue"/>
                  <w:tcBorders>
                    <w:tl2br w:val="nil"/>
                    <w:tr2bl w:val="nil"/>
                  </w:tcBorders>
                  <w:noWrap w:val="0"/>
                  <w:vAlign w:val="center"/>
                </w:tcPr>
                <w:p w14:paraId="47552A0F">
                  <w:pPr>
                    <w:pStyle w:val="31"/>
                    <w:bidi w:val="0"/>
                    <w:rPr>
                      <w:sz w:val="21"/>
                      <w:szCs w:val="21"/>
                      <w:highlight w:val="none"/>
                    </w:rPr>
                  </w:pPr>
                </w:p>
              </w:tc>
            </w:tr>
            <w:tr w14:paraId="4D836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restart"/>
                  <w:tcBorders>
                    <w:tl2br w:val="nil"/>
                    <w:tr2bl w:val="nil"/>
                  </w:tcBorders>
                  <w:noWrap w:val="0"/>
                  <w:vAlign w:val="center"/>
                </w:tcPr>
                <w:p w14:paraId="5B670E75">
                  <w:pPr>
                    <w:pStyle w:val="31"/>
                    <w:bidi w:val="0"/>
                    <w:rPr>
                      <w:rFonts w:hint="eastAsia" w:eastAsia="宋体"/>
                      <w:sz w:val="21"/>
                      <w:szCs w:val="21"/>
                      <w:highlight w:val="none"/>
                      <w:lang w:val="en-US" w:eastAsia="zh-CN"/>
                    </w:rPr>
                  </w:pPr>
                  <w:r>
                    <w:rPr>
                      <w:rFonts w:hint="eastAsia" w:ascii="Times New Roman" w:hAnsi="Times New Roman" w:eastAsia="宋体" w:cs="Times New Roman"/>
                      <w:sz w:val="21"/>
                      <w:szCs w:val="21"/>
                      <w:highlight w:val="none"/>
                    </w:rPr>
                    <w:t>洗机定期清理废水</w:t>
                  </w:r>
                  <w:r>
                    <w:rPr>
                      <w:rFonts w:hint="eastAsia" w:cs="Times New Roman"/>
                      <w:sz w:val="21"/>
                      <w:szCs w:val="21"/>
                      <w:highlight w:val="none"/>
                      <w:lang w:eastAsia="zh-CN"/>
                    </w:rPr>
                    <w:t>、</w:t>
                  </w:r>
                  <w:r>
                    <w:rPr>
                      <w:rFonts w:hint="eastAsia"/>
                      <w:sz w:val="21"/>
                      <w:szCs w:val="21"/>
                      <w:highlight w:val="none"/>
                    </w:rPr>
                    <w:t>软化水装置产生的浓盐水、蓄热式电锅炉排污水</w:t>
                  </w:r>
                  <w:r>
                    <w:rPr>
                      <w:rFonts w:hint="eastAsia"/>
                      <w:sz w:val="21"/>
                      <w:szCs w:val="21"/>
                      <w:highlight w:val="none"/>
                      <w:lang w:val="en-US" w:eastAsia="zh-CN"/>
                    </w:rPr>
                    <w:t>、</w:t>
                  </w:r>
                  <w:r>
                    <w:rPr>
                      <w:rFonts w:hint="eastAsia"/>
                      <w:sz w:val="21"/>
                      <w:szCs w:val="21"/>
                      <w:highlight w:val="none"/>
                    </w:rPr>
                    <w:t>生活废水</w:t>
                  </w:r>
                  <w:r>
                    <w:rPr>
                      <w:rFonts w:hint="eastAsia"/>
                      <w:sz w:val="21"/>
                      <w:szCs w:val="21"/>
                      <w:highlight w:val="none"/>
                      <w:lang w:eastAsia="zh-CN"/>
                    </w:rPr>
                    <w:t>处理后混合废水</w:t>
                  </w:r>
                </w:p>
              </w:tc>
              <w:tc>
                <w:tcPr>
                  <w:tcW w:w="1163" w:type="dxa"/>
                  <w:tcBorders>
                    <w:tl2br w:val="nil"/>
                    <w:tr2bl w:val="nil"/>
                  </w:tcBorders>
                  <w:noWrap w:val="0"/>
                  <w:vAlign w:val="center"/>
                </w:tcPr>
                <w:p w14:paraId="71236632">
                  <w:pPr>
                    <w:pStyle w:val="31"/>
                    <w:bidi w:val="0"/>
                    <w:rPr>
                      <w:sz w:val="21"/>
                      <w:szCs w:val="21"/>
                      <w:highlight w:val="none"/>
                      <w:lang w:val="en-US"/>
                    </w:rPr>
                  </w:pPr>
                  <w:r>
                    <w:rPr>
                      <w:rFonts w:hint="eastAsia"/>
                      <w:sz w:val="21"/>
                      <w:szCs w:val="21"/>
                      <w:highlight w:val="none"/>
                      <w:lang w:val="en-US" w:eastAsia="zh-CN"/>
                    </w:rPr>
                    <w:t>水量</w:t>
                  </w:r>
                </w:p>
              </w:tc>
              <w:tc>
                <w:tcPr>
                  <w:tcW w:w="763" w:type="dxa"/>
                  <w:tcBorders>
                    <w:tl2br w:val="nil"/>
                    <w:tr2bl w:val="nil"/>
                  </w:tcBorders>
                  <w:noWrap w:val="0"/>
                  <w:vAlign w:val="center"/>
                </w:tcPr>
                <w:p w14:paraId="1ECC2BE0">
                  <w:pPr>
                    <w:pStyle w:val="31"/>
                    <w:bidi w:val="0"/>
                    <w:rPr>
                      <w:rFonts w:hint="eastAsia" w:eastAsia="宋体"/>
                      <w:sz w:val="21"/>
                      <w:szCs w:val="21"/>
                      <w:highlight w:val="none"/>
                      <w:lang w:val="en-US" w:eastAsia="zh-CN"/>
                    </w:rPr>
                  </w:pPr>
                  <w:r>
                    <w:rPr>
                      <w:rFonts w:hint="eastAsia"/>
                      <w:sz w:val="21"/>
                      <w:szCs w:val="21"/>
                      <w:highlight w:val="none"/>
                      <w:lang w:eastAsia="zh-CN"/>
                    </w:rPr>
                    <w:t>-</w:t>
                  </w:r>
                </w:p>
              </w:tc>
              <w:tc>
                <w:tcPr>
                  <w:tcW w:w="804" w:type="dxa"/>
                  <w:tcBorders>
                    <w:tl2br w:val="nil"/>
                    <w:tr2bl w:val="nil"/>
                  </w:tcBorders>
                  <w:noWrap w:val="0"/>
                  <w:vAlign w:val="center"/>
                </w:tcPr>
                <w:p w14:paraId="48E8989C">
                  <w:pPr>
                    <w:pStyle w:val="31"/>
                    <w:bidi w:val="0"/>
                    <w:rPr>
                      <w:rFonts w:hint="eastAsia" w:eastAsia="宋体"/>
                      <w:sz w:val="21"/>
                      <w:szCs w:val="21"/>
                      <w:highlight w:val="none"/>
                      <w:lang w:val="en-US" w:eastAsia="zh-CN"/>
                    </w:rPr>
                  </w:pPr>
                  <w:r>
                    <w:rPr>
                      <w:rFonts w:hint="eastAsia"/>
                      <w:sz w:val="21"/>
                      <w:szCs w:val="21"/>
                      <w:highlight w:val="none"/>
                      <w:lang w:eastAsia="zh-CN"/>
                    </w:rPr>
                    <w:t>-</w:t>
                  </w:r>
                </w:p>
              </w:tc>
              <w:tc>
                <w:tcPr>
                  <w:tcW w:w="1071" w:type="dxa"/>
                  <w:tcBorders>
                    <w:tl2br w:val="nil"/>
                    <w:tr2bl w:val="nil"/>
                  </w:tcBorders>
                  <w:noWrap w:val="0"/>
                  <w:vAlign w:val="center"/>
                </w:tcPr>
                <w:p w14:paraId="47CF1467">
                  <w:pPr>
                    <w:pStyle w:val="31"/>
                    <w:bidi w:val="0"/>
                    <w:jc w:val="center"/>
                    <w:rPr>
                      <w:rFonts w:hint="default"/>
                      <w:sz w:val="21"/>
                      <w:szCs w:val="21"/>
                      <w:highlight w:val="none"/>
                      <w:lang w:val="en-US" w:eastAsia="zh-CN"/>
                    </w:rPr>
                  </w:pPr>
                  <w:r>
                    <w:rPr>
                      <w:rFonts w:hint="eastAsia"/>
                      <w:sz w:val="21"/>
                      <w:szCs w:val="21"/>
                      <w:highlight w:val="none"/>
                      <w:lang w:val="en-US" w:eastAsia="zh-CN"/>
                    </w:rPr>
                    <w:t>1878.6</w:t>
                  </w:r>
                </w:p>
              </w:tc>
              <w:tc>
                <w:tcPr>
                  <w:tcW w:w="660" w:type="dxa"/>
                  <w:tcBorders>
                    <w:tl2br w:val="nil"/>
                    <w:tr2bl w:val="nil"/>
                  </w:tcBorders>
                  <w:noWrap w:val="0"/>
                  <w:vAlign w:val="center"/>
                </w:tcPr>
                <w:p w14:paraId="7E83C4E2">
                  <w:pPr>
                    <w:pStyle w:val="31"/>
                    <w:bidi w:val="0"/>
                    <w:rPr>
                      <w:rFonts w:hint="default"/>
                      <w:sz w:val="21"/>
                      <w:szCs w:val="21"/>
                      <w:highlight w:val="none"/>
                      <w:lang w:val="en-US"/>
                    </w:rPr>
                  </w:pPr>
                  <w:r>
                    <w:rPr>
                      <w:rFonts w:hint="default"/>
                      <w:sz w:val="21"/>
                      <w:szCs w:val="21"/>
                      <w:highlight w:val="none"/>
                      <w:lang w:val="en-US"/>
                    </w:rPr>
                    <w:t>m</w:t>
                  </w:r>
                  <w:r>
                    <w:rPr>
                      <w:rFonts w:hint="default"/>
                      <w:sz w:val="21"/>
                      <w:szCs w:val="21"/>
                      <w:highlight w:val="none"/>
                      <w:vertAlign w:val="superscript"/>
                      <w:lang w:val="en-US"/>
                    </w:rPr>
                    <w:t>3</w:t>
                  </w:r>
                  <w:r>
                    <w:rPr>
                      <w:rFonts w:hint="default"/>
                      <w:sz w:val="21"/>
                      <w:szCs w:val="21"/>
                      <w:highlight w:val="none"/>
                      <w:lang w:val="en-US"/>
                    </w:rPr>
                    <w:t>/a</w:t>
                  </w:r>
                </w:p>
              </w:tc>
              <w:tc>
                <w:tcPr>
                  <w:tcW w:w="850" w:type="dxa"/>
                  <w:tcBorders>
                    <w:tl2br w:val="nil"/>
                    <w:tr2bl w:val="nil"/>
                  </w:tcBorders>
                  <w:noWrap w:val="0"/>
                  <w:vAlign w:val="center"/>
                </w:tcPr>
                <w:p w14:paraId="39FC0D3B">
                  <w:pPr>
                    <w:pStyle w:val="31"/>
                    <w:bidi w:val="0"/>
                    <w:ind w:firstLine="0" w:firstLineChars="0"/>
                    <w:rPr>
                      <w:rFonts w:hint="eastAsia" w:eastAsia="宋体"/>
                      <w:sz w:val="21"/>
                      <w:szCs w:val="21"/>
                      <w:highlight w:val="none"/>
                      <w:lang w:val="en-US" w:eastAsia="zh-CN"/>
                    </w:rPr>
                  </w:pPr>
                  <w:r>
                    <w:rPr>
                      <w:rFonts w:hint="eastAsia"/>
                      <w:sz w:val="21"/>
                      <w:szCs w:val="21"/>
                      <w:highlight w:val="none"/>
                      <w:lang w:eastAsia="zh-CN"/>
                    </w:rPr>
                    <w:t>-</w:t>
                  </w:r>
                </w:p>
              </w:tc>
              <w:tc>
                <w:tcPr>
                  <w:tcW w:w="850" w:type="dxa"/>
                  <w:tcBorders>
                    <w:tl2br w:val="nil"/>
                    <w:tr2bl w:val="nil"/>
                  </w:tcBorders>
                  <w:noWrap w:val="0"/>
                  <w:vAlign w:val="center"/>
                </w:tcPr>
                <w:p w14:paraId="2B276192">
                  <w:pPr>
                    <w:pStyle w:val="31"/>
                    <w:bidi w:val="0"/>
                    <w:ind w:firstLine="0" w:firstLineChars="0"/>
                    <w:rPr>
                      <w:rFonts w:hint="eastAsia" w:eastAsia="宋体"/>
                      <w:sz w:val="21"/>
                      <w:szCs w:val="21"/>
                      <w:highlight w:val="none"/>
                      <w:lang w:val="en-US" w:eastAsia="zh-CN"/>
                    </w:rPr>
                  </w:pPr>
                  <w:r>
                    <w:rPr>
                      <w:rFonts w:hint="eastAsia"/>
                      <w:sz w:val="21"/>
                      <w:szCs w:val="21"/>
                      <w:highlight w:val="none"/>
                      <w:lang w:eastAsia="zh-CN"/>
                    </w:rPr>
                    <w:t>-</w:t>
                  </w:r>
                </w:p>
              </w:tc>
              <w:tc>
                <w:tcPr>
                  <w:tcW w:w="850" w:type="dxa"/>
                  <w:tcBorders>
                    <w:tl2br w:val="nil"/>
                    <w:tr2bl w:val="nil"/>
                  </w:tcBorders>
                  <w:noWrap w:val="0"/>
                  <w:vAlign w:val="center"/>
                </w:tcPr>
                <w:p w14:paraId="01E485A8">
                  <w:pPr>
                    <w:pStyle w:val="31"/>
                    <w:bidi w:val="0"/>
                    <w:ind w:firstLine="0" w:firstLineChars="0"/>
                    <w:rPr>
                      <w:rFonts w:hint="eastAsia" w:eastAsia="宋体"/>
                      <w:sz w:val="21"/>
                      <w:szCs w:val="21"/>
                      <w:highlight w:val="none"/>
                      <w:lang w:val="en-US" w:eastAsia="zh-CN"/>
                    </w:rPr>
                  </w:pPr>
                  <w:r>
                    <w:rPr>
                      <w:rFonts w:hint="eastAsia"/>
                      <w:sz w:val="21"/>
                      <w:szCs w:val="21"/>
                      <w:highlight w:val="none"/>
                      <w:lang w:eastAsia="zh-CN"/>
                    </w:rPr>
                    <w:t>-</w:t>
                  </w:r>
                </w:p>
              </w:tc>
            </w:tr>
            <w:tr w14:paraId="2F1CD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6B16B786">
                  <w:pPr>
                    <w:pStyle w:val="31"/>
                    <w:bidi w:val="0"/>
                    <w:rPr>
                      <w:rFonts w:hint="default"/>
                      <w:sz w:val="21"/>
                      <w:szCs w:val="21"/>
                      <w:highlight w:val="none"/>
                    </w:rPr>
                  </w:pPr>
                </w:p>
              </w:tc>
              <w:tc>
                <w:tcPr>
                  <w:tcW w:w="1163" w:type="dxa"/>
                  <w:tcBorders>
                    <w:tl2br w:val="nil"/>
                    <w:tr2bl w:val="nil"/>
                  </w:tcBorders>
                  <w:noWrap w:val="0"/>
                  <w:vAlign w:val="center"/>
                </w:tcPr>
                <w:p w14:paraId="564DCE9B">
                  <w:pPr>
                    <w:pStyle w:val="31"/>
                    <w:bidi w:val="0"/>
                    <w:rPr>
                      <w:sz w:val="21"/>
                      <w:szCs w:val="21"/>
                      <w:highlight w:val="none"/>
                      <w:lang w:val="en-US"/>
                    </w:rPr>
                  </w:pPr>
                  <w:r>
                    <w:rPr>
                      <w:rFonts w:hint="default"/>
                      <w:sz w:val="21"/>
                      <w:szCs w:val="21"/>
                      <w:highlight w:val="none"/>
                      <w:lang w:val="en-US" w:eastAsia="zh-CN"/>
                    </w:rPr>
                    <w:t>COD</w:t>
                  </w:r>
                </w:p>
              </w:tc>
              <w:tc>
                <w:tcPr>
                  <w:tcW w:w="763" w:type="dxa"/>
                  <w:tcBorders>
                    <w:tl2br w:val="nil"/>
                    <w:tr2bl w:val="nil"/>
                  </w:tcBorders>
                  <w:noWrap w:val="0"/>
                  <w:vAlign w:val="center"/>
                </w:tcPr>
                <w:p w14:paraId="3EA37F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334</w:t>
                  </w:r>
                </w:p>
              </w:tc>
              <w:tc>
                <w:tcPr>
                  <w:tcW w:w="804" w:type="dxa"/>
                  <w:tcBorders>
                    <w:tl2br w:val="nil"/>
                    <w:tr2bl w:val="nil"/>
                  </w:tcBorders>
                  <w:noWrap w:val="0"/>
                  <w:vAlign w:val="center"/>
                </w:tcPr>
                <w:p w14:paraId="68DBB77B">
                  <w:pPr>
                    <w:pStyle w:val="31"/>
                    <w:bidi w:val="0"/>
                    <w:rPr>
                      <w:rFonts w:hint="default"/>
                      <w:sz w:val="21"/>
                      <w:szCs w:val="21"/>
                      <w:highlight w:val="none"/>
                      <w:lang w:val="en-US"/>
                    </w:rPr>
                  </w:pPr>
                  <w:r>
                    <w:rPr>
                      <w:rFonts w:hint="default"/>
                      <w:sz w:val="21"/>
                      <w:szCs w:val="21"/>
                      <w:highlight w:val="none"/>
                      <w:lang w:val="en-US"/>
                    </w:rPr>
                    <w:t>mg/L</w:t>
                  </w:r>
                </w:p>
              </w:tc>
              <w:tc>
                <w:tcPr>
                  <w:tcW w:w="1071" w:type="dxa"/>
                  <w:tcBorders>
                    <w:tl2br w:val="nil"/>
                    <w:tr2bl w:val="nil"/>
                  </w:tcBorders>
                  <w:noWrap w:val="0"/>
                  <w:vAlign w:val="center"/>
                </w:tcPr>
                <w:p w14:paraId="6E3AEA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0.6275</w:t>
                  </w:r>
                </w:p>
              </w:tc>
              <w:tc>
                <w:tcPr>
                  <w:tcW w:w="660" w:type="dxa"/>
                  <w:tcBorders>
                    <w:tl2br w:val="nil"/>
                    <w:tr2bl w:val="nil"/>
                  </w:tcBorders>
                  <w:noWrap w:val="0"/>
                  <w:vAlign w:val="center"/>
                </w:tcPr>
                <w:p w14:paraId="0B94B9C2">
                  <w:pPr>
                    <w:pStyle w:val="31"/>
                    <w:bidi w:val="0"/>
                    <w:rPr>
                      <w:rFonts w:hint="default"/>
                      <w:sz w:val="21"/>
                      <w:szCs w:val="21"/>
                      <w:highlight w:val="none"/>
                      <w:lang w:val="en-US"/>
                    </w:rPr>
                  </w:pPr>
                  <w:r>
                    <w:rPr>
                      <w:rFonts w:hint="default"/>
                      <w:sz w:val="21"/>
                      <w:szCs w:val="21"/>
                      <w:highlight w:val="none"/>
                      <w:lang w:val="en-US"/>
                    </w:rPr>
                    <w:t>t/a</w:t>
                  </w:r>
                </w:p>
              </w:tc>
              <w:tc>
                <w:tcPr>
                  <w:tcW w:w="850" w:type="dxa"/>
                  <w:tcBorders>
                    <w:tl2br w:val="nil"/>
                    <w:tr2bl w:val="nil"/>
                  </w:tcBorders>
                  <w:noWrap w:val="0"/>
                  <w:vAlign w:val="center"/>
                </w:tcPr>
                <w:p w14:paraId="4DE4CAB5">
                  <w:pPr>
                    <w:pStyle w:val="31"/>
                    <w:bidi w:val="0"/>
                    <w:rPr>
                      <w:rFonts w:hint="default" w:eastAsia="宋体"/>
                      <w:sz w:val="21"/>
                      <w:szCs w:val="21"/>
                      <w:highlight w:val="none"/>
                      <w:lang w:val="en-US" w:eastAsia="zh-CN"/>
                    </w:rPr>
                  </w:pPr>
                  <w:r>
                    <w:rPr>
                      <w:rFonts w:hint="eastAsia"/>
                      <w:sz w:val="21"/>
                      <w:szCs w:val="21"/>
                      <w:highlight w:val="none"/>
                      <w:lang w:val="en-US" w:eastAsia="zh-CN"/>
                    </w:rPr>
                    <w:t>350</w:t>
                  </w:r>
                </w:p>
              </w:tc>
              <w:tc>
                <w:tcPr>
                  <w:tcW w:w="850" w:type="dxa"/>
                  <w:tcBorders>
                    <w:tl2br w:val="nil"/>
                    <w:tr2bl w:val="nil"/>
                  </w:tcBorders>
                  <w:noWrap w:val="0"/>
                  <w:vAlign w:val="center"/>
                </w:tcPr>
                <w:p w14:paraId="15EFDBA1">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rPr>
                    <w:t>mg/L</w:t>
                  </w:r>
                </w:p>
              </w:tc>
              <w:tc>
                <w:tcPr>
                  <w:tcW w:w="850" w:type="dxa"/>
                  <w:tcBorders>
                    <w:tl2br w:val="nil"/>
                    <w:tr2bl w:val="nil"/>
                  </w:tcBorders>
                  <w:noWrap w:val="0"/>
                  <w:vAlign w:val="center"/>
                </w:tcPr>
                <w:p w14:paraId="08A48338">
                  <w:pPr>
                    <w:pStyle w:val="31"/>
                    <w:bidi w:val="0"/>
                    <w:rPr>
                      <w:rFonts w:hint="eastAsia" w:eastAsia="宋体"/>
                      <w:sz w:val="21"/>
                      <w:szCs w:val="21"/>
                      <w:highlight w:val="none"/>
                      <w:lang w:val="en-US" w:eastAsia="zh-CN"/>
                    </w:rPr>
                  </w:pPr>
                  <w:r>
                    <w:rPr>
                      <w:rFonts w:hint="eastAsia"/>
                      <w:sz w:val="21"/>
                      <w:szCs w:val="21"/>
                      <w:highlight w:val="none"/>
                      <w:lang w:val="en-US" w:eastAsia="zh-CN"/>
                    </w:rPr>
                    <w:t>达标</w:t>
                  </w:r>
                </w:p>
              </w:tc>
            </w:tr>
            <w:tr w14:paraId="2C092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21515682">
                  <w:pPr>
                    <w:pStyle w:val="31"/>
                    <w:bidi w:val="0"/>
                    <w:rPr>
                      <w:rFonts w:hint="default"/>
                      <w:sz w:val="21"/>
                      <w:szCs w:val="21"/>
                      <w:highlight w:val="none"/>
                    </w:rPr>
                  </w:pPr>
                </w:p>
              </w:tc>
              <w:tc>
                <w:tcPr>
                  <w:tcW w:w="1163" w:type="dxa"/>
                  <w:tcBorders>
                    <w:tl2br w:val="nil"/>
                    <w:tr2bl w:val="nil"/>
                  </w:tcBorders>
                  <w:noWrap w:val="0"/>
                  <w:vAlign w:val="center"/>
                </w:tcPr>
                <w:p w14:paraId="7805B2B1">
                  <w:pPr>
                    <w:pStyle w:val="31"/>
                    <w:bidi w:val="0"/>
                    <w:rPr>
                      <w:sz w:val="21"/>
                      <w:szCs w:val="21"/>
                      <w:highlight w:val="none"/>
                      <w:lang w:val="en-US"/>
                    </w:rPr>
                  </w:pPr>
                  <w:r>
                    <w:rPr>
                      <w:rFonts w:hint="default"/>
                      <w:sz w:val="21"/>
                      <w:szCs w:val="21"/>
                      <w:highlight w:val="none"/>
                      <w:lang w:val="en-US" w:eastAsia="zh-CN"/>
                    </w:rPr>
                    <w:t>BOD</w:t>
                  </w:r>
                  <w:r>
                    <w:rPr>
                      <w:rFonts w:hint="default"/>
                      <w:sz w:val="21"/>
                      <w:szCs w:val="21"/>
                      <w:highlight w:val="none"/>
                      <w:vertAlign w:val="subscript"/>
                      <w:lang w:val="en-US" w:eastAsia="zh-CN"/>
                    </w:rPr>
                    <w:t>5</w:t>
                  </w:r>
                </w:p>
              </w:tc>
              <w:tc>
                <w:tcPr>
                  <w:tcW w:w="763" w:type="dxa"/>
                  <w:tcBorders>
                    <w:tl2br w:val="nil"/>
                    <w:tr2bl w:val="nil"/>
                  </w:tcBorders>
                  <w:noWrap w:val="0"/>
                  <w:vAlign w:val="center"/>
                </w:tcPr>
                <w:p w14:paraId="326E2D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highlight w:val="none"/>
                      <w:lang w:val="en-US"/>
                    </w:rPr>
                  </w:pPr>
                  <w:r>
                    <w:rPr>
                      <w:rFonts w:hint="eastAsia" w:cs="Times New Roman"/>
                      <w:i w:val="0"/>
                      <w:iCs w:val="0"/>
                      <w:color w:val="000000"/>
                      <w:kern w:val="0"/>
                      <w:sz w:val="21"/>
                      <w:szCs w:val="21"/>
                      <w:highlight w:val="none"/>
                      <w:u w:val="none"/>
                      <w:lang w:val="en-US" w:eastAsia="zh-CN" w:bidi="ar"/>
                    </w:rPr>
                    <w:t>148</w:t>
                  </w:r>
                </w:p>
              </w:tc>
              <w:tc>
                <w:tcPr>
                  <w:tcW w:w="804" w:type="dxa"/>
                  <w:tcBorders>
                    <w:tl2br w:val="nil"/>
                    <w:tr2bl w:val="nil"/>
                  </w:tcBorders>
                  <w:noWrap w:val="0"/>
                  <w:vAlign w:val="center"/>
                </w:tcPr>
                <w:p w14:paraId="186B05D2">
                  <w:pPr>
                    <w:pStyle w:val="31"/>
                    <w:bidi w:val="0"/>
                    <w:rPr>
                      <w:sz w:val="21"/>
                      <w:szCs w:val="21"/>
                      <w:highlight w:val="none"/>
                      <w:lang w:val="en-US"/>
                    </w:rPr>
                  </w:pPr>
                  <w:r>
                    <w:rPr>
                      <w:rFonts w:hint="default"/>
                      <w:sz w:val="21"/>
                      <w:szCs w:val="21"/>
                      <w:highlight w:val="none"/>
                      <w:lang w:val="en-US" w:eastAsia="zh-CN"/>
                    </w:rPr>
                    <w:t>mg/L</w:t>
                  </w:r>
                </w:p>
              </w:tc>
              <w:tc>
                <w:tcPr>
                  <w:tcW w:w="1071" w:type="dxa"/>
                  <w:tcBorders>
                    <w:tl2br w:val="nil"/>
                    <w:tr2bl w:val="nil"/>
                  </w:tcBorders>
                  <w:noWrap w:val="0"/>
                  <w:vAlign w:val="center"/>
                </w:tcPr>
                <w:p w14:paraId="7F9D1D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0.278</w:t>
                  </w:r>
                </w:p>
              </w:tc>
              <w:tc>
                <w:tcPr>
                  <w:tcW w:w="660" w:type="dxa"/>
                  <w:tcBorders>
                    <w:tl2br w:val="nil"/>
                    <w:tr2bl w:val="nil"/>
                  </w:tcBorders>
                  <w:noWrap w:val="0"/>
                  <w:vAlign w:val="center"/>
                </w:tcPr>
                <w:p w14:paraId="2FE10F78">
                  <w:pPr>
                    <w:pStyle w:val="31"/>
                    <w:bidi w:val="0"/>
                    <w:rPr>
                      <w:sz w:val="21"/>
                      <w:szCs w:val="21"/>
                      <w:highlight w:val="none"/>
                      <w:lang w:val="en-US"/>
                    </w:rPr>
                  </w:pPr>
                  <w:r>
                    <w:rPr>
                      <w:rFonts w:hint="default"/>
                      <w:sz w:val="21"/>
                      <w:szCs w:val="21"/>
                      <w:highlight w:val="none"/>
                      <w:lang w:val="en-US" w:eastAsia="zh-CN"/>
                    </w:rPr>
                    <w:t>t/a</w:t>
                  </w:r>
                </w:p>
              </w:tc>
              <w:tc>
                <w:tcPr>
                  <w:tcW w:w="850" w:type="dxa"/>
                  <w:tcBorders>
                    <w:tl2br w:val="nil"/>
                    <w:tr2bl w:val="nil"/>
                  </w:tcBorders>
                  <w:noWrap w:val="0"/>
                  <w:vAlign w:val="center"/>
                </w:tcPr>
                <w:p w14:paraId="7383DE41">
                  <w:pPr>
                    <w:pStyle w:val="31"/>
                    <w:bidi w:val="0"/>
                    <w:rPr>
                      <w:rFonts w:hint="default"/>
                      <w:sz w:val="21"/>
                      <w:szCs w:val="21"/>
                      <w:highlight w:val="none"/>
                      <w:lang w:val="en-US" w:eastAsia="zh-CN"/>
                    </w:rPr>
                  </w:pPr>
                  <w:r>
                    <w:rPr>
                      <w:rFonts w:hint="eastAsia"/>
                      <w:sz w:val="21"/>
                      <w:szCs w:val="21"/>
                      <w:highlight w:val="none"/>
                      <w:lang w:val="en-US" w:eastAsia="zh-CN"/>
                    </w:rPr>
                    <w:t>250</w:t>
                  </w:r>
                </w:p>
              </w:tc>
              <w:tc>
                <w:tcPr>
                  <w:tcW w:w="850" w:type="dxa"/>
                  <w:tcBorders>
                    <w:tl2br w:val="nil"/>
                    <w:tr2bl w:val="nil"/>
                  </w:tcBorders>
                  <w:noWrap w:val="0"/>
                  <w:vAlign w:val="center"/>
                </w:tcPr>
                <w:p w14:paraId="5D3B412C">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850" w:type="dxa"/>
                  <w:tcBorders>
                    <w:tl2br w:val="nil"/>
                    <w:tr2bl w:val="nil"/>
                  </w:tcBorders>
                  <w:noWrap w:val="0"/>
                  <w:vAlign w:val="center"/>
                </w:tcPr>
                <w:p w14:paraId="3723F3B8">
                  <w:pPr>
                    <w:pStyle w:val="31"/>
                    <w:bidi w:val="0"/>
                    <w:rPr>
                      <w:rFonts w:hint="default"/>
                      <w:sz w:val="21"/>
                      <w:szCs w:val="21"/>
                      <w:highlight w:val="none"/>
                      <w:lang w:val="en-US" w:eastAsia="zh-CN"/>
                    </w:rPr>
                  </w:pPr>
                  <w:r>
                    <w:rPr>
                      <w:rFonts w:hint="eastAsia"/>
                      <w:sz w:val="21"/>
                      <w:szCs w:val="21"/>
                      <w:highlight w:val="none"/>
                      <w:lang w:val="en-US" w:eastAsia="zh-CN"/>
                    </w:rPr>
                    <w:t>达标</w:t>
                  </w:r>
                </w:p>
              </w:tc>
            </w:tr>
            <w:tr w14:paraId="52681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0821CA7B">
                  <w:pPr>
                    <w:pStyle w:val="31"/>
                    <w:bidi w:val="0"/>
                    <w:rPr>
                      <w:rFonts w:hint="default"/>
                      <w:sz w:val="21"/>
                      <w:szCs w:val="21"/>
                      <w:highlight w:val="none"/>
                    </w:rPr>
                  </w:pPr>
                </w:p>
              </w:tc>
              <w:tc>
                <w:tcPr>
                  <w:tcW w:w="1163" w:type="dxa"/>
                  <w:tcBorders>
                    <w:tl2br w:val="nil"/>
                    <w:tr2bl w:val="nil"/>
                  </w:tcBorders>
                  <w:noWrap w:val="0"/>
                  <w:vAlign w:val="center"/>
                </w:tcPr>
                <w:p w14:paraId="7181C709">
                  <w:pPr>
                    <w:pStyle w:val="31"/>
                    <w:bidi w:val="0"/>
                    <w:rPr>
                      <w:sz w:val="21"/>
                      <w:szCs w:val="21"/>
                      <w:highlight w:val="none"/>
                      <w:lang w:val="en-US"/>
                    </w:rPr>
                  </w:pPr>
                  <w:r>
                    <w:rPr>
                      <w:rFonts w:hint="default"/>
                      <w:sz w:val="21"/>
                      <w:szCs w:val="21"/>
                      <w:highlight w:val="none"/>
                      <w:lang w:val="en-US" w:eastAsia="zh-CN"/>
                    </w:rPr>
                    <w:t>SS</w:t>
                  </w:r>
                </w:p>
              </w:tc>
              <w:tc>
                <w:tcPr>
                  <w:tcW w:w="763" w:type="dxa"/>
                  <w:tcBorders>
                    <w:tl2br w:val="nil"/>
                    <w:tr2bl w:val="nil"/>
                  </w:tcBorders>
                  <w:noWrap w:val="0"/>
                  <w:vAlign w:val="center"/>
                </w:tcPr>
                <w:p w14:paraId="028C2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highlight w:val="none"/>
                      <w:lang w:val="en-US"/>
                    </w:rPr>
                  </w:pPr>
                  <w:r>
                    <w:rPr>
                      <w:rFonts w:hint="eastAsia" w:cs="Times New Roman"/>
                      <w:i w:val="0"/>
                      <w:iCs w:val="0"/>
                      <w:color w:val="000000"/>
                      <w:kern w:val="0"/>
                      <w:sz w:val="21"/>
                      <w:szCs w:val="21"/>
                      <w:highlight w:val="none"/>
                      <w:u w:val="none"/>
                      <w:lang w:val="en-US" w:eastAsia="zh-CN" w:bidi="ar"/>
                    </w:rPr>
                    <w:t>196</w:t>
                  </w:r>
                </w:p>
              </w:tc>
              <w:tc>
                <w:tcPr>
                  <w:tcW w:w="804" w:type="dxa"/>
                  <w:tcBorders>
                    <w:tl2br w:val="nil"/>
                    <w:tr2bl w:val="nil"/>
                  </w:tcBorders>
                  <w:noWrap w:val="0"/>
                  <w:vAlign w:val="center"/>
                </w:tcPr>
                <w:p w14:paraId="3E1DBE6B">
                  <w:pPr>
                    <w:pStyle w:val="31"/>
                    <w:bidi w:val="0"/>
                    <w:rPr>
                      <w:sz w:val="21"/>
                      <w:szCs w:val="21"/>
                      <w:highlight w:val="none"/>
                      <w:lang w:val="en-US"/>
                    </w:rPr>
                  </w:pPr>
                  <w:r>
                    <w:rPr>
                      <w:rFonts w:hint="default"/>
                      <w:sz w:val="21"/>
                      <w:szCs w:val="21"/>
                      <w:highlight w:val="none"/>
                      <w:lang w:val="en-US" w:eastAsia="zh-CN"/>
                    </w:rPr>
                    <w:t>mg/L</w:t>
                  </w:r>
                </w:p>
              </w:tc>
              <w:tc>
                <w:tcPr>
                  <w:tcW w:w="1071" w:type="dxa"/>
                  <w:tcBorders>
                    <w:tl2br w:val="nil"/>
                    <w:tr2bl w:val="nil"/>
                  </w:tcBorders>
                  <w:noWrap w:val="0"/>
                  <w:vAlign w:val="center"/>
                </w:tcPr>
                <w:p w14:paraId="095D99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0.3682</w:t>
                  </w:r>
                </w:p>
              </w:tc>
              <w:tc>
                <w:tcPr>
                  <w:tcW w:w="660" w:type="dxa"/>
                  <w:tcBorders>
                    <w:tl2br w:val="nil"/>
                    <w:tr2bl w:val="nil"/>
                  </w:tcBorders>
                  <w:noWrap w:val="0"/>
                  <w:vAlign w:val="center"/>
                </w:tcPr>
                <w:p w14:paraId="1CDE059A">
                  <w:pPr>
                    <w:pStyle w:val="31"/>
                    <w:bidi w:val="0"/>
                    <w:rPr>
                      <w:sz w:val="21"/>
                      <w:szCs w:val="21"/>
                      <w:highlight w:val="none"/>
                      <w:lang w:val="en-US"/>
                    </w:rPr>
                  </w:pPr>
                  <w:r>
                    <w:rPr>
                      <w:rFonts w:hint="default"/>
                      <w:sz w:val="21"/>
                      <w:szCs w:val="21"/>
                      <w:highlight w:val="none"/>
                      <w:lang w:val="en-US" w:eastAsia="zh-CN"/>
                    </w:rPr>
                    <w:t>t/a</w:t>
                  </w:r>
                </w:p>
              </w:tc>
              <w:tc>
                <w:tcPr>
                  <w:tcW w:w="850" w:type="dxa"/>
                  <w:tcBorders>
                    <w:tl2br w:val="nil"/>
                    <w:tr2bl w:val="nil"/>
                  </w:tcBorders>
                  <w:noWrap w:val="0"/>
                  <w:vAlign w:val="center"/>
                </w:tcPr>
                <w:p w14:paraId="39F35879">
                  <w:pPr>
                    <w:pStyle w:val="31"/>
                    <w:bidi w:val="0"/>
                    <w:rPr>
                      <w:rFonts w:hint="default"/>
                      <w:sz w:val="21"/>
                      <w:szCs w:val="21"/>
                      <w:highlight w:val="none"/>
                      <w:lang w:val="en-US" w:eastAsia="zh-CN"/>
                    </w:rPr>
                  </w:pPr>
                  <w:r>
                    <w:rPr>
                      <w:rFonts w:hint="eastAsia"/>
                      <w:sz w:val="21"/>
                      <w:szCs w:val="21"/>
                      <w:highlight w:val="none"/>
                      <w:lang w:val="en-US" w:eastAsia="zh-CN"/>
                    </w:rPr>
                    <w:t>200</w:t>
                  </w:r>
                </w:p>
              </w:tc>
              <w:tc>
                <w:tcPr>
                  <w:tcW w:w="850" w:type="dxa"/>
                  <w:tcBorders>
                    <w:tl2br w:val="nil"/>
                    <w:tr2bl w:val="nil"/>
                  </w:tcBorders>
                  <w:noWrap w:val="0"/>
                  <w:vAlign w:val="center"/>
                </w:tcPr>
                <w:p w14:paraId="5DD7F667">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850" w:type="dxa"/>
                  <w:tcBorders>
                    <w:tl2br w:val="nil"/>
                    <w:tr2bl w:val="nil"/>
                  </w:tcBorders>
                  <w:noWrap w:val="0"/>
                  <w:vAlign w:val="center"/>
                </w:tcPr>
                <w:p w14:paraId="4CC9CF56">
                  <w:pPr>
                    <w:pStyle w:val="31"/>
                    <w:bidi w:val="0"/>
                    <w:rPr>
                      <w:rFonts w:hint="default"/>
                      <w:sz w:val="21"/>
                      <w:szCs w:val="21"/>
                      <w:highlight w:val="none"/>
                      <w:lang w:val="en-US" w:eastAsia="zh-CN"/>
                    </w:rPr>
                  </w:pPr>
                  <w:r>
                    <w:rPr>
                      <w:rFonts w:hint="eastAsia"/>
                      <w:sz w:val="21"/>
                      <w:szCs w:val="21"/>
                      <w:highlight w:val="none"/>
                      <w:lang w:val="en-US" w:eastAsia="zh-CN"/>
                    </w:rPr>
                    <w:t>达标</w:t>
                  </w:r>
                </w:p>
              </w:tc>
            </w:tr>
            <w:tr w14:paraId="48788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0F3029C5">
                  <w:pPr>
                    <w:pStyle w:val="31"/>
                    <w:bidi w:val="0"/>
                    <w:rPr>
                      <w:rFonts w:hint="default"/>
                      <w:sz w:val="21"/>
                      <w:szCs w:val="21"/>
                      <w:highlight w:val="none"/>
                    </w:rPr>
                  </w:pPr>
                </w:p>
              </w:tc>
              <w:tc>
                <w:tcPr>
                  <w:tcW w:w="1163" w:type="dxa"/>
                  <w:tcBorders>
                    <w:tl2br w:val="nil"/>
                    <w:tr2bl w:val="nil"/>
                  </w:tcBorders>
                  <w:noWrap w:val="0"/>
                  <w:vAlign w:val="center"/>
                </w:tcPr>
                <w:p w14:paraId="077AA8B3">
                  <w:pPr>
                    <w:pStyle w:val="31"/>
                    <w:bidi w:val="0"/>
                    <w:rPr>
                      <w:sz w:val="21"/>
                      <w:szCs w:val="21"/>
                      <w:highlight w:val="none"/>
                      <w:lang w:val="en-US"/>
                    </w:rPr>
                  </w:pPr>
                  <w:r>
                    <w:rPr>
                      <w:rFonts w:hint="eastAsia"/>
                      <w:sz w:val="21"/>
                      <w:szCs w:val="21"/>
                      <w:highlight w:val="none"/>
                      <w:lang w:val="en-US" w:eastAsia="zh-CN"/>
                    </w:rPr>
                    <w:t>氨氮</w:t>
                  </w:r>
                </w:p>
              </w:tc>
              <w:tc>
                <w:tcPr>
                  <w:tcW w:w="763" w:type="dxa"/>
                  <w:tcBorders>
                    <w:tl2br w:val="nil"/>
                    <w:tr2bl w:val="nil"/>
                  </w:tcBorders>
                  <w:noWrap w:val="0"/>
                  <w:vAlign w:val="center"/>
                </w:tcPr>
                <w:p w14:paraId="26D96F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24.95</w:t>
                  </w:r>
                </w:p>
              </w:tc>
              <w:tc>
                <w:tcPr>
                  <w:tcW w:w="804" w:type="dxa"/>
                  <w:tcBorders>
                    <w:tl2br w:val="nil"/>
                    <w:tr2bl w:val="nil"/>
                  </w:tcBorders>
                  <w:noWrap w:val="0"/>
                  <w:vAlign w:val="center"/>
                </w:tcPr>
                <w:p w14:paraId="16A074E8">
                  <w:pPr>
                    <w:pStyle w:val="31"/>
                    <w:bidi w:val="0"/>
                    <w:rPr>
                      <w:sz w:val="21"/>
                      <w:szCs w:val="21"/>
                      <w:highlight w:val="none"/>
                      <w:lang w:val="en-US"/>
                    </w:rPr>
                  </w:pPr>
                  <w:r>
                    <w:rPr>
                      <w:rFonts w:hint="default"/>
                      <w:sz w:val="21"/>
                      <w:szCs w:val="21"/>
                      <w:highlight w:val="none"/>
                      <w:lang w:val="en-US" w:eastAsia="zh-CN"/>
                    </w:rPr>
                    <w:t>mg/L</w:t>
                  </w:r>
                </w:p>
              </w:tc>
              <w:tc>
                <w:tcPr>
                  <w:tcW w:w="1071" w:type="dxa"/>
                  <w:tcBorders>
                    <w:tl2br w:val="nil"/>
                    <w:tr2bl w:val="nil"/>
                  </w:tcBorders>
                  <w:noWrap w:val="0"/>
                  <w:vAlign w:val="center"/>
                </w:tcPr>
                <w:p w14:paraId="663EA1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0.0469</w:t>
                  </w:r>
                </w:p>
              </w:tc>
              <w:tc>
                <w:tcPr>
                  <w:tcW w:w="660" w:type="dxa"/>
                  <w:tcBorders>
                    <w:tl2br w:val="nil"/>
                    <w:tr2bl w:val="nil"/>
                  </w:tcBorders>
                  <w:noWrap w:val="0"/>
                  <w:vAlign w:val="center"/>
                </w:tcPr>
                <w:p w14:paraId="20968D88">
                  <w:pPr>
                    <w:pStyle w:val="31"/>
                    <w:bidi w:val="0"/>
                    <w:rPr>
                      <w:sz w:val="21"/>
                      <w:szCs w:val="21"/>
                      <w:highlight w:val="none"/>
                      <w:lang w:val="en-US"/>
                    </w:rPr>
                  </w:pPr>
                  <w:r>
                    <w:rPr>
                      <w:rFonts w:hint="default"/>
                      <w:sz w:val="21"/>
                      <w:szCs w:val="21"/>
                      <w:highlight w:val="none"/>
                      <w:lang w:val="en-US" w:eastAsia="zh-CN"/>
                    </w:rPr>
                    <w:t>t/a</w:t>
                  </w:r>
                </w:p>
              </w:tc>
              <w:tc>
                <w:tcPr>
                  <w:tcW w:w="850" w:type="dxa"/>
                  <w:tcBorders>
                    <w:tl2br w:val="nil"/>
                    <w:tr2bl w:val="nil"/>
                  </w:tcBorders>
                  <w:noWrap w:val="0"/>
                  <w:vAlign w:val="center"/>
                </w:tcPr>
                <w:p w14:paraId="38F7515E">
                  <w:pPr>
                    <w:pStyle w:val="31"/>
                    <w:bidi w:val="0"/>
                    <w:rPr>
                      <w:rFonts w:hint="default"/>
                      <w:sz w:val="21"/>
                      <w:szCs w:val="21"/>
                      <w:highlight w:val="none"/>
                      <w:lang w:val="en-US" w:eastAsia="zh-CN"/>
                    </w:rPr>
                  </w:pPr>
                  <w:r>
                    <w:rPr>
                      <w:rFonts w:hint="eastAsia"/>
                      <w:sz w:val="21"/>
                      <w:szCs w:val="21"/>
                      <w:highlight w:val="none"/>
                      <w:lang w:val="en-US" w:eastAsia="zh-CN"/>
                    </w:rPr>
                    <w:t>100</w:t>
                  </w:r>
                </w:p>
              </w:tc>
              <w:tc>
                <w:tcPr>
                  <w:tcW w:w="850" w:type="dxa"/>
                  <w:tcBorders>
                    <w:tl2br w:val="nil"/>
                    <w:tr2bl w:val="nil"/>
                  </w:tcBorders>
                  <w:noWrap w:val="0"/>
                  <w:vAlign w:val="center"/>
                </w:tcPr>
                <w:p w14:paraId="32410008">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850" w:type="dxa"/>
                  <w:tcBorders>
                    <w:tl2br w:val="nil"/>
                    <w:tr2bl w:val="nil"/>
                  </w:tcBorders>
                  <w:noWrap w:val="0"/>
                  <w:vAlign w:val="center"/>
                </w:tcPr>
                <w:p w14:paraId="7F2F4617">
                  <w:pPr>
                    <w:pStyle w:val="31"/>
                    <w:bidi w:val="0"/>
                    <w:rPr>
                      <w:rFonts w:hint="default"/>
                      <w:sz w:val="21"/>
                      <w:szCs w:val="21"/>
                      <w:highlight w:val="none"/>
                      <w:lang w:val="en-US" w:eastAsia="zh-CN"/>
                    </w:rPr>
                  </w:pPr>
                  <w:r>
                    <w:rPr>
                      <w:rFonts w:hint="eastAsia"/>
                      <w:sz w:val="21"/>
                      <w:szCs w:val="21"/>
                      <w:highlight w:val="none"/>
                      <w:lang w:val="en-US" w:eastAsia="zh-CN"/>
                    </w:rPr>
                    <w:t>达标</w:t>
                  </w:r>
                </w:p>
              </w:tc>
            </w:tr>
            <w:tr w14:paraId="39477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2EB6D655">
                  <w:pPr>
                    <w:pStyle w:val="31"/>
                    <w:bidi w:val="0"/>
                    <w:rPr>
                      <w:rFonts w:hint="default"/>
                      <w:sz w:val="21"/>
                      <w:szCs w:val="21"/>
                      <w:highlight w:val="none"/>
                    </w:rPr>
                  </w:pPr>
                </w:p>
              </w:tc>
              <w:tc>
                <w:tcPr>
                  <w:tcW w:w="1163" w:type="dxa"/>
                  <w:tcBorders>
                    <w:tl2br w:val="nil"/>
                    <w:tr2bl w:val="nil"/>
                  </w:tcBorders>
                  <w:noWrap w:val="0"/>
                  <w:vAlign w:val="center"/>
                </w:tcPr>
                <w:p w14:paraId="191CEB3E">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石油类</w:t>
                  </w:r>
                </w:p>
              </w:tc>
              <w:tc>
                <w:tcPr>
                  <w:tcW w:w="763" w:type="dxa"/>
                  <w:tcBorders>
                    <w:tl2br w:val="nil"/>
                    <w:tr2bl w:val="nil"/>
                  </w:tcBorders>
                  <w:noWrap w:val="0"/>
                  <w:vAlign w:val="center"/>
                </w:tcPr>
                <w:p w14:paraId="04C17D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0.09</w:t>
                  </w:r>
                </w:p>
              </w:tc>
              <w:tc>
                <w:tcPr>
                  <w:tcW w:w="804" w:type="dxa"/>
                  <w:tcBorders>
                    <w:tl2br w:val="nil"/>
                    <w:tr2bl w:val="nil"/>
                  </w:tcBorders>
                  <w:noWrap w:val="0"/>
                  <w:vAlign w:val="center"/>
                </w:tcPr>
                <w:p w14:paraId="4E7CBD43">
                  <w:pPr>
                    <w:pStyle w:val="31"/>
                    <w:bidi w:val="0"/>
                    <w:ind w:firstLine="0" w:firstLineChars="0"/>
                    <w:rPr>
                      <w:rFonts w:hint="eastAsia"/>
                      <w:sz w:val="21"/>
                      <w:szCs w:val="21"/>
                      <w:highlight w:val="none"/>
                      <w:lang w:val="en-US" w:eastAsia="zh-CN"/>
                    </w:rPr>
                  </w:pPr>
                  <w:r>
                    <w:rPr>
                      <w:rFonts w:hint="default"/>
                      <w:sz w:val="21"/>
                      <w:szCs w:val="21"/>
                      <w:highlight w:val="none"/>
                      <w:lang w:val="en-US" w:eastAsia="zh-CN"/>
                    </w:rPr>
                    <w:t>mg/L</w:t>
                  </w:r>
                </w:p>
              </w:tc>
              <w:tc>
                <w:tcPr>
                  <w:tcW w:w="1071" w:type="dxa"/>
                  <w:tcBorders>
                    <w:tl2br w:val="nil"/>
                    <w:tr2bl w:val="nil"/>
                  </w:tcBorders>
                  <w:noWrap w:val="0"/>
                  <w:vAlign w:val="center"/>
                </w:tcPr>
                <w:p w14:paraId="06BBF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0.0002</w:t>
                  </w:r>
                </w:p>
              </w:tc>
              <w:tc>
                <w:tcPr>
                  <w:tcW w:w="660" w:type="dxa"/>
                  <w:tcBorders>
                    <w:tl2br w:val="nil"/>
                    <w:tr2bl w:val="nil"/>
                  </w:tcBorders>
                  <w:noWrap w:val="0"/>
                  <w:vAlign w:val="center"/>
                </w:tcPr>
                <w:p w14:paraId="03754252">
                  <w:pPr>
                    <w:pStyle w:val="31"/>
                    <w:bidi w:val="0"/>
                    <w:ind w:firstLine="0" w:firstLineChars="0"/>
                    <w:rPr>
                      <w:sz w:val="21"/>
                      <w:szCs w:val="21"/>
                      <w:highlight w:val="none"/>
                    </w:rPr>
                  </w:pPr>
                  <w:r>
                    <w:rPr>
                      <w:rFonts w:hint="default"/>
                      <w:sz w:val="21"/>
                      <w:szCs w:val="21"/>
                      <w:highlight w:val="none"/>
                      <w:lang w:val="en-US" w:eastAsia="zh-CN"/>
                    </w:rPr>
                    <w:t>t/a</w:t>
                  </w:r>
                </w:p>
              </w:tc>
              <w:tc>
                <w:tcPr>
                  <w:tcW w:w="850" w:type="dxa"/>
                  <w:tcBorders>
                    <w:tl2br w:val="nil"/>
                    <w:tr2bl w:val="nil"/>
                  </w:tcBorders>
                  <w:noWrap w:val="0"/>
                  <w:vAlign w:val="center"/>
                </w:tcPr>
                <w:p w14:paraId="5B92A2A0">
                  <w:pPr>
                    <w:pStyle w:val="31"/>
                    <w:bidi w:val="0"/>
                    <w:ind w:firstLine="0" w:firstLineChars="0"/>
                    <w:rPr>
                      <w:rFonts w:hint="default"/>
                      <w:sz w:val="21"/>
                      <w:szCs w:val="21"/>
                      <w:highlight w:val="none"/>
                      <w:lang w:val="en-US" w:eastAsia="zh-CN"/>
                    </w:rPr>
                  </w:pPr>
                  <w:r>
                    <w:rPr>
                      <w:rFonts w:hint="eastAsia"/>
                      <w:sz w:val="21"/>
                      <w:szCs w:val="21"/>
                      <w:highlight w:val="none"/>
                      <w:lang w:val="en-US" w:eastAsia="zh-CN"/>
                    </w:rPr>
                    <w:t>30</w:t>
                  </w:r>
                </w:p>
              </w:tc>
              <w:tc>
                <w:tcPr>
                  <w:tcW w:w="850" w:type="dxa"/>
                  <w:tcBorders>
                    <w:tl2br w:val="nil"/>
                    <w:tr2bl w:val="nil"/>
                  </w:tcBorders>
                  <w:noWrap w:val="0"/>
                  <w:vAlign w:val="center"/>
                </w:tcPr>
                <w:p w14:paraId="3F17FEAA">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850" w:type="dxa"/>
                  <w:tcBorders>
                    <w:tl2br w:val="nil"/>
                    <w:tr2bl w:val="nil"/>
                  </w:tcBorders>
                  <w:noWrap w:val="0"/>
                  <w:vAlign w:val="center"/>
                </w:tcPr>
                <w:p w14:paraId="3596407F">
                  <w:pPr>
                    <w:pStyle w:val="31"/>
                    <w:bidi w:val="0"/>
                    <w:ind w:firstLine="0" w:firstLineChars="0"/>
                    <w:rPr>
                      <w:rFonts w:hint="default"/>
                      <w:sz w:val="21"/>
                      <w:szCs w:val="21"/>
                      <w:highlight w:val="none"/>
                      <w:lang w:val="en-US" w:eastAsia="zh-CN"/>
                    </w:rPr>
                  </w:pPr>
                  <w:r>
                    <w:rPr>
                      <w:rFonts w:hint="eastAsia"/>
                      <w:sz w:val="21"/>
                      <w:szCs w:val="21"/>
                      <w:highlight w:val="none"/>
                      <w:lang w:val="en-US" w:eastAsia="zh-CN"/>
                    </w:rPr>
                    <w:t>达标</w:t>
                  </w:r>
                </w:p>
              </w:tc>
            </w:tr>
            <w:tr w14:paraId="42D8F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6D19ACD4">
                  <w:pPr>
                    <w:pStyle w:val="31"/>
                    <w:bidi w:val="0"/>
                    <w:rPr>
                      <w:rFonts w:hint="default"/>
                      <w:sz w:val="21"/>
                      <w:szCs w:val="21"/>
                      <w:highlight w:val="none"/>
                    </w:rPr>
                  </w:pPr>
                </w:p>
              </w:tc>
              <w:tc>
                <w:tcPr>
                  <w:tcW w:w="1163" w:type="dxa"/>
                  <w:tcBorders>
                    <w:tl2br w:val="nil"/>
                    <w:tr2bl w:val="nil"/>
                  </w:tcBorders>
                  <w:noWrap w:val="0"/>
                  <w:vAlign w:val="center"/>
                </w:tcPr>
                <w:p w14:paraId="6D4048AF">
                  <w:pPr>
                    <w:pStyle w:val="31"/>
                    <w:bidi w:val="0"/>
                    <w:ind w:firstLine="0" w:firstLineChars="0"/>
                    <w:rPr>
                      <w:rFonts w:hint="default" w:cs="Times New Roman"/>
                      <w:kern w:val="2"/>
                      <w:sz w:val="21"/>
                      <w:szCs w:val="21"/>
                      <w:highlight w:val="none"/>
                      <w:lang w:val="en-US" w:eastAsia="zh-CN" w:bidi="ar-SA"/>
                    </w:rPr>
                  </w:pPr>
                  <w:r>
                    <w:rPr>
                      <w:rFonts w:hint="eastAsia" w:cs="Times New Roman"/>
                      <w:kern w:val="2"/>
                      <w:sz w:val="21"/>
                      <w:szCs w:val="21"/>
                      <w:highlight w:val="none"/>
                      <w:lang w:val="en-US" w:eastAsia="zh-CN" w:bidi="ar-SA"/>
                    </w:rPr>
                    <w:t>动植物油</w:t>
                  </w:r>
                </w:p>
              </w:tc>
              <w:tc>
                <w:tcPr>
                  <w:tcW w:w="763" w:type="dxa"/>
                  <w:tcBorders>
                    <w:tl2br w:val="nil"/>
                    <w:tr2bl w:val="nil"/>
                  </w:tcBorders>
                  <w:noWrap w:val="0"/>
                  <w:vAlign w:val="center"/>
                </w:tcPr>
                <w:p w14:paraId="2C3EF9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11.94</w:t>
                  </w:r>
                </w:p>
              </w:tc>
              <w:tc>
                <w:tcPr>
                  <w:tcW w:w="804" w:type="dxa"/>
                  <w:tcBorders>
                    <w:tl2br w:val="nil"/>
                    <w:tr2bl w:val="nil"/>
                  </w:tcBorders>
                  <w:noWrap w:val="0"/>
                  <w:vAlign w:val="center"/>
                </w:tcPr>
                <w:p w14:paraId="2A602717">
                  <w:pPr>
                    <w:pStyle w:val="31"/>
                    <w:bidi w:val="0"/>
                    <w:ind w:firstLine="0" w:firstLineChars="0"/>
                    <w:rPr>
                      <w:rFonts w:hint="eastAsia"/>
                      <w:sz w:val="21"/>
                      <w:szCs w:val="21"/>
                      <w:highlight w:val="none"/>
                      <w:lang w:val="en-US" w:eastAsia="zh-CN"/>
                    </w:rPr>
                  </w:pPr>
                  <w:r>
                    <w:rPr>
                      <w:rFonts w:hint="default"/>
                      <w:sz w:val="21"/>
                      <w:szCs w:val="21"/>
                      <w:highlight w:val="none"/>
                      <w:lang w:val="en-US" w:eastAsia="zh-CN"/>
                    </w:rPr>
                    <w:t>mg/L</w:t>
                  </w:r>
                </w:p>
              </w:tc>
              <w:tc>
                <w:tcPr>
                  <w:tcW w:w="1071" w:type="dxa"/>
                  <w:tcBorders>
                    <w:tl2br w:val="nil"/>
                    <w:tr2bl w:val="nil"/>
                  </w:tcBorders>
                  <w:noWrap w:val="0"/>
                  <w:vAlign w:val="center"/>
                </w:tcPr>
                <w:p w14:paraId="08A5DE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sz w:val="21"/>
                      <w:szCs w:val="21"/>
                      <w:highlight w:val="none"/>
                      <w:lang w:val="en-US" w:eastAsia="zh-CN"/>
                    </w:rPr>
                  </w:pPr>
                  <w:r>
                    <w:rPr>
                      <w:rFonts w:hint="eastAsia" w:cs="Times New Roman"/>
                      <w:i w:val="0"/>
                      <w:iCs w:val="0"/>
                      <w:color w:val="000000"/>
                      <w:kern w:val="0"/>
                      <w:sz w:val="21"/>
                      <w:szCs w:val="21"/>
                      <w:highlight w:val="none"/>
                      <w:u w:val="none"/>
                      <w:lang w:val="en-US" w:eastAsia="zh-CN" w:bidi="ar"/>
                    </w:rPr>
                    <w:t>0.0224</w:t>
                  </w:r>
                </w:p>
              </w:tc>
              <w:tc>
                <w:tcPr>
                  <w:tcW w:w="660" w:type="dxa"/>
                  <w:tcBorders>
                    <w:tl2br w:val="nil"/>
                    <w:tr2bl w:val="nil"/>
                  </w:tcBorders>
                  <w:noWrap w:val="0"/>
                  <w:vAlign w:val="center"/>
                </w:tcPr>
                <w:p w14:paraId="38DBF697">
                  <w:pPr>
                    <w:pStyle w:val="31"/>
                    <w:bidi w:val="0"/>
                    <w:ind w:firstLine="0" w:firstLineChars="0"/>
                    <w:rPr>
                      <w:sz w:val="21"/>
                      <w:szCs w:val="21"/>
                      <w:highlight w:val="none"/>
                    </w:rPr>
                  </w:pPr>
                  <w:r>
                    <w:rPr>
                      <w:rFonts w:hint="default"/>
                      <w:sz w:val="21"/>
                      <w:szCs w:val="21"/>
                      <w:highlight w:val="none"/>
                      <w:lang w:val="en-US" w:eastAsia="zh-CN"/>
                    </w:rPr>
                    <w:t>t/a</w:t>
                  </w:r>
                </w:p>
              </w:tc>
              <w:tc>
                <w:tcPr>
                  <w:tcW w:w="850" w:type="dxa"/>
                  <w:tcBorders>
                    <w:tl2br w:val="nil"/>
                    <w:tr2bl w:val="nil"/>
                  </w:tcBorders>
                  <w:noWrap w:val="0"/>
                  <w:vAlign w:val="center"/>
                </w:tcPr>
                <w:p w14:paraId="595CEA8D">
                  <w:pPr>
                    <w:pStyle w:val="31"/>
                    <w:bidi w:val="0"/>
                    <w:ind w:firstLine="0" w:firstLineChars="0"/>
                    <w:rPr>
                      <w:rFonts w:hint="default"/>
                      <w:sz w:val="21"/>
                      <w:szCs w:val="21"/>
                      <w:highlight w:val="none"/>
                      <w:lang w:val="en-US" w:eastAsia="zh-CN"/>
                    </w:rPr>
                  </w:pPr>
                  <w:r>
                    <w:rPr>
                      <w:rFonts w:hint="eastAsia"/>
                      <w:sz w:val="21"/>
                      <w:szCs w:val="21"/>
                      <w:highlight w:val="none"/>
                      <w:lang w:val="en-US" w:eastAsia="zh-CN"/>
                    </w:rPr>
                    <w:t>35</w:t>
                  </w:r>
                </w:p>
              </w:tc>
              <w:tc>
                <w:tcPr>
                  <w:tcW w:w="850" w:type="dxa"/>
                  <w:tcBorders>
                    <w:tl2br w:val="nil"/>
                    <w:tr2bl w:val="nil"/>
                  </w:tcBorders>
                  <w:noWrap w:val="0"/>
                  <w:vAlign w:val="center"/>
                </w:tcPr>
                <w:p w14:paraId="762B40ED">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850" w:type="dxa"/>
                  <w:tcBorders>
                    <w:tl2br w:val="nil"/>
                    <w:tr2bl w:val="nil"/>
                  </w:tcBorders>
                  <w:noWrap w:val="0"/>
                  <w:vAlign w:val="center"/>
                </w:tcPr>
                <w:p w14:paraId="0D0D9A3E">
                  <w:pPr>
                    <w:pStyle w:val="31"/>
                    <w:bidi w:val="0"/>
                    <w:ind w:firstLine="0" w:firstLineChars="0"/>
                    <w:rPr>
                      <w:rFonts w:hint="default"/>
                      <w:sz w:val="21"/>
                      <w:szCs w:val="21"/>
                      <w:highlight w:val="none"/>
                      <w:lang w:val="en-US" w:eastAsia="zh-CN"/>
                    </w:rPr>
                  </w:pPr>
                  <w:r>
                    <w:rPr>
                      <w:rFonts w:hint="eastAsia"/>
                      <w:sz w:val="21"/>
                      <w:szCs w:val="21"/>
                      <w:highlight w:val="none"/>
                      <w:lang w:val="en-US" w:eastAsia="zh-CN"/>
                    </w:rPr>
                    <w:t>达标</w:t>
                  </w:r>
                </w:p>
              </w:tc>
            </w:tr>
            <w:tr w14:paraId="1E53F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dxa"/>
                  <w:vMerge w:val="continue"/>
                  <w:tcBorders>
                    <w:tl2br w:val="nil"/>
                    <w:tr2bl w:val="nil"/>
                  </w:tcBorders>
                  <w:noWrap w:val="0"/>
                  <w:vAlign w:val="center"/>
                </w:tcPr>
                <w:p w14:paraId="40344D57">
                  <w:pPr>
                    <w:pStyle w:val="31"/>
                    <w:bidi w:val="0"/>
                    <w:rPr>
                      <w:rFonts w:hint="default"/>
                      <w:sz w:val="21"/>
                      <w:szCs w:val="21"/>
                      <w:highlight w:val="none"/>
                    </w:rPr>
                  </w:pPr>
                </w:p>
              </w:tc>
              <w:tc>
                <w:tcPr>
                  <w:tcW w:w="1163" w:type="dxa"/>
                  <w:tcBorders>
                    <w:tl2br w:val="nil"/>
                    <w:tr2bl w:val="nil"/>
                  </w:tcBorders>
                  <w:noWrap w:val="0"/>
                  <w:vAlign w:val="center"/>
                </w:tcPr>
                <w:p w14:paraId="5CF09B13">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阴离子表面活性剂</w:t>
                  </w:r>
                </w:p>
              </w:tc>
              <w:tc>
                <w:tcPr>
                  <w:tcW w:w="763" w:type="dxa"/>
                  <w:tcBorders>
                    <w:tl2br w:val="nil"/>
                    <w:tr2bl w:val="nil"/>
                  </w:tcBorders>
                  <w:noWrap w:val="0"/>
                  <w:vAlign w:val="center"/>
                </w:tcPr>
                <w:p w14:paraId="1A121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0.1</w:t>
                  </w:r>
                </w:p>
              </w:tc>
              <w:tc>
                <w:tcPr>
                  <w:tcW w:w="804" w:type="dxa"/>
                  <w:tcBorders>
                    <w:tl2br w:val="nil"/>
                    <w:tr2bl w:val="nil"/>
                  </w:tcBorders>
                  <w:noWrap w:val="0"/>
                  <w:vAlign w:val="center"/>
                </w:tcPr>
                <w:p w14:paraId="79E51A52">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1071" w:type="dxa"/>
                  <w:tcBorders>
                    <w:tl2br w:val="nil"/>
                    <w:tr2bl w:val="nil"/>
                  </w:tcBorders>
                  <w:noWrap w:val="0"/>
                  <w:vAlign w:val="center"/>
                </w:tcPr>
                <w:p w14:paraId="4376B0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0.0002</w:t>
                  </w:r>
                </w:p>
              </w:tc>
              <w:tc>
                <w:tcPr>
                  <w:tcW w:w="660" w:type="dxa"/>
                  <w:tcBorders>
                    <w:tl2br w:val="nil"/>
                    <w:tr2bl w:val="nil"/>
                  </w:tcBorders>
                  <w:noWrap w:val="0"/>
                  <w:vAlign w:val="center"/>
                </w:tcPr>
                <w:p w14:paraId="647BC67E">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t/a</w:t>
                  </w:r>
                </w:p>
              </w:tc>
              <w:tc>
                <w:tcPr>
                  <w:tcW w:w="850" w:type="dxa"/>
                  <w:tcBorders>
                    <w:tl2br w:val="nil"/>
                    <w:tr2bl w:val="nil"/>
                  </w:tcBorders>
                  <w:noWrap w:val="0"/>
                  <w:vAlign w:val="center"/>
                </w:tcPr>
                <w:p w14:paraId="19270904">
                  <w:pPr>
                    <w:pStyle w:val="31"/>
                    <w:bidi w:val="0"/>
                    <w:ind w:firstLine="0" w:firstLineChars="0"/>
                    <w:rPr>
                      <w:rFonts w:hint="default"/>
                      <w:sz w:val="21"/>
                      <w:szCs w:val="21"/>
                      <w:highlight w:val="none"/>
                      <w:lang w:val="en-US" w:eastAsia="zh-CN"/>
                    </w:rPr>
                  </w:pPr>
                  <w:r>
                    <w:rPr>
                      <w:rFonts w:hint="eastAsia"/>
                      <w:sz w:val="21"/>
                      <w:szCs w:val="21"/>
                      <w:highlight w:val="none"/>
                      <w:lang w:val="en-US" w:eastAsia="zh-CN"/>
                    </w:rPr>
                    <w:t>20</w:t>
                  </w:r>
                </w:p>
              </w:tc>
              <w:tc>
                <w:tcPr>
                  <w:tcW w:w="850" w:type="dxa"/>
                  <w:tcBorders>
                    <w:tl2br w:val="nil"/>
                    <w:tr2bl w:val="nil"/>
                  </w:tcBorders>
                  <w:noWrap w:val="0"/>
                  <w:vAlign w:val="center"/>
                </w:tcPr>
                <w:p w14:paraId="1782173E">
                  <w:pPr>
                    <w:pStyle w:val="31"/>
                    <w:bidi w:val="0"/>
                    <w:ind w:firstLine="0" w:firstLine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mg/L</w:t>
                  </w:r>
                </w:p>
              </w:tc>
              <w:tc>
                <w:tcPr>
                  <w:tcW w:w="850" w:type="dxa"/>
                  <w:tcBorders>
                    <w:tl2br w:val="nil"/>
                    <w:tr2bl w:val="nil"/>
                  </w:tcBorders>
                  <w:noWrap w:val="0"/>
                  <w:vAlign w:val="center"/>
                </w:tcPr>
                <w:p w14:paraId="2EFF6E6E">
                  <w:pPr>
                    <w:pStyle w:val="31"/>
                    <w:bidi w:val="0"/>
                    <w:ind w:firstLine="0" w:firstLineChars="0"/>
                    <w:rPr>
                      <w:rFonts w:hint="default"/>
                      <w:sz w:val="21"/>
                      <w:szCs w:val="21"/>
                      <w:highlight w:val="none"/>
                      <w:lang w:val="en-US" w:eastAsia="zh-CN"/>
                    </w:rPr>
                  </w:pPr>
                  <w:r>
                    <w:rPr>
                      <w:rFonts w:hint="eastAsia"/>
                      <w:sz w:val="21"/>
                      <w:szCs w:val="21"/>
                      <w:highlight w:val="none"/>
                      <w:lang w:val="en-US" w:eastAsia="zh-CN"/>
                    </w:rPr>
                    <w:t>达标</w:t>
                  </w:r>
                </w:p>
              </w:tc>
            </w:tr>
          </w:tbl>
          <w:p w14:paraId="01A3E6E9">
            <w:pPr>
              <w:pStyle w:val="13"/>
              <w:spacing w:after="0" w:line="480" w:lineRule="atLeast"/>
              <w:ind w:left="0" w:leftChars="0" w:right="132" w:rightChars="55" w:firstLine="480"/>
              <w:rPr>
                <w:rFonts w:hint="default" w:eastAsia="宋体"/>
                <w:color w:val="auto"/>
                <w:highlight w:val="none"/>
                <w:lang w:val="en-US" w:eastAsia="zh-CN"/>
              </w:rPr>
            </w:pPr>
            <w:r>
              <w:rPr>
                <w:rFonts w:hint="eastAsia"/>
                <w:highlight w:val="none"/>
                <w:lang w:val="en-US" w:eastAsia="zh-CN"/>
              </w:rPr>
              <w:t>由上表可知，热处理过程</w:t>
            </w:r>
            <w:r>
              <w:rPr>
                <w:rFonts w:hint="eastAsia" w:ascii="Times New Roman" w:hAnsi="Times New Roman" w:eastAsia="宋体" w:cs="Times New Roman"/>
                <w:highlight w:val="none"/>
              </w:rPr>
              <w:t>清洗机定期清理废水</w:t>
            </w:r>
            <w:r>
              <w:rPr>
                <w:rFonts w:hint="eastAsia" w:ascii="Times New Roman" w:hAnsi="Times New Roman" w:eastAsia="宋体" w:cs="Times New Roman"/>
                <w:highlight w:val="none"/>
                <w:lang w:val="en-US" w:eastAsia="zh-CN"/>
              </w:rPr>
              <w:t>经自带油水分离器处理后废水</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抛丸后清洗机清理废水</w:t>
            </w:r>
            <w:r>
              <w:rPr>
                <w:rFonts w:hint="eastAsia"/>
                <w:highlight w:val="none"/>
                <w:lang w:val="en-US" w:eastAsia="zh-CN"/>
              </w:rPr>
              <w:t>排入污水处理设施处理、食堂废水经隔油池处理，与</w:t>
            </w:r>
            <w:r>
              <w:rPr>
                <w:rFonts w:hint="eastAsia" w:ascii="Times New Roman" w:hAnsi="Times New Roman" w:eastAsia="宋体" w:cs="Times New Roman"/>
                <w:highlight w:val="none"/>
              </w:rPr>
              <w:t>软化水装置产生的浓盐水、蓄热式电锅炉排污水、</w:t>
            </w:r>
            <w:r>
              <w:rPr>
                <w:rFonts w:hint="eastAsia"/>
                <w:highlight w:val="none"/>
                <w:lang w:eastAsia="zh-CN"/>
              </w:rPr>
              <w:t>其它生活废水混合，经园区污水管网排污园区污水处理厂。</w:t>
            </w:r>
            <w:r>
              <w:rPr>
                <w:rFonts w:hint="eastAsia"/>
                <w:highlight w:val="none"/>
                <w:lang w:val="en-US" w:eastAsia="zh-CN"/>
              </w:rPr>
              <w:t>出水口各污染物均满足</w:t>
            </w:r>
            <w:r>
              <w:rPr>
                <w:rFonts w:hint="eastAsia"/>
                <w:highlight w:val="none"/>
              </w:rPr>
              <w:t>《污水综合排放标准》（</w:t>
            </w:r>
            <w:r>
              <w:rPr>
                <w:highlight w:val="none"/>
              </w:rPr>
              <w:t>GB8978-1996</w:t>
            </w:r>
            <w:r>
              <w:rPr>
                <w:rFonts w:hint="eastAsia"/>
                <w:highlight w:val="none"/>
              </w:rPr>
              <w:t>）表4中</w:t>
            </w:r>
            <w:r>
              <w:rPr>
                <w:rFonts w:hint="eastAsia"/>
                <w:highlight w:val="none"/>
                <w:lang w:eastAsia="zh-CN"/>
              </w:rPr>
              <w:t>三级标</w:t>
            </w:r>
            <w:r>
              <w:rPr>
                <w:rFonts w:hint="eastAsia"/>
                <w:highlight w:val="none"/>
              </w:rPr>
              <w:t>准，氨氮执行《污水排入城镇下水道水质标准》（GB/T31962-2015）中A级标准</w:t>
            </w:r>
            <w:r>
              <w:rPr>
                <w:rFonts w:hint="eastAsia"/>
                <w:highlight w:val="none"/>
                <w:lang w:eastAsia="zh-CN"/>
              </w:rPr>
              <w:t>，</w:t>
            </w:r>
            <w:r>
              <w:rPr>
                <w:rFonts w:hint="eastAsia"/>
                <w:highlight w:val="none"/>
              </w:rPr>
              <w:t>同时满足园区污水处理厂进水水质要求</w:t>
            </w:r>
            <w:r>
              <w:rPr>
                <w:rFonts w:hint="eastAsia"/>
                <w:highlight w:val="none"/>
                <w:lang w:eastAsia="zh-CN"/>
              </w:rPr>
              <w:t>：</w:t>
            </w:r>
            <w:r>
              <w:rPr>
                <w:rFonts w:hint="eastAsia"/>
                <w:color w:val="auto"/>
                <w:highlight w:val="none"/>
                <w:lang w:val="en-US" w:eastAsia="zh-CN"/>
              </w:rPr>
              <w:t>pH：6.5～8.5、COD：350mg/L、BOD</w:t>
            </w:r>
            <w:r>
              <w:rPr>
                <w:rFonts w:hint="eastAsia"/>
                <w:color w:val="auto"/>
                <w:highlight w:val="none"/>
                <w:vertAlign w:val="subscript"/>
                <w:lang w:val="en-US" w:eastAsia="zh-CN"/>
              </w:rPr>
              <w:t>5</w:t>
            </w:r>
            <w:r>
              <w:rPr>
                <w:rFonts w:hint="eastAsia"/>
                <w:color w:val="auto"/>
                <w:highlight w:val="none"/>
                <w:lang w:val="en-US" w:eastAsia="zh-CN"/>
              </w:rPr>
              <w:t>：200mg/L、SS：250mg/L、氨氮：35mg/L、动植物油：100mg/L、石油类：30mg/L、阴离子表面活性剂：20mg/L，</w:t>
            </w:r>
            <w:r>
              <w:rPr>
                <w:rFonts w:hint="eastAsia"/>
                <w:highlight w:val="none"/>
                <w:lang w:val="en-US" w:eastAsia="zh-CN"/>
              </w:rPr>
              <w:t>且项目自建的污水处理设施处理能力为</w:t>
            </w:r>
            <w:r>
              <w:rPr>
                <w:rFonts w:hint="eastAsia"/>
                <w:color w:val="auto"/>
                <w:highlight w:val="none"/>
                <w:lang w:val="en-US" w:eastAsia="zh-CN"/>
              </w:rPr>
              <w:t>3</w:t>
            </w:r>
            <w:r>
              <w:rPr>
                <w:rFonts w:hint="eastAsia"/>
                <w:color w:val="auto"/>
                <w:highlight w:val="none"/>
              </w:rPr>
              <w:t>m</w:t>
            </w:r>
            <w:r>
              <w:rPr>
                <w:rFonts w:hint="eastAsia"/>
                <w:color w:val="auto"/>
                <w:highlight w:val="none"/>
                <w:vertAlign w:val="superscript"/>
              </w:rPr>
              <w:t>3</w:t>
            </w:r>
            <w:r>
              <w:rPr>
                <w:rFonts w:hint="eastAsia"/>
                <w:color w:val="auto"/>
                <w:highlight w:val="none"/>
              </w:rPr>
              <w:t>/d</w:t>
            </w:r>
            <w:r>
              <w:rPr>
                <w:rFonts w:hint="eastAsia"/>
                <w:highlight w:val="none"/>
                <w:lang w:eastAsia="zh-CN"/>
              </w:rPr>
              <w:t>，大于清洗机清理废水最大日产生量，且食堂隔油池的日处理能力为</w:t>
            </w:r>
            <w:r>
              <w:rPr>
                <w:rFonts w:hint="eastAsia"/>
                <w:color w:val="auto"/>
                <w:highlight w:val="none"/>
                <w:lang w:val="en-US" w:eastAsia="zh-CN"/>
              </w:rPr>
              <w:t>3</w:t>
            </w:r>
            <w:r>
              <w:rPr>
                <w:rFonts w:hint="eastAsia"/>
                <w:color w:val="auto"/>
                <w:highlight w:val="none"/>
              </w:rPr>
              <w:t>m</w:t>
            </w:r>
            <w:r>
              <w:rPr>
                <w:rFonts w:hint="eastAsia"/>
                <w:color w:val="auto"/>
                <w:highlight w:val="none"/>
                <w:vertAlign w:val="superscript"/>
              </w:rPr>
              <w:t>3</w:t>
            </w:r>
            <w:r>
              <w:rPr>
                <w:rFonts w:hint="eastAsia"/>
                <w:color w:val="auto"/>
                <w:highlight w:val="none"/>
              </w:rPr>
              <w:t>/d</w:t>
            </w:r>
            <w:r>
              <w:rPr>
                <w:rFonts w:hint="eastAsia"/>
                <w:color w:val="auto"/>
                <w:highlight w:val="none"/>
                <w:lang w:eastAsia="zh-CN"/>
              </w:rPr>
              <w:t>，</w:t>
            </w:r>
            <w:r>
              <w:rPr>
                <w:rFonts w:hint="eastAsia"/>
                <w:highlight w:val="none"/>
                <w:lang w:eastAsia="zh-CN"/>
              </w:rPr>
              <w:t>大于食堂废水最大日产生量，因此</w:t>
            </w:r>
            <w:r>
              <w:rPr>
                <w:rFonts w:hint="eastAsia"/>
                <w:highlight w:val="none"/>
                <w:lang w:val="en-US" w:eastAsia="zh-CN"/>
              </w:rPr>
              <w:t>，本项目热处理过程</w:t>
            </w:r>
            <w:r>
              <w:rPr>
                <w:rFonts w:hint="eastAsia" w:ascii="Times New Roman" w:hAnsi="Times New Roman" w:eastAsia="宋体" w:cs="Times New Roman"/>
                <w:highlight w:val="none"/>
              </w:rPr>
              <w:t>清洗机定期清理废水</w:t>
            </w:r>
            <w:r>
              <w:rPr>
                <w:rFonts w:hint="eastAsia" w:ascii="Times New Roman" w:hAnsi="Times New Roman" w:eastAsia="宋体" w:cs="Times New Roman"/>
                <w:highlight w:val="none"/>
                <w:lang w:val="en-US" w:eastAsia="zh-CN"/>
              </w:rPr>
              <w:t>经自带油水分离器</w:t>
            </w:r>
            <w:r>
              <w:rPr>
                <w:rFonts w:hint="eastAsia" w:cs="Times New Roman"/>
                <w:highlight w:val="none"/>
                <w:lang w:val="en-US" w:eastAsia="zh-CN"/>
              </w:rPr>
              <w:t>分离</w:t>
            </w:r>
            <w:r>
              <w:rPr>
                <w:rFonts w:hint="eastAsia" w:ascii="Times New Roman" w:hAnsi="Times New Roman" w:eastAsia="宋体" w:cs="Times New Roman"/>
                <w:highlight w:val="none"/>
                <w:lang w:val="en-US" w:eastAsia="zh-CN"/>
              </w:rPr>
              <w:t>后废水</w:t>
            </w:r>
            <w:r>
              <w:rPr>
                <w:rFonts w:hint="eastAsia" w:cs="Times New Roman"/>
                <w:highlight w:val="none"/>
                <w:lang w:eastAsia="zh-CN"/>
              </w:rPr>
              <w:t>和</w:t>
            </w:r>
            <w:r>
              <w:rPr>
                <w:rFonts w:hint="eastAsia" w:ascii="Times New Roman" w:hAnsi="Times New Roman" w:eastAsia="宋体" w:cs="Times New Roman"/>
                <w:highlight w:val="none"/>
                <w:lang w:val="en-US" w:eastAsia="zh-CN"/>
              </w:rPr>
              <w:t>抛丸后清洗机清理废水</w:t>
            </w:r>
            <w:r>
              <w:rPr>
                <w:rFonts w:hint="eastAsia" w:cs="Times New Roman"/>
                <w:highlight w:val="none"/>
                <w:lang w:val="en-US" w:eastAsia="zh-CN"/>
              </w:rPr>
              <w:t>排入污水处理设施处理、食堂废水经隔油池处理</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软化水装置产生的浓盐水、蓄热式电锅炉排污水、</w:t>
            </w:r>
            <w:r>
              <w:rPr>
                <w:rFonts w:hint="eastAsia" w:cs="Times New Roman"/>
                <w:highlight w:val="none"/>
                <w:lang w:eastAsia="zh-CN"/>
              </w:rPr>
              <w:t>其它</w:t>
            </w:r>
            <w:r>
              <w:rPr>
                <w:rFonts w:hint="eastAsia"/>
                <w:highlight w:val="none"/>
              </w:rPr>
              <w:t>生活废水</w:t>
            </w:r>
            <w:r>
              <w:rPr>
                <w:rFonts w:hint="eastAsia"/>
                <w:highlight w:val="none"/>
                <w:lang w:eastAsia="zh-CN"/>
              </w:rPr>
              <w:t>混合</w:t>
            </w:r>
            <w:r>
              <w:rPr>
                <w:rFonts w:hint="eastAsia"/>
                <w:highlight w:val="none"/>
                <w:lang w:val="en-US" w:eastAsia="zh-CN"/>
              </w:rPr>
              <w:t>经园区污水管网，汇入园区污水处理厂处理可行。</w:t>
            </w:r>
          </w:p>
          <w:p w14:paraId="101BD0E6">
            <w:pPr>
              <w:ind w:firstLine="480"/>
            </w:pPr>
            <w:r>
              <w:rPr>
                <w:rFonts w:hint="eastAsia"/>
                <w:lang w:val="en-US" w:eastAsia="zh-CN"/>
              </w:rPr>
              <w:t>3</w:t>
            </w:r>
            <w:r>
              <w:rPr>
                <w:rFonts w:hint="eastAsia"/>
              </w:rPr>
              <w:t>、依托集中污水处理厂的可行性分析</w:t>
            </w:r>
          </w:p>
          <w:p w14:paraId="55809FD5">
            <w:pPr>
              <w:ind w:firstLine="480"/>
            </w:pPr>
            <w:r>
              <w:rPr>
                <w:rFonts w:hint="eastAsia"/>
              </w:rPr>
              <w:t>唐山空港城开发区污水处理厂唐山高新区京唐智慧港内，远期规模为10万立方米/日，计划分三期建设完成，现已建成1座污水处理装置，处理规模为1万立方米/日，一期工程已于2015年2月26日通过了原唐山空港城临空经济开发区环保局审批，见唐空港环发［2015］1号，因工业区无污水排入，现未进行环保验收。园区污水管网已完成建设。</w:t>
            </w:r>
          </w:p>
          <w:p w14:paraId="3E460B0C">
            <w:pPr>
              <w:ind w:firstLine="480"/>
            </w:pPr>
            <w:r>
              <w:rPr>
                <w:rFonts w:hint="eastAsia"/>
              </w:rPr>
              <w:t>该项目采用先进的污水处理设备，厂区主体工艺采用“格栅＋曝气沉砂池＋A2/O+二沉池＋活性炭砂滤池＋消毒＋污泥处理”处理工艺，经处理后的污水水质排放满足《城镇污水处理厂污染物排放标准》（GB18918-2002）一级A标准，再生水水质同时满足《城市污水再生利用城市杂用水水质》（GB/T18920-2002）、</w:t>
            </w:r>
          </w:p>
          <w:p w14:paraId="1B4F40C8">
            <w:pPr>
              <w:ind w:firstLine="0" w:firstLineChars="0"/>
            </w:pPr>
            <w:r>
              <w:rPr>
                <w:rFonts w:hint="eastAsia"/>
              </w:rPr>
              <w:t>《城市污水再生利用景观环境用水水质》（GB/T18921-2002）和《农田灌溉水质</w:t>
            </w:r>
          </w:p>
          <w:p w14:paraId="21B4F56F">
            <w:pPr>
              <w:ind w:firstLine="0" w:firstLineChars="0"/>
            </w:pPr>
            <w:r>
              <w:rPr>
                <w:rFonts w:hint="eastAsia"/>
              </w:rPr>
              <w:t>标准》（GB5084-2005）水质要求。</w:t>
            </w:r>
          </w:p>
          <w:p w14:paraId="7C6602A2">
            <w:pPr>
              <w:ind w:firstLine="480"/>
            </w:pPr>
            <w:r>
              <w:rPr>
                <w:rFonts w:hint="eastAsia"/>
              </w:rPr>
              <w:t>本项目所在区域为唐山空港城开发区污水处理厂的收水范围，日均排放废水占污水处理厂日处理量（1万吨/天）的0.0</w:t>
            </w:r>
            <w:r>
              <w:rPr>
                <w:rFonts w:hint="eastAsia"/>
                <w:lang w:val="en-US" w:eastAsia="zh-CN"/>
              </w:rPr>
              <w:t>63</w:t>
            </w:r>
            <w:r>
              <w:rPr>
                <w:rFonts w:hint="eastAsia"/>
              </w:rPr>
              <w:t>%，水质较简单，能够同时满足《污水综合排放标准》（GB8978-1996）三级限值和《污水排入城镇下水道水质标准》</w:t>
            </w:r>
          </w:p>
          <w:p w14:paraId="19F5F503">
            <w:pPr>
              <w:ind w:firstLine="0" w:firstLineChars="0"/>
            </w:pPr>
            <w:r>
              <w:rPr>
                <w:rFonts w:hint="eastAsia"/>
              </w:rPr>
              <w:t>（GB/T31962-2015）A级水质要求。本项目污水排放去向可行。因园区污水处理厂未正式运行，要求本项目在园区污水处理厂未正式投入使用前，本项目不得投入使用，禁止废水排放。</w:t>
            </w:r>
          </w:p>
          <w:p w14:paraId="716B333E">
            <w:pPr>
              <w:ind w:firstLine="480"/>
            </w:pPr>
            <w:r>
              <w:rPr>
                <w:rFonts w:hint="eastAsia"/>
              </w:rPr>
              <w:t>综上所述，本项目</w:t>
            </w:r>
            <w:r>
              <w:rPr>
                <w:rFonts w:hint="eastAsia"/>
                <w:lang w:eastAsia="zh-CN"/>
              </w:rPr>
              <w:t>热处理过程清洗机清理废水经设备自带油水分离器分离后与</w:t>
            </w:r>
            <w:r>
              <w:rPr>
                <w:rFonts w:hint="eastAsia" w:ascii="Times New Roman" w:hAnsi="Times New Roman" w:eastAsia="宋体" w:cs="Times New Roman"/>
                <w:lang w:val="en-US" w:eastAsia="zh-CN"/>
              </w:rPr>
              <w:t>抛丸后清洗机清理废水</w:t>
            </w:r>
            <w:r>
              <w:rPr>
                <w:rFonts w:hint="eastAsia"/>
                <w:lang w:eastAsia="zh-CN"/>
              </w:rPr>
              <w:t>排入厂区污水处理设施</w:t>
            </w:r>
            <w:r>
              <w:rPr>
                <w:rFonts w:hint="eastAsia"/>
              </w:rPr>
              <w:t>处理，经园区污水管网，汇入园区污水处理厂处理</w:t>
            </w:r>
            <w:r>
              <w:rPr>
                <w:rFonts w:hint="eastAsia"/>
                <w:lang w:eastAsia="zh-CN"/>
              </w:rPr>
              <w:t>；生活用水中食堂用水经隔油池处理；</w:t>
            </w:r>
            <w:r>
              <w:rPr>
                <w:rFonts w:hint="eastAsia" w:ascii="Times New Roman" w:hAnsi="Times New Roman" w:eastAsia="宋体" w:cs="Times New Roman"/>
              </w:rPr>
              <w:t>软化水装置产生的浓盐水、蓄热式电锅炉排污水</w:t>
            </w:r>
            <w:r>
              <w:rPr>
                <w:rFonts w:hint="eastAsia" w:cs="Times New Roman"/>
                <w:lang w:eastAsia="zh-CN"/>
              </w:rPr>
              <w:t>和其它生活废水</w:t>
            </w:r>
            <w:r>
              <w:rPr>
                <w:rFonts w:hint="eastAsia"/>
              </w:rPr>
              <w:t>经园区污水管网，汇入园区污水处理厂处理</w:t>
            </w:r>
            <w:r>
              <w:rPr>
                <w:rFonts w:hint="eastAsia"/>
                <w:highlight w:val="none"/>
              </w:rPr>
              <w:t>，处理达标后排入泥河，废水间接排放量</w:t>
            </w:r>
            <w:r>
              <w:rPr>
                <w:rFonts w:hint="eastAsia"/>
                <w:highlight w:val="none"/>
                <w:lang w:val="en-US" w:eastAsia="zh-CN"/>
              </w:rPr>
              <w:t>6.262</w:t>
            </w:r>
            <w:r>
              <w:rPr>
                <w:rFonts w:hint="eastAsia"/>
                <w:highlight w:val="none"/>
              </w:rPr>
              <w:t>m</w:t>
            </w:r>
            <w:r>
              <w:rPr>
                <w:rFonts w:hint="eastAsia"/>
                <w:highlight w:val="none"/>
                <w:vertAlign w:val="superscript"/>
              </w:rPr>
              <w:t>3</w:t>
            </w:r>
            <w:r>
              <w:rPr>
                <w:rFonts w:hint="eastAsia"/>
                <w:highlight w:val="none"/>
              </w:rPr>
              <w:t>/d（</w:t>
            </w:r>
            <w:r>
              <w:rPr>
                <w:rFonts w:hint="eastAsia"/>
                <w:highlight w:val="none"/>
                <w:lang w:val="en-US" w:eastAsia="zh-CN"/>
              </w:rPr>
              <w:t>1878.6</w:t>
            </w:r>
            <w:r>
              <w:rPr>
                <w:rFonts w:hint="eastAsia"/>
                <w:highlight w:val="none"/>
              </w:rPr>
              <w:t>m</w:t>
            </w:r>
            <w:r>
              <w:rPr>
                <w:rFonts w:hint="eastAsia"/>
                <w:highlight w:val="none"/>
                <w:vertAlign w:val="superscript"/>
              </w:rPr>
              <w:t>3</w:t>
            </w:r>
            <w:r>
              <w:rPr>
                <w:rFonts w:hint="eastAsia"/>
                <w:highlight w:val="none"/>
              </w:rPr>
              <w:t>/a），唐山</w:t>
            </w:r>
            <w:r>
              <w:rPr>
                <w:rFonts w:hint="eastAsia"/>
              </w:rPr>
              <w:t>空港城开发区污水处理厂可满足本项目的废水处理能力。本项目</w:t>
            </w:r>
            <w:r>
              <w:rPr>
                <w:rFonts w:hint="eastAsia"/>
                <w:lang w:eastAsia="zh-CN"/>
              </w:rPr>
              <w:t>废水</w:t>
            </w:r>
            <w:r>
              <w:rPr>
                <w:rFonts w:hint="eastAsia"/>
              </w:rPr>
              <w:t>可满足唐山空港城开发区污水处理厂设计进出水水质标准，因此本项目生活废水间接排放污水处理厂为可行性的。</w:t>
            </w:r>
          </w:p>
          <w:p w14:paraId="4A93CBFB">
            <w:pPr>
              <w:ind w:firstLine="480"/>
            </w:pPr>
            <w:r>
              <w:rPr>
                <w:rFonts w:hint="eastAsia"/>
              </w:rPr>
              <w:t>4、水污染物排放信息表</w:t>
            </w:r>
          </w:p>
          <w:p w14:paraId="02A2FCDD">
            <w:pPr>
              <w:bidi w:val="0"/>
              <w:rPr>
                <w:rFonts w:hint="default"/>
                <w:lang w:val="en-US" w:eastAsia="zh-CN"/>
              </w:rPr>
            </w:pPr>
            <w:r>
              <w:rPr>
                <w:rFonts w:hint="default"/>
                <w:lang w:val="en-US" w:eastAsia="zh-CN"/>
              </w:rPr>
              <w:t>项目废水类别、污染物及污染物治理设施信息</w:t>
            </w:r>
            <w:r>
              <w:rPr>
                <w:rFonts w:hint="eastAsia"/>
                <w:lang w:val="en-US" w:eastAsia="zh-CN"/>
              </w:rPr>
              <w:t>见</w:t>
            </w:r>
            <w:r>
              <w:rPr>
                <w:rFonts w:hint="default"/>
                <w:lang w:val="en-US" w:eastAsia="zh-CN"/>
              </w:rPr>
              <w:t>表</w:t>
            </w:r>
            <w:r>
              <w:rPr>
                <w:rFonts w:hint="eastAsia"/>
                <w:lang w:val="en-US" w:eastAsia="zh-CN"/>
              </w:rPr>
              <w:t>4-12</w:t>
            </w:r>
            <w:r>
              <w:rPr>
                <w:rFonts w:hint="default"/>
                <w:lang w:val="en-US" w:eastAsia="zh-CN"/>
              </w:rPr>
              <w:t>。</w:t>
            </w:r>
          </w:p>
          <w:p w14:paraId="56B63903">
            <w:pPr>
              <w:ind w:firstLine="0" w:firstLineChars="0"/>
              <w:jc w:val="center"/>
              <w:rPr>
                <w:b/>
                <w:bCs/>
                <w:sz w:val="21"/>
                <w:szCs w:val="21"/>
                <w:highlight w:val="none"/>
              </w:rPr>
            </w:pPr>
            <w:r>
              <w:rPr>
                <w:rFonts w:hint="eastAsia"/>
                <w:b/>
                <w:bCs/>
                <w:sz w:val="21"/>
                <w:szCs w:val="21"/>
                <w:highlight w:val="none"/>
              </w:rPr>
              <w:t>表4</w:t>
            </w:r>
            <w:r>
              <w:rPr>
                <w:rFonts w:hint="eastAsia"/>
                <w:b/>
                <w:bCs/>
                <w:sz w:val="21"/>
                <w:szCs w:val="21"/>
                <w:highlight w:val="none"/>
                <w:lang w:val="en-US" w:eastAsia="zh-CN"/>
              </w:rPr>
              <w:t>-12</w:t>
            </w:r>
            <w:r>
              <w:rPr>
                <w:rFonts w:hint="eastAsia"/>
                <w:b/>
                <w:bCs/>
                <w:sz w:val="21"/>
                <w:szCs w:val="21"/>
                <w:highlight w:val="none"/>
              </w:rPr>
              <w:t xml:space="preserve">  废水类别、污染物及污染治理设施信息表</w:t>
            </w:r>
          </w:p>
          <w:tbl>
            <w:tblPr>
              <w:tblStyle w:val="23"/>
              <w:tblW w:w="8400"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65"/>
              <w:gridCol w:w="1140"/>
              <w:gridCol w:w="570"/>
              <w:gridCol w:w="765"/>
              <w:gridCol w:w="975"/>
              <w:gridCol w:w="1320"/>
              <w:gridCol w:w="630"/>
              <w:gridCol w:w="705"/>
              <w:gridCol w:w="690"/>
            </w:tblGrid>
            <w:tr w14:paraId="00A0C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dxa"/>
                  <w:gridSpan w:val="2"/>
                  <w:vMerge w:val="restart"/>
                  <w:tcBorders>
                    <w:tl2br w:val="nil"/>
                    <w:tr2bl w:val="nil"/>
                  </w:tcBorders>
                  <w:vAlign w:val="center"/>
                </w:tcPr>
                <w:p w14:paraId="40846716">
                  <w:pPr>
                    <w:spacing w:line="240" w:lineRule="auto"/>
                    <w:ind w:firstLine="0" w:firstLineChars="0"/>
                    <w:jc w:val="center"/>
                    <w:rPr>
                      <w:rFonts w:hint="eastAsia"/>
                      <w:bCs/>
                      <w:sz w:val="21"/>
                      <w:szCs w:val="21"/>
                    </w:rPr>
                  </w:pPr>
                  <w:r>
                    <w:rPr>
                      <w:rFonts w:hint="eastAsia"/>
                      <w:bCs/>
                      <w:sz w:val="21"/>
                      <w:szCs w:val="21"/>
                    </w:rPr>
                    <w:t>废水类别</w:t>
                  </w:r>
                </w:p>
              </w:tc>
              <w:tc>
                <w:tcPr>
                  <w:tcW w:w="1140" w:type="dxa"/>
                  <w:vMerge w:val="restart"/>
                  <w:tcBorders>
                    <w:tl2br w:val="nil"/>
                    <w:tr2bl w:val="nil"/>
                  </w:tcBorders>
                  <w:vAlign w:val="center"/>
                </w:tcPr>
                <w:p w14:paraId="2D2AC91D">
                  <w:pPr>
                    <w:spacing w:line="240" w:lineRule="auto"/>
                    <w:ind w:firstLine="0" w:firstLineChars="0"/>
                    <w:jc w:val="center"/>
                    <w:rPr>
                      <w:bCs/>
                      <w:sz w:val="21"/>
                      <w:szCs w:val="21"/>
                    </w:rPr>
                  </w:pPr>
                  <w:r>
                    <w:rPr>
                      <w:rFonts w:hint="eastAsia"/>
                      <w:bCs/>
                      <w:sz w:val="21"/>
                      <w:szCs w:val="21"/>
                    </w:rPr>
                    <w:t>污染物种类</w:t>
                  </w:r>
                </w:p>
              </w:tc>
              <w:tc>
                <w:tcPr>
                  <w:tcW w:w="570" w:type="dxa"/>
                  <w:vMerge w:val="restart"/>
                  <w:tcBorders>
                    <w:tl2br w:val="nil"/>
                    <w:tr2bl w:val="nil"/>
                  </w:tcBorders>
                  <w:vAlign w:val="center"/>
                </w:tcPr>
                <w:p w14:paraId="2DC040A9">
                  <w:pPr>
                    <w:spacing w:line="240" w:lineRule="auto"/>
                    <w:ind w:firstLine="0" w:firstLineChars="0"/>
                    <w:jc w:val="center"/>
                    <w:rPr>
                      <w:bCs/>
                      <w:sz w:val="21"/>
                      <w:szCs w:val="21"/>
                    </w:rPr>
                  </w:pPr>
                  <w:r>
                    <w:rPr>
                      <w:rFonts w:hint="eastAsia"/>
                      <w:bCs/>
                      <w:sz w:val="21"/>
                      <w:szCs w:val="21"/>
                    </w:rPr>
                    <w:t>排放去向</w:t>
                  </w:r>
                </w:p>
              </w:tc>
              <w:tc>
                <w:tcPr>
                  <w:tcW w:w="765" w:type="dxa"/>
                  <w:vMerge w:val="restart"/>
                  <w:tcBorders>
                    <w:tl2br w:val="nil"/>
                    <w:tr2bl w:val="nil"/>
                  </w:tcBorders>
                  <w:vAlign w:val="center"/>
                </w:tcPr>
                <w:p w14:paraId="4194F1E7">
                  <w:pPr>
                    <w:spacing w:line="240" w:lineRule="auto"/>
                    <w:ind w:firstLine="0" w:firstLineChars="0"/>
                    <w:jc w:val="center"/>
                    <w:rPr>
                      <w:bCs/>
                      <w:sz w:val="21"/>
                      <w:szCs w:val="21"/>
                    </w:rPr>
                  </w:pPr>
                  <w:r>
                    <w:rPr>
                      <w:rFonts w:hint="eastAsia"/>
                      <w:bCs/>
                      <w:sz w:val="21"/>
                      <w:szCs w:val="21"/>
                    </w:rPr>
                    <w:t>排放规律</w:t>
                  </w:r>
                </w:p>
              </w:tc>
              <w:tc>
                <w:tcPr>
                  <w:tcW w:w="2295" w:type="dxa"/>
                  <w:gridSpan w:val="2"/>
                  <w:tcBorders>
                    <w:tl2br w:val="nil"/>
                    <w:tr2bl w:val="nil"/>
                  </w:tcBorders>
                  <w:vAlign w:val="center"/>
                </w:tcPr>
                <w:p w14:paraId="08A8D536">
                  <w:pPr>
                    <w:spacing w:line="240" w:lineRule="auto"/>
                    <w:ind w:firstLine="0" w:firstLineChars="0"/>
                    <w:jc w:val="center"/>
                    <w:rPr>
                      <w:bCs/>
                      <w:sz w:val="21"/>
                      <w:szCs w:val="21"/>
                    </w:rPr>
                  </w:pPr>
                  <w:r>
                    <w:rPr>
                      <w:rFonts w:hint="eastAsia"/>
                      <w:bCs/>
                      <w:sz w:val="21"/>
                      <w:szCs w:val="21"/>
                    </w:rPr>
                    <w:t>污染治理设施</w:t>
                  </w:r>
                </w:p>
              </w:tc>
              <w:tc>
                <w:tcPr>
                  <w:tcW w:w="630" w:type="dxa"/>
                  <w:vMerge w:val="restart"/>
                  <w:tcBorders>
                    <w:tl2br w:val="nil"/>
                    <w:tr2bl w:val="nil"/>
                  </w:tcBorders>
                  <w:vAlign w:val="center"/>
                </w:tcPr>
                <w:p w14:paraId="456A9A6F">
                  <w:pPr>
                    <w:spacing w:line="240" w:lineRule="auto"/>
                    <w:ind w:firstLine="0" w:firstLineChars="0"/>
                    <w:jc w:val="center"/>
                    <w:rPr>
                      <w:bCs/>
                      <w:sz w:val="21"/>
                      <w:szCs w:val="21"/>
                    </w:rPr>
                  </w:pPr>
                  <w:r>
                    <w:rPr>
                      <w:rFonts w:hint="eastAsia"/>
                      <w:bCs/>
                      <w:sz w:val="21"/>
                      <w:szCs w:val="21"/>
                    </w:rPr>
                    <w:t>排放口编号</w:t>
                  </w:r>
                </w:p>
              </w:tc>
              <w:tc>
                <w:tcPr>
                  <w:tcW w:w="705" w:type="dxa"/>
                  <w:vMerge w:val="restart"/>
                  <w:tcBorders>
                    <w:tl2br w:val="nil"/>
                    <w:tr2bl w:val="nil"/>
                  </w:tcBorders>
                  <w:vAlign w:val="center"/>
                </w:tcPr>
                <w:p w14:paraId="0EE7DDB5">
                  <w:pPr>
                    <w:spacing w:line="240" w:lineRule="auto"/>
                    <w:ind w:firstLine="0" w:firstLineChars="0"/>
                    <w:jc w:val="center"/>
                    <w:rPr>
                      <w:bCs/>
                      <w:sz w:val="21"/>
                      <w:szCs w:val="21"/>
                    </w:rPr>
                  </w:pPr>
                  <w:r>
                    <w:rPr>
                      <w:rFonts w:hint="eastAsia"/>
                      <w:bCs/>
                      <w:sz w:val="21"/>
                      <w:szCs w:val="21"/>
                    </w:rPr>
                    <w:t>排放口设置是否符合要求</w:t>
                  </w:r>
                </w:p>
              </w:tc>
              <w:tc>
                <w:tcPr>
                  <w:tcW w:w="690" w:type="dxa"/>
                  <w:vMerge w:val="restart"/>
                  <w:tcBorders>
                    <w:tl2br w:val="nil"/>
                    <w:tr2bl w:val="nil"/>
                  </w:tcBorders>
                  <w:vAlign w:val="center"/>
                </w:tcPr>
                <w:p w14:paraId="037FAD4F">
                  <w:pPr>
                    <w:spacing w:line="240" w:lineRule="auto"/>
                    <w:ind w:firstLine="0" w:firstLineChars="0"/>
                    <w:jc w:val="center"/>
                    <w:rPr>
                      <w:bCs/>
                      <w:sz w:val="21"/>
                      <w:szCs w:val="21"/>
                    </w:rPr>
                  </w:pPr>
                  <w:r>
                    <w:rPr>
                      <w:rFonts w:hint="eastAsia"/>
                      <w:bCs/>
                      <w:sz w:val="21"/>
                      <w:szCs w:val="21"/>
                    </w:rPr>
                    <w:t>排放口类型</w:t>
                  </w:r>
                </w:p>
              </w:tc>
            </w:tr>
            <w:tr w14:paraId="5303F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dxa"/>
                  <w:gridSpan w:val="2"/>
                  <w:vMerge w:val="continue"/>
                  <w:tcBorders>
                    <w:tl2br w:val="nil"/>
                    <w:tr2bl w:val="nil"/>
                  </w:tcBorders>
                  <w:vAlign w:val="center"/>
                </w:tcPr>
                <w:p w14:paraId="7C53C124">
                  <w:pPr>
                    <w:spacing w:line="240" w:lineRule="auto"/>
                    <w:ind w:firstLine="0" w:firstLineChars="0"/>
                    <w:jc w:val="center"/>
                    <w:rPr>
                      <w:bCs/>
                      <w:sz w:val="21"/>
                      <w:szCs w:val="21"/>
                    </w:rPr>
                  </w:pPr>
                </w:p>
              </w:tc>
              <w:tc>
                <w:tcPr>
                  <w:tcW w:w="1140" w:type="dxa"/>
                  <w:vMerge w:val="continue"/>
                  <w:tcBorders>
                    <w:tl2br w:val="nil"/>
                    <w:tr2bl w:val="nil"/>
                  </w:tcBorders>
                  <w:vAlign w:val="center"/>
                </w:tcPr>
                <w:p w14:paraId="7ECD6D66">
                  <w:pPr>
                    <w:spacing w:line="240" w:lineRule="auto"/>
                    <w:ind w:firstLine="0" w:firstLineChars="0"/>
                    <w:jc w:val="center"/>
                    <w:rPr>
                      <w:bCs/>
                      <w:sz w:val="21"/>
                      <w:szCs w:val="21"/>
                    </w:rPr>
                  </w:pPr>
                </w:p>
              </w:tc>
              <w:tc>
                <w:tcPr>
                  <w:tcW w:w="570" w:type="dxa"/>
                  <w:vMerge w:val="continue"/>
                  <w:tcBorders>
                    <w:tl2br w:val="nil"/>
                    <w:tr2bl w:val="nil"/>
                  </w:tcBorders>
                  <w:vAlign w:val="center"/>
                </w:tcPr>
                <w:p w14:paraId="069EB6C1">
                  <w:pPr>
                    <w:spacing w:line="240" w:lineRule="auto"/>
                    <w:ind w:firstLine="0" w:firstLineChars="0"/>
                    <w:jc w:val="center"/>
                    <w:rPr>
                      <w:bCs/>
                      <w:sz w:val="21"/>
                      <w:szCs w:val="21"/>
                    </w:rPr>
                  </w:pPr>
                </w:p>
              </w:tc>
              <w:tc>
                <w:tcPr>
                  <w:tcW w:w="765" w:type="dxa"/>
                  <w:vMerge w:val="continue"/>
                  <w:tcBorders>
                    <w:tl2br w:val="nil"/>
                    <w:tr2bl w:val="nil"/>
                  </w:tcBorders>
                  <w:vAlign w:val="center"/>
                </w:tcPr>
                <w:p w14:paraId="2D38CB65">
                  <w:pPr>
                    <w:spacing w:line="240" w:lineRule="auto"/>
                    <w:ind w:firstLine="0" w:firstLineChars="0"/>
                    <w:jc w:val="center"/>
                    <w:rPr>
                      <w:bCs/>
                      <w:sz w:val="21"/>
                      <w:szCs w:val="21"/>
                    </w:rPr>
                  </w:pPr>
                </w:p>
              </w:tc>
              <w:tc>
                <w:tcPr>
                  <w:tcW w:w="975" w:type="dxa"/>
                  <w:tcBorders>
                    <w:tl2br w:val="nil"/>
                    <w:tr2bl w:val="nil"/>
                  </w:tcBorders>
                  <w:vAlign w:val="center"/>
                </w:tcPr>
                <w:p w14:paraId="7BA02518">
                  <w:pPr>
                    <w:spacing w:line="240" w:lineRule="auto"/>
                    <w:ind w:firstLine="0" w:firstLineChars="0"/>
                    <w:jc w:val="center"/>
                    <w:rPr>
                      <w:bCs/>
                      <w:sz w:val="21"/>
                      <w:szCs w:val="21"/>
                    </w:rPr>
                  </w:pPr>
                  <w:r>
                    <w:rPr>
                      <w:rFonts w:hint="eastAsia"/>
                      <w:bCs/>
                      <w:sz w:val="21"/>
                      <w:szCs w:val="21"/>
                    </w:rPr>
                    <w:t>污染治理设施名称</w:t>
                  </w:r>
                </w:p>
              </w:tc>
              <w:tc>
                <w:tcPr>
                  <w:tcW w:w="1320" w:type="dxa"/>
                  <w:tcBorders>
                    <w:tl2br w:val="nil"/>
                    <w:tr2bl w:val="nil"/>
                  </w:tcBorders>
                  <w:vAlign w:val="center"/>
                </w:tcPr>
                <w:p w14:paraId="55591CAC">
                  <w:pPr>
                    <w:spacing w:line="240" w:lineRule="auto"/>
                    <w:ind w:firstLine="0" w:firstLineChars="0"/>
                    <w:jc w:val="center"/>
                    <w:rPr>
                      <w:bCs/>
                      <w:sz w:val="21"/>
                      <w:szCs w:val="21"/>
                    </w:rPr>
                  </w:pPr>
                  <w:r>
                    <w:rPr>
                      <w:rFonts w:hint="eastAsia"/>
                      <w:bCs/>
                      <w:sz w:val="21"/>
                      <w:szCs w:val="21"/>
                    </w:rPr>
                    <w:t>污染治理设施工艺</w:t>
                  </w:r>
                </w:p>
              </w:tc>
              <w:tc>
                <w:tcPr>
                  <w:tcW w:w="630" w:type="dxa"/>
                  <w:vMerge w:val="continue"/>
                  <w:tcBorders>
                    <w:tl2br w:val="nil"/>
                    <w:tr2bl w:val="nil"/>
                  </w:tcBorders>
                  <w:vAlign w:val="center"/>
                </w:tcPr>
                <w:p w14:paraId="2C5A9E08">
                  <w:pPr>
                    <w:spacing w:line="240" w:lineRule="auto"/>
                    <w:ind w:firstLine="0" w:firstLineChars="0"/>
                    <w:jc w:val="center"/>
                    <w:rPr>
                      <w:bCs/>
                      <w:sz w:val="21"/>
                      <w:szCs w:val="21"/>
                    </w:rPr>
                  </w:pPr>
                </w:p>
              </w:tc>
              <w:tc>
                <w:tcPr>
                  <w:tcW w:w="705" w:type="dxa"/>
                  <w:vMerge w:val="continue"/>
                  <w:tcBorders>
                    <w:tl2br w:val="nil"/>
                    <w:tr2bl w:val="nil"/>
                  </w:tcBorders>
                  <w:vAlign w:val="center"/>
                </w:tcPr>
                <w:p w14:paraId="42F7462D">
                  <w:pPr>
                    <w:spacing w:line="240" w:lineRule="auto"/>
                    <w:ind w:firstLine="0" w:firstLineChars="0"/>
                    <w:jc w:val="center"/>
                    <w:rPr>
                      <w:bCs/>
                      <w:sz w:val="21"/>
                      <w:szCs w:val="21"/>
                    </w:rPr>
                  </w:pPr>
                </w:p>
              </w:tc>
              <w:tc>
                <w:tcPr>
                  <w:tcW w:w="690" w:type="dxa"/>
                  <w:vMerge w:val="continue"/>
                  <w:tcBorders>
                    <w:tl2br w:val="nil"/>
                    <w:tr2bl w:val="nil"/>
                  </w:tcBorders>
                  <w:vAlign w:val="center"/>
                </w:tcPr>
                <w:p w14:paraId="425AD7DA">
                  <w:pPr>
                    <w:spacing w:line="240" w:lineRule="auto"/>
                    <w:ind w:firstLine="0" w:firstLineChars="0"/>
                    <w:jc w:val="center"/>
                    <w:rPr>
                      <w:bCs/>
                      <w:sz w:val="21"/>
                      <w:szCs w:val="21"/>
                    </w:rPr>
                  </w:pPr>
                </w:p>
              </w:tc>
            </w:tr>
            <w:tr w14:paraId="2A94C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0" w:type="dxa"/>
                  <w:vMerge w:val="restart"/>
                  <w:tcBorders>
                    <w:tl2br w:val="nil"/>
                    <w:tr2bl w:val="nil"/>
                  </w:tcBorders>
                  <w:vAlign w:val="center"/>
                </w:tcPr>
                <w:p w14:paraId="4F23900A">
                  <w:pPr>
                    <w:spacing w:line="240" w:lineRule="auto"/>
                    <w:ind w:firstLine="0" w:firstLineChars="0"/>
                    <w:jc w:val="center"/>
                    <w:rPr>
                      <w:bCs/>
                      <w:sz w:val="21"/>
                      <w:szCs w:val="21"/>
                    </w:rPr>
                  </w:pPr>
                  <w:r>
                    <w:rPr>
                      <w:rFonts w:hint="eastAsia"/>
                      <w:bCs/>
                      <w:sz w:val="21"/>
                      <w:szCs w:val="21"/>
                    </w:rPr>
                    <w:t>清洗机废水</w:t>
                  </w:r>
                </w:p>
              </w:tc>
              <w:tc>
                <w:tcPr>
                  <w:tcW w:w="1165" w:type="dxa"/>
                  <w:tcBorders>
                    <w:tl2br w:val="nil"/>
                    <w:tr2bl w:val="nil"/>
                  </w:tcBorders>
                  <w:vAlign w:val="center"/>
                </w:tcPr>
                <w:p w14:paraId="59ECEF0A">
                  <w:pPr>
                    <w:spacing w:line="240" w:lineRule="auto"/>
                    <w:ind w:firstLine="0" w:firstLineChars="0"/>
                    <w:jc w:val="center"/>
                    <w:rPr>
                      <w:rFonts w:hint="eastAsia" w:eastAsia="宋体"/>
                      <w:bCs/>
                      <w:sz w:val="21"/>
                      <w:szCs w:val="21"/>
                      <w:lang w:eastAsia="zh-CN"/>
                    </w:rPr>
                  </w:pPr>
                  <w:r>
                    <w:rPr>
                      <w:rFonts w:hint="eastAsia"/>
                      <w:bCs/>
                      <w:sz w:val="21"/>
                      <w:szCs w:val="21"/>
                      <w:lang w:eastAsia="zh-CN"/>
                    </w:rPr>
                    <w:t>热处理清洗机清理废水</w:t>
                  </w:r>
                </w:p>
              </w:tc>
              <w:tc>
                <w:tcPr>
                  <w:tcW w:w="1140" w:type="dxa"/>
                  <w:vMerge w:val="restart"/>
                  <w:tcBorders>
                    <w:tl2br w:val="nil"/>
                    <w:tr2bl w:val="nil"/>
                  </w:tcBorders>
                  <w:vAlign w:val="center"/>
                </w:tcPr>
                <w:p w14:paraId="5C8EBA4F">
                  <w:pPr>
                    <w:spacing w:line="240" w:lineRule="auto"/>
                    <w:ind w:firstLine="0" w:firstLineChars="0"/>
                    <w:jc w:val="center"/>
                    <w:rPr>
                      <w:rFonts w:hint="eastAsia" w:eastAsia="宋体"/>
                      <w:bCs/>
                      <w:sz w:val="21"/>
                      <w:szCs w:val="21"/>
                      <w:lang w:eastAsia="zh-CN"/>
                    </w:rPr>
                  </w:pPr>
                  <w:r>
                    <w:rPr>
                      <w:rFonts w:hint="eastAsia"/>
                      <w:bCs/>
                      <w:sz w:val="21"/>
                      <w:szCs w:val="21"/>
                    </w:rPr>
                    <w:t>COD、SS、BOD</w:t>
                  </w:r>
                  <w:r>
                    <w:rPr>
                      <w:rFonts w:hint="eastAsia"/>
                      <w:bCs/>
                      <w:sz w:val="21"/>
                      <w:szCs w:val="21"/>
                      <w:vertAlign w:val="subscript"/>
                    </w:rPr>
                    <w:t>5</w:t>
                  </w:r>
                  <w:r>
                    <w:rPr>
                      <w:rFonts w:hint="eastAsia"/>
                      <w:bCs/>
                      <w:sz w:val="21"/>
                      <w:szCs w:val="21"/>
                    </w:rPr>
                    <w:t>、氨氮、</w:t>
                  </w:r>
                  <w:r>
                    <w:rPr>
                      <w:rFonts w:hint="eastAsia"/>
                      <w:bCs/>
                      <w:sz w:val="21"/>
                      <w:szCs w:val="21"/>
                      <w:lang w:eastAsia="zh-CN"/>
                    </w:rPr>
                    <w:t>石油类、阴离子表面活性剂</w:t>
                  </w:r>
                </w:p>
              </w:tc>
              <w:tc>
                <w:tcPr>
                  <w:tcW w:w="570" w:type="dxa"/>
                  <w:vMerge w:val="restart"/>
                  <w:tcBorders>
                    <w:tl2br w:val="nil"/>
                    <w:tr2bl w:val="nil"/>
                  </w:tcBorders>
                  <w:vAlign w:val="center"/>
                </w:tcPr>
                <w:p w14:paraId="1A059098">
                  <w:pPr>
                    <w:spacing w:line="240" w:lineRule="auto"/>
                    <w:ind w:firstLine="0" w:firstLineChars="0"/>
                    <w:jc w:val="center"/>
                    <w:rPr>
                      <w:bCs/>
                      <w:sz w:val="21"/>
                      <w:szCs w:val="21"/>
                    </w:rPr>
                  </w:pPr>
                  <w:r>
                    <w:rPr>
                      <w:rFonts w:hint="eastAsia"/>
                      <w:bCs/>
                      <w:sz w:val="21"/>
                      <w:szCs w:val="21"/>
                    </w:rPr>
                    <w:t>唐山空港城开发区污水处理厂</w:t>
                  </w:r>
                </w:p>
              </w:tc>
              <w:tc>
                <w:tcPr>
                  <w:tcW w:w="765" w:type="dxa"/>
                  <w:vMerge w:val="restart"/>
                  <w:tcBorders>
                    <w:tl2br w:val="nil"/>
                    <w:tr2bl w:val="nil"/>
                  </w:tcBorders>
                  <w:vAlign w:val="center"/>
                </w:tcPr>
                <w:p w14:paraId="5727BB92">
                  <w:pPr>
                    <w:spacing w:line="240" w:lineRule="auto"/>
                    <w:ind w:firstLine="0" w:firstLineChars="0"/>
                    <w:jc w:val="center"/>
                    <w:rPr>
                      <w:bCs/>
                      <w:sz w:val="21"/>
                      <w:szCs w:val="21"/>
                    </w:rPr>
                  </w:pPr>
                  <w:r>
                    <w:rPr>
                      <w:rFonts w:hint="eastAsia"/>
                      <w:bCs/>
                      <w:sz w:val="21"/>
                      <w:szCs w:val="21"/>
                    </w:rPr>
                    <w:t>间断排放、流量稳定</w:t>
                  </w:r>
                </w:p>
              </w:tc>
              <w:tc>
                <w:tcPr>
                  <w:tcW w:w="975" w:type="dxa"/>
                  <w:tcBorders>
                    <w:tl2br w:val="nil"/>
                    <w:tr2bl w:val="nil"/>
                  </w:tcBorders>
                  <w:vAlign w:val="center"/>
                </w:tcPr>
                <w:p w14:paraId="711DD942">
                  <w:pPr>
                    <w:spacing w:line="240" w:lineRule="auto"/>
                    <w:ind w:firstLine="0" w:firstLineChars="0"/>
                    <w:jc w:val="center"/>
                    <w:rPr>
                      <w:rFonts w:hint="eastAsia"/>
                      <w:bCs/>
                      <w:sz w:val="21"/>
                      <w:szCs w:val="21"/>
                      <w:lang w:val="en-US" w:eastAsia="zh-CN"/>
                    </w:rPr>
                  </w:pPr>
                  <w:r>
                    <w:rPr>
                      <w:rFonts w:hint="eastAsia"/>
                      <w:bCs/>
                      <w:sz w:val="21"/>
                      <w:szCs w:val="21"/>
                      <w:lang w:eastAsia="zh-CN"/>
                    </w:rPr>
                    <w:t>油水分离器</w:t>
                  </w:r>
                  <w:r>
                    <w:rPr>
                      <w:rFonts w:hint="eastAsia"/>
                      <w:bCs/>
                      <w:sz w:val="21"/>
                      <w:szCs w:val="21"/>
                      <w:lang w:val="en-US" w:eastAsia="zh-CN"/>
                    </w:rPr>
                    <w:t>+</w:t>
                  </w:r>
                </w:p>
                <w:p w14:paraId="6ED89C67">
                  <w:pPr>
                    <w:spacing w:line="240" w:lineRule="auto"/>
                    <w:ind w:firstLine="0" w:firstLineChars="0"/>
                    <w:jc w:val="center"/>
                    <w:rPr>
                      <w:rFonts w:hint="default" w:eastAsia="宋体"/>
                      <w:bCs/>
                      <w:sz w:val="21"/>
                      <w:szCs w:val="21"/>
                      <w:lang w:val="en-US" w:eastAsia="zh-CN"/>
                    </w:rPr>
                  </w:pPr>
                  <w:r>
                    <w:rPr>
                      <w:rFonts w:hint="eastAsia"/>
                      <w:bCs/>
                      <w:sz w:val="21"/>
                      <w:szCs w:val="21"/>
                      <w:lang w:eastAsia="zh-CN"/>
                    </w:rPr>
                    <w:t>污水处理设施</w:t>
                  </w:r>
                </w:p>
              </w:tc>
              <w:tc>
                <w:tcPr>
                  <w:tcW w:w="1320" w:type="dxa"/>
                  <w:tcBorders>
                    <w:tl2br w:val="nil"/>
                    <w:tr2bl w:val="nil"/>
                  </w:tcBorders>
                  <w:vAlign w:val="center"/>
                </w:tcPr>
                <w:p w14:paraId="0BC56314">
                  <w:pPr>
                    <w:spacing w:line="240" w:lineRule="auto"/>
                    <w:ind w:firstLine="0" w:firstLineChars="0"/>
                    <w:jc w:val="center"/>
                    <w:rPr>
                      <w:bCs/>
                      <w:sz w:val="21"/>
                      <w:szCs w:val="21"/>
                    </w:rPr>
                  </w:pPr>
                  <w:r>
                    <w:rPr>
                      <w:rFonts w:hint="eastAsia"/>
                      <w:bCs/>
                      <w:sz w:val="21"/>
                      <w:szCs w:val="21"/>
                      <w:lang w:eastAsia="zh-CN"/>
                    </w:rPr>
                    <w:t>油水分离</w:t>
                  </w:r>
                  <w:r>
                    <w:rPr>
                      <w:rFonts w:hint="eastAsia"/>
                      <w:bCs/>
                      <w:sz w:val="21"/>
                      <w:szCs w:val="21"/>
                      <w:lang w:val="en-US" w:eastAsia="zh-CN"/>
                    </w:rPr>
                    <w:t>+隔油+絮凝沉淀</w:t>
                  </w:r>
                </w:p>
              </w:tc>
              <w:tc>
                <w:tcPr>
                  <w:tcW w:w="630" w:type="dxa"/>
                  <w:vMerge w:val="restart"/>
                  <w:tcBorders>
                    <w:tl2br w:val="nil"/>
                    <w:tr2bl w:val="nil"/>
                  </w:tcBorders>
                  <w:vAlign w:val="center"/>
                </w:tcPr>
                <w:p w14:paraId="5699285C">
                  <w:pPr>
                    <w:spacing w:line="240" w:lineRule="auto"/>
                    <w:ind w:firstLine="0" w:firstLineChars="0"/>
                    <w:jc w:val="center"/>
                    <w:rPr>
                      <w:bCs/>
                      <w:sz w:val="21"/>
                      <w:szCs w:val="21"/>
                    </w:rPr>
                  </w:pPr>
                  <w:r>
                    <w:rPr>
                      <w:rFonts w:hint="eastAsia"/>
                      <w:bCs/>
                      <w:sz w:val="21"/>
                      <w:szCs w:val="21"/>
                    </w:rPr>
                    <w:t>1#</w:t>
                  </w:r>
                </w:p>
              </w:tc>
              <w:tc>
                <w:tcPr>
                  <w:tcW w:w="705" w:type="dxa"/>
                  <w:vMerge w:val="restart"/>
                  <w:tcBorders>
                    <w:tl2br w:val="nil"/>
                    <w:tr2bl w:val="nil"/>
                  </w:tcBorders>
                  <w:vAlign w:val="center"/>
                </w:tcPr>
                <w:p w14:paraId="64139C0D">
                  <w:pPr>
                    <w:spacing w:line="240" w:lineRule="auto"/>
                    <w:ind w:firstLine="0" w:firstLineChars="0"/>
                    <w:jc w:val="center"/>
                    <w:rPr>
                      <w:bCs/>
                      <w:sz w:val="21"/>
                      <w:szCs w:val="21"/>
                    </w:rPr>
                  </w:pPr>
                  <w:r>
                    <w:rPr>
                      <w:rFonts w:hint="eastAsia"/>
                      <w:bCs/>
                      <w:sz w:val="21"/>
                      <w:szCs w:val="21"/>
                    </w:rPr>
                    <w:t>是</w:t>
                  </w:r>
                </w:p>
              </w:tc>
              <w:tc>
                <w:tcPr>
                  <w:tcW w:w="690" w:type="dxa"/>
                  <w:vMerge w:val="restart"/>
                  <w:tcBorders>
                    <w:tl2br w:val="nil"/>
                    <w:tr2bl w:val="nil"/>
                  </w:tcBorders>
                  <w:vAlign w:val="center"/>
                </w:tcPr>
                <w:p w14:paraId="2D0BEFB8">
                  <w:pPr>
                    <w:spacing w:line="240" w:lineRule="auto"/>
                    <w:ind w:firstLine="0" w:firstLineChars="0"/>
                    <w:jc w:val="center"/>
                    <w:rPr>
                      <w:bCs/>
                      <w:sz w:val="21"/>
                      <w:szCs w:val="21"/>
                    </w:rPr>
                  </w:pPr>
                  <w:r>
                    <w:rPr>
                      <w:rFonts w:hint="eastAsia"/>
                      <w:bCs/>
                      <w:sz w:val="21"/>
                      <w:szCs w:val="21"/>
                    </w:rPr>
                    <w:t>企业总排</w:t>
                  </w:r>
                </w:p>
              </w:tc>
            </w:tr>
            <w:tr w14:paraId="41488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0" w:type="dxa"/>
                  <w:vMerge w:val="continue"/>
                  <w:tcBorders>
                    <w:tl2br w:val="nil"/>
                    <w:tr2bl w:val="nil"/>
                  </w:tcBorders>
                  <w:vAlign w:val="center"/>
                </w:tcPr>
                <w:p w14:paraId="7137A461">
                  <w:pPr>
                    <w:spacing w:line="240" w:lineRule="auto"/>
                    <w:ind w:firstLine="0" w:firstLineChars="0"/>
                    <w:jc w:val="center"/>
                    <w:rPr>
                      <w:rFonts w:hint="eastAsia"/>
                      <w:bCs/>
                      <w:sz w:val="21"/>
                      <w:szCs w:val="21"/>
                    </w:rPr>
                  </w:pPr>
                </w:p>
              </w:tc>
              <w:tc>
                <w:tcPr>
                  <w:tcW w:w="1165" w:type="dxa"/>
                  <w:tcBorders>
                    <w:tl2br w:val="nil"/>
                    <w:tr2bl w:val="nil"/>
                  </w:tcBorders>
                  <w:vAlign w:val="center"/>
                </w:tcPr>
                <w:p w14:paraId="5622A39A">
                  <w:pPr>
                    <w:spacing w:line="240" w:lineRule="auto"/>
                    <w:ind w:firstLine="0" w:firstLineChars="0"/>
                    <w:jc w:val="center"/>
                    <w:rPr>
                      <w:rFonts w:hint="eastAsia"/>
                      <w:bCs/>
                      <w:sz w:val="21"/>
                      <w:szCs w:val="21"/>
                    </w:rPr>
                  </w:pPr>
                  <w:r>
                    <w:rPr>
                      <w:rFonts w:hint="eastAsia"/>
                      <w:bCs/>
                      <w:sz w:val="21"/>
                      <w:szCs w:val="21"/>
                      <w:lang w:eastAsia="zh-CN"/>
                    </w:rPr>
                    <w:t>抛丸后清洗机清理废水</w:t>
                  </w:r>
                </w:p>
              </w:tc>
              <w:tc>
                <w:tcPr>
                  <w:tcW w:w="1140" w:type="dxa"/>
                  <w:vMerge w:val="continue"/>
                  <w:tcBorders>
                    <w:tl2br w:val="nil"/>
                    <w:tr2bl w:val="nil"/>
                  </w:tcBorders>
                  <w:vAlign w:val="center"/>
                </w:tcPr>
                <w:p w14:paraId="14AD10E5">
                  <w:pPr>
                    <w:spacing w:line="240" w:lineRule="auto"/>
                    <w:ind w:firstLine="0" w:firstLineChars="0"/>
                    <w:jc w:val="center"/>
                    <w:rPr>
                      <w:rFonts w:hint="eastAsia"/>
                      <w:bCs/>
                      <w:sz w:val="21"/>
                      <w:szCs w:val="21"/>
                    </w:rPr>
                  </w:pPr>
                </w:p>
              </w:tc>
              <w:tc>
                <w:tcPr>
                  <w:tcW w:w="570" w:type="dxa"/>
                  <w:vMerge w:val="continue"/>
                  <w:tcBorders>
                    <w:tl2br w:val="nil"/>
                    <w:tr2bl w:val="nil"/>
                  </w:tcBorders>
                  <w:vAlign w:val="center"/>
                </w:tcPr>
                <w:p w14:paraId="19D13EE4">
                  <w:pPr>
                    <w:spacing w:line="240" w:lineRule="auto"/>
                    <w:ind w:firstLine="0" w:firstLineChars="0"/>
                    <w:jc w:val="center"/>
                    <w:rPr>
                      <w:rFonts w:hint="eastAsia"/>
                      <w:bCs/>
                      <w:sz w:val="21"/>
                      <w:szCs w:val="21"/>
                    </w:rPr>
                  </w:pPr>
                </w:p>
              </w:tc>
              <w:tc>
                <w:tcPr>
                  <w:tcW w:w="765" w:type="dxa"/>
                  <w:vMerge w:val="continue"/>
                  <w:tcBorders>
                    <w:tl2br w:val="nil"/>
                    <w:tr2bl w:val="nil"/>
                  </w:tcBorders>
                  <w:vAlign w:val="center"/>
                </w:tcPr>
                <w:p w14:paraId="38AD35EE">
                  <w:pPr>
                    <w:spacing w:line="240" w:lineRule="auto"/>
                    <w:ind w:firstLine="0" w:firstLineChars="0"/>
                    <w:jc w:val="center"/>
                    <w:rPr>
                      <w:rFonts w:hint="eastAsia"/>
                      <w:bCs/>
                      <w:sz w:val="21"/>
                      <w:szCs w:val="21"/>
                    </w:rPr>
                  </w:pPr>
                </w:p>
              </w:tc>
              <w:tc>
                <w:tcPr>
                  <w:tcW w:w="975" w:type="dxa"/>
                  <w:tcBorders>
                    <w:tl2br w:val="nil"/>
                    <w:tr2bl w:val="nil"/>
                  </w:tcBorders>
                  <w:vAlign w:val="center"/>
                </w:tcPr>
                <w:p w14:paraId="10EBCCF9">
                  <w:pPr>
                    <w:spacing w:line="240" w:lineRule="auto"/>
                    <w:ind w:firstLine="0" w:firstLineChars="0"/>
                    <w:jc w:val="center"/>
                    <w:rPr>
                      <w:rFonts w:hint="eastAsia"/>
                      <w:bCs/>
                      <w:sz w:val="21"/>
                      <w:szCs w:val="21"/>
                      <w:lang w:eastAsia="zh-CN"/>
                    </w:rPr>
                  </w:pPr>
                  <w:r>
                    <w:rPr>
                      <w:rFonts w:hint="eastAsia"/>
                      <w:bCs/>
                      <w:sz w:val="21"/>
                      <w:szCs w:val="21"/>
                      <w:lang w:eastAsia="zh-CN"/>
                    </w:rPr>
                    <w:t>污水处理设施</w:t>
                  </w:r>
                </w:p>
              </w:tc>
              <w:tc>
                <w:tcPr>
                  <w:tcW w:w="1320" w:type="dxa"/>
                  <w:tcBorders>
                    <w:tl2br w:val="nil"/>
                    <w:tr2bl w:val="nil"/>
                  </w:tcBorders>
                  <w:vAlign w:val="center"/>
                </w:tcPr>
                <w:p w14:paraId="71C1B0AA">
                  <w:pPr>
                    <w:spacing w:line="240" w:lineRule="auto"/>
                    <w:ind w:firstLine="0" w:firstLineChars="0"/>
                    <w:jc w:val="center"/>
                    <w:rPr>
                      <w:bCs/>
                      <w:sz w:val="21"/>
                      <w:szCs w:val="21"/>
                    </w:rPr>
                  </w:pPr>
                  <w:r>
                    <w:rPr>
                      <w:rFonts w:hint="eastAsia"/>
                      <w:bCs/>
                      <w:sz w:val="21"/>
                      <w:szCs w:val="21"/>
                      <w:lang w:val="en-US" w:eastAsia="zh-CN"/>
                    </w:rPr>
                    <w:t>隔油+絮凝沉淀</w:t>
                  </w:r>
                </w:p>
              </w:tc>
              <w:tc>
                <w:tcPr>
                  <w:tcW w:w="630" w:type="dxa"/>
                  <w:vMerge w:val="continue"/>
                  <w:tcBorders>
                    <w:tl2br w:val="nil"/>
                    <w:tr2bl w:val="nil"/>
                  </w:tcBorders>
                  <w:vAlign w:val="center"/>
                </w:tcPr>
                <w:p w14:paraId="4317F9D0">
                  <w:pPr>
                    <w:spacing w:line="240" w:lineRule="auto"/>
                    <w:ind w:firstLine="0" w:firstLineChars="0"/>
                    <w:jc w:val="center"/>
                    <w:rPr>
                      <w:rFonts w:hint="eastAsia"/>
                      <w:bCs/>
                      <w:sz w:val="21"/>
                      <w:szCs w:val="21"/>
                    </w:rPr>
                  </w:pPr>
                </w:p>
              </w:tc>
              <w:tc>
                <w:tcPr>
                  <w:tcW w:w="705" w:type="dxa"/>
                  <w:vMerge w:val="continue"/>
                  <w:tcBorders>
                    <w:tl2br w:val="nil"/>
                    <w:tr2bl w:val="nil"/>
                  </w:tcBorders>
                  <w:vAlign w:val="center"/>
                </w:tcPr>
                <w:p w14:paraId="51BC4CD5">
                  <w:pPr>
                    <w:spacing w:line="240" w:lineRule="auto"/>
                    <w:ind w:firstLine="0" w:firstLineChars="0"/>
                    <w:jc w:val="center"/>
                    <w:rPr>
                      <w:rFonts w:hint="eastAsia"/>
                      <w:bCs/>
                      <w:sz w:val="21"/>
                      <w:szCs w:val="21"/>
                    </w:rPr>
                  </w:pPr>
                </w:p>
              </w:tc>
              <w:tc>
                <w:tcPr>
                  <w:tcW w:w="690" w:type="dxa"/>
                  <w:vMerge w:val="continue"/>
                  <w:tcBorders>
                    <w:tl2br w:val="nil"/>
                    <w:tr2bl w:val="nil"/>
                  </w:tcBorders>
                  <w:vAlign w:val="center"/>
                </w:tcPr>
                <w:p w14:paraId="2D1B55BC">
                  <w:pPr>
                    <w:spacing w:line="240" w:lineRule="auto"/>
                    <w:ind w:firstLine="0" w:firstLineChars="0"/>
                    <w:jc w:val="center"/>
                    <w:rPr>
                      <w:rFonts w:hint="eastAsia"/>
                      <w:bCs/>
                      <w:sz w:val="21"/>
                      <w:szCs w:val="21"/>
                    </w:rPr>
                  </w:pPr>
                </w:p>
              </w:tc>
            </w:tr>
            <w:tr w14:paraId="34F66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dxa"/>
                  <w:gridSpan w:val="2"/>
                  <w:tcBorders>
                    <w:tl2br w:val="nil"/>
                    <w:tr2bl w:val="nil"/>
                  </w:tcBorders>
                  <w:vAlign w:val="center"/>
                </w:tcPr>
                <w:p w14:paraId="2AFCBBC2">
                  <w:pPr>
                    <w:spacing w:line="240" w:lineRule="auto"/>
                    <w:ind w:firstLine="0" w:firstLineChars="0"/>
                    <w:jc w:val="center"/>
                    <w:rPr>
                      <w:rFonts w:hint="eastAsia"/>
                      <w:bCs/>
                      <w:sz w:val="21"/>
                      <w:szCs w:val="21"/>
                    </w:rPr>
                  </w:pPr>
                  <w:r>
                    <w:rPr>
                      <w:rFonts w:hint="eastAsia" w:ascii="Times New Roman" w:hAnsi="Times New Roman" w:eastAsia="宋体" w:cs="Times New Roman"/>
                      <w:sz w:val="21"/>
                      <w:szCs w:val="21"/>
                    </w:rPr>
                    <w:t>软化水装置产生的浓盐水</w:t>
                  </w:r>
                </w:p>
              </w:tc>
              <w:tc>
                <w:tcPr>
                  <w:tcW w:w="1140" w:type="dxa"/>
                  <w:vMerge w:val="restart"/>
                  <w:tcBorders>
                    <w:tl2br w:val="nil"/>
                    <w:tr2bl w:val="nil"/>
                  </w:tcBorders>
                  <w:vAlign w:val="center"/>
                </w:tcPr>
                <w:p w14:paraId="6610D0DF">
                  <w:pPr>
                    <w:spacing w:line="240" w:lineRule="auto"/>
                    <w:ind w:firstLine="0" w:firstLineChars="0"/>
                    <w:jc w:val="center"/>
                    <w:rPr>
                      <w:bCs/>
                      <w:sz w:val="21"/>
                      <w:szCs w:val="21"/>
                    </w:rPr>
                  </w:pPr>
                  <w:r>
                    <w:rPr>
                      <w:rFonts w:hint="eastAsia"/>
                      <w:bCs/>
                      <w:sz w:val="21"/>
                      <w:szCs w:val="21"/>
                    </w:rPr>
                    <w:t>COD、SS、BOD</w:t>
                  </w:r>
                  <w:r>
                    <w:rPr>
                      <w:rFonts w:hint="eastAsia"/>
                      <w:bCs/>
                      <w:sz w:val="21"/>
                      <w:szCs w:val="21"/>
                      <w:vertAlign w:val="subscript"/>
                    </w:rPr>
                    <w:t>5</w:t>
                  </w:r>
                  <w:r>
                    <w:rPr>
                      <w:rFonts w:hint="eastAsia"/>
                      <w:bCs/>
                      <w:sz w:val="21"/>
                      <w:szCs w:val="21"/>
                    </w:rPr>
                    <w:t>、氨氮</w:t>
                  </w:r>
                </w:p>
              </w:tc>
              <w:tc>
                <w:tcPr>
                  <w:tcW w:w="570" w:type="dxa"/>
                  <w:vMerge w:val="continue"/>
                  <w:tcBorders>
                    <w:tl2br w:val="nil"/>
                    <w:tr2bl w:val="nil"/>
                  </w:tcBorders>
                  <w:vAlign w:val="center"/>
                </w:tcPr>
                <w:p w14:paraId="225241E1">
                  <w:pPr>
                    <w:spacing w:line="240" w:lineRule="auto"/>
                    <w:ind w:firstLine="0" w:firstLineChars="0"/>
                    <w:jc w:val="center"/>
                    <w:rPr>
                      <w:bCs/>
                      <w:sz w:val="21"/>
                      <w:szCs w:val="21"/>
                    </w:rPr>
                  </w:pPr>
                </w:p>
              </w:tc>
              <w:tc>
                <w:tcPr>
                  <w:tcW w:w="765" w:type="dxa"/>
                  <w:vMerge w:val="restart"/>
                  <w:tcBorders>
                    <w:tl2br w:val="nil"/>
                    <w:tr2bl w:val="nil"/>
                  </w:tcBorders>
                  <w:vAlign w:val="center"/>
                </w:tcPr>
                <w:p w14:paraId="18D34C87">
                  <w:pPr>
                    <w:spacing w:line="240" w:lineRule="auto"/>
                    <w:ind w:firstLine="0" w:firstLineChars="0"/>
                    <w:jc w:val="center"/>
                    <w:rPr>
                      <w:bCs/>
                      <w:sz w:val="21"/>
                      <w:szCs w:val="21"/>
                    </w:rPr>
                  </w:pPr>
                  <w:r>
                    <w:rPr>
                      <w:rFonts w:hint="eastAsia"/>
                      <w:bCs/>
                      <w:sz w:val="21"/>
                      <w:szCs w:val="21"/>
                      <w:lang w:eastAsia="zh-CN"/>
                    </w:rPr>
                    <w:t>直接</w:t>
                  </w:r>
                  <w:r>
                    <w:rPr>
                      <w:rFonts w:hint="eastAsia"/>
                      <w:bCs/>
                      <w:sz w:val="21"/>
                      <w:szCs w:val="21"/>
                    </w:rPr>
                    <w:t>排放、流量稳定</w:t>
                  </w:r>
                </w:p>
              </w:tc>
              <w:tc>
                <w:tcPr>
                  <w:tcW w:w="975" w:type="dxa"/>
                  <w:tcBorders>
                    <w:tl2br w:val="nil"/>
                    <w:tr2bl w:val="nil"/>
                  </w:tcBorders>
                  <w:vAlign w:val="center"/>
                </w:tcPr>
                <w:p w14:paraId="57BBC679">
                  <w:pPr>
                    <w:spacing w:line="240" w:lineRule="auto"/>
                    <w:ind w:firstLine="0" w:firstLineChars="0"/>
                    <w:jc w:val="center"/>
                    <w:rPr>
                      <w:rFonts w:hint="eastAsia" w:eastAsia="宋体"/>
                      <w:bCs/>
                      <w:sz w:val="21"/>
                      <w:szCs w:val="21"/>
                      <w:lang w:eastAsia="zh-CN"/>
                    </w:rPr>
                  </w:pPr>
                  <w:r>
                    <w:rPr>
                      <w:rFonts w:hint="eastAsia"/>
                      <w:sz w:val="21"/>
                      <w:szCs w:val="21"/>
                      <w:highlight w:val="none"/>
                      <w:lang w:eastAsia="zh-CN"/>
                    </w:rPr>
                    <w:t>-</w:t>
                  </w:r>
                </w:p>
              </w:tc>
              <w:tc>
                <w:tcPr>
                  <w:tcW w:w="1320" w:type="dxa"/>
                  <w:tcBorders>
                    <w:tl2br w:val="nil"/>
                    <w:tr2bl w:val="nil"/>
                  </w:tcBorders>
                  <w:vAlign w:val="center"/>
                </w:tcPr>
                <w:p w14:paraId="1F151D96">
                  <w:pPr>
                    <w:spacing w:line="240" w:lineRule="auto"/>
                    <w:ind w:firstLine="0" w:firstLineChars="0"/>
                    <w:jc w:val="center"/>
                    <w:rPr>
                      <w:rFonts w:hint="eastAsia" w:eastAsia="宋体"/>
                      <w:bCs/>
                      <w:sz w:val="21"/>
                      <w:szCs w:val="21"/>
                      <w:lang w:eastAsia="zh-CN"/>
                    </w:rPr>
                  </w:pPr>
                  <w:r>
                    <w:rPr>
                      <w:rFonts w:hint="eastAsia"/>
                      <w:sz w:val="21"/>
                      <w:szCs w:val="21"/>
                      <w:highlight w:val="none"/>
                      <w:lang w:eastAsia="zh-CN"/>
                    </w:rPr>
                    <w:t>-</w:t>
                  </w:r>
                </w:p>
              </w:tc>
              <w:tc>
                <w:tcPr>
                  <w:tcW w:w="630" w:type="dxa"/>
                  <w:vMerge w:val="continue"/>
                  <w:tcBorders>
                    <w:tl2br w:val="nil"/>
                    <w:tr2bl w:val="nil"/>
                  </w:tcBorders>
                  <w:vAlign w:val="center"/>
                </w:tcPr>
                <w:p w14:paraId="3C82A1A7">
                  <w:pPr>
                    <w:spacing w:line="240" w:lineRule="auto"/>
                    <w:ind w:firstLine="0" w:firstLineChars="0"/>
                    <w:jc w:val="center"/>
                    <w:rPr>
                      <w:bCs/>
                      <w:sz w:val="21"/>
                      <w:szCs w:val="21"/>
                    </w:rPr>
                  </w:pPr>
                </w:p>
              </w:tc>
              <w:tc>
                <w:tcPr>
                  <w:tcW w:w="705" w:type="dxa"/>
                  <w:vMerge w:val="continue"/>
                  <w:tcBorders>
                    <w:tl2br w:val="nil"/>
                    <w:tr2bl w:val="nil"/>
                  </w:tcBorders>
                  <w:vAlign w:val="center"/>
                </w:tcPr>
                <w:p w14:paraId="77A21334">
                  <w:pPr>
                    <w:spacing w:line="240" w:lineRule="auto"/>
                    <w:ind w:firstLine="0" w:firstLineChars="0"/>
                    <w:jc w:val="center"/>
                    <w:rPr>
                      <w:bCs/>
                      <w:sz w:val="21"/>
                      <w:szCs w:val="21"/>
                    </w:rPr>
                  </w:pPr>
                </w:p>
              </w:tc>
              <w:tc>
                <w:tcPr>
                  <w:tcW w:w="690" w:type="dxa"/>
                  <w:vMerge w:val="continue"/>
                  <w:tcBorders>
                    <w:tl2br w:val="nil"/>
                    <w:tr2bl w:val="nil"/>
                  </w:tcBorders>
                  <w:vAlign w:val="center"/>
                </w:tcPr>
                <w:p w14:paraId="7251396F">
                  <w:pPr>
                    <w:spacing w:line="240" w:lineRule="auto"/>
                    <w:ind w:firstLine="0" w:firstLineChars="0"/>
                    <w:jc w:val="center"/>
                    <w:rPr>
                      <w:bCs/>
                      <w:sz w:val="21"/>
                      <w:szCs w:val="21"/>
                    </w:rPr>
                  </w:pPr>
                </w:p>
              </w:tc>
            </w:tr>
            <w:tr w14:paraId="293FF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5" w:type="dxa"/>
                  <w:gridSpan w:val="2"/>
                  <w:tcBorders>
                    <w:tl2br w:val="nil"/>
                    <w:tr2bl w:val="nil"/>
                  </w:tcBorders>
                  <w:vAlign w:val="center"/>
                </w:tcPr>
                <w:p w14:paraId="5BF629C3">
                  <w:pPr>
                    <w:spacing w:line="240" w:lineRule="auto"/>
                    <w:ind w:firstLine="0" w:firstLineChars="0"/>
                    <w:jc w:val="center"/>
                    <w:rPr>
                      <w:rFonts w:hint="eastAsia" w:eastAsia="宋体"/>
                      <w:bCs/>
                      <w:sz w:val="21"/>
                      <w:szCs w:val="21"/>
                      <w:lang w:eastAsia="zh-CN"/>
                    </w:rPr>
                  </w:pPr>
                  <w:r>
                    <w:rPr>
                      <w:rFonts w:hint="eastAsia" w:ascii="Times New Roman" w:hAnsi="Times New Roman" w:eastAsia="宋体" w:cs="Times New Roman"/>
                      <w:sz w:val="21"/>
                      <w:szCs w:val="21"/>
                    </w:rPr>
                    <w:t>蓄热式电锅炉排污水</w:t>
                  </w:r>
                </w:p>
              </w:tc>
              <w:tc>
                <w:tcPr>
                  <w:tcW w:w="1140" w:type="dxa"/>
                  <w:vMerge w:val="continue"/>
                  <w:tcBorders>
                    <w:tl2br w:val="nil"/>
                    <w:tr2bl w:val="nil"/>
                  </w:tcBorders>
                  <w:vAlign w:val="center"/>
                </w:tcPr>
                <w:p w14:paraId="409A5C09">
                  <w:pPr>
                    <w:spacing w:line="240" w:lineRule="auto"/>
                    <w:ind w:firstLine="0" w:firstLineChars="0"/>
                    <w:jc w:val="center"/>
                    <w:rPr>
                      <w:rFonts w:hint="eastAsia"/>
                      <w:bCs/>
                      <w:sz w:val="21"/>
                      <w:szCs w:val="21"/>
                    </w:rPr>
                  </w:pPr>
                </w:p>
              </w:tc>
              <w:tc>
                <w:tcPr>
                  <w:tcW w:w="570" w:type="dxa"/>
                  <w:vMerge w:val="continue"/>
                  <w:tcBorders>
                    <w:tl2br w:val="nil"/>
                    <w:tr2bl w:val="nil"/>
                  </w:tcBorders>
                  <w:vAlign w:val="center"/>
                </w:tcPr>
                <w:p w14:paraId="340718D8">
                  <w:pPr>
                    <w:spacing w:line="240" w:lineRule="auto"/>
                    <w:ind w:firstLine="0" w:firstLineChars="0"/>
                    <w:jc w:val="center"/>
                    <w:rPr>
                      <w:rFonts w:hint="eastAsia"/>
                      <w:bCs/>
                      <w:sz w:val="21"/>
                      <w:szCs w:val="21"/>
                    </w:rPr>
                  </w:pPr>
                </w:p>
              </w:tc>
              <w:tc>
                <w:tcPr>
                  <w:tcW w:w="765" w:type="dxa"/>
                  <w:vMerge w:val="continue"/>
                  <w:tcBorders>
                    <w:tl2br w:val="nil"/>
                    <w:tr2bl w:val="nil"/>
                  </w:tcBorders>
                  <w:vAlign w:val="center"/>
                </w:tcPr>
                <w:p w14:paraId="6479BCA1">
                  <w:pPr>
                    <w:spacing w:line="240" w:lineRule="auto"/>
                    <w:ind w:firstLine="0" w:firstLineChars="0"/>
                    <w:jc w:val="center"/>
                    <w:rPr>
                      <w:rFonts w:hint="eastAsia"/>
                      <w:bCs/>
                      <w:sz w:val="21"/>
                      <w:szCs w:val="21"/>
                    </w:rPr>
                  </w:pPr>
                </w:p>
              </w:tc>
              <w:tc>
                <w:tcPr>
                  <w:tcW w:w="975" w:type="dxa"/>
                  <w:tcBorders>
                    <w:tl2br w:val="nil"/>
                    <w:tr2bl w:val="nil"/>
                  </w:tcBorders>
                  <w:vAlign w:val="center"/>
                </w:tcPr>
                <w:p w14:paraId="36A98979">
                  <w:pPr>
                    <w:spacing w:line="240" w:lineRule="auto"/>
                    <w:ind w:firstLine="0" w:firstLineChars="0"/>
                    <w:jc w:val="center"/>
                    <w:rPr>
                      <w:rFonts w:hint="eastAsia" w:eastAsia="宋体"/>
                      <w:bCs/>
                      <w:sz w:val="21"/>
                      <w:szCs w:val="21"/>
                      <w:lang w:eastAsia="zh-CN"/>
                    </w:rPr>
                  </w:pPr>
                  <w:r>
                    <w:rPr>
                      <w:rFonts w:hint="eastAsia"/>
                      <w:sz w:val="21"/>
                      <w:szCs w:val="21"/>
                      <w:highlight w:val="none"/>
                      <w:lang w:eastAsia="zh-CN"/>
                    </w:rPr>
                    <w:t>-</w:t>
                  </w:r>
                </w:p>
              </w:tc>
              <w:tc>
                <w:tcPr>
                  <w:tcW w:w="1320" w:type="dxa"/>
                  <w:tcBorders>
                    <w:tl2br w:val="nil"/>
                    <w:tr2bl w:val="nil"/>
                  </w:tcBorders>
                  <w:vAlign w:val="center"/>
                </w:tcPr>
                <w:p w14:paraId="43EDC2A4">
                  <w:pPr>
                    <w:spacing w:line="240" w:lineRule="auto"/>
                    <w:ind w:firstLine="0" w:firstLineChars="0"/>
                    <w:jc w:val="center"/>
                    <w:rPr>
                      <w:rFonts w:hint="eastAsia" w:eastAsia="宋体"/>
                      <w:bCs/>
                      <w:sz w:val="21"/>
                      <w:szCs w:val="21"/>
                      <w:lang w:eastAsia="zh-CN"/>
                    </w:rPr>
                  </w:pPr>
                  <w:r>
                    <w:rPr>
                      <w:rFonts w:hint="eastAsia"/>
                      <w:sz w:val="21"/>
                      <w:szCs w:val="21"/>
                      <w:highlight w:val="none"/>
                      <w:lang w:eastAsia="zh-CN"/>
                    </w:rPr>
                    <w:t>-</w:t>
                  </w:r>
                </w:p>
              </w:tc>
              <w:tc>
                <w:tcPr>
                  <w:tcW w:w="630" w:type="dxa"/>
                  <w:vMerge w:val="continue"/>
                  <w:tcBorders>
                    <w:tl2br w:val="nil"/>
                    <w:tr2bl w:val="nil"/>
                  </w:tcBorders>
                  <w:vAlign w:val="center"/>
                </w:tcPr>
                <w:p w14:paraId="303965D5">
                  <w:pPr>
                    <w:spacing w:line="240" w:lineRule="auto"/>
                    <w:ind w:firstLine="0" w:firstLineChars="0"/>
                    <w:jc w:val="center"/>
                    <w:rPr>
                      <w:bCs/>
                      <w:sz w:val="21"/>
                      <w:szCs w:val="21"/>
                    </w:rPr>
                  </w:pPr>
                </w:p>
              </w:tc>
              <w:tc>
                <w:tcPr>
                  <w:tcW w:w="705" w:type="dxa"/>
                  <w:vMerge w:val="continue"/>
                  <w:tcBorders>
                    <w:tl2br w:val="nil"/>
                    <w:tr2bl w:val="nil"/>
                  </w:tcBorders>
                  <w:vAlign w:val="center"/>
                </w:tcPr>
                <w:p w14:paraId="620008E8">
                  <w:pPr>
                    <w:spacing w:line="240" w:lineRule="auto"/>
                    <w:ind w:firstLine="0" w:firstLineChars="0"/>
                    <w:jc w:val="center"/>
                    <w:rPr>
                      <w:bCs/>
                      <w:sz w:val="21"/>
                      <w:szCs w:val="21"/>
                    </w:rPr>
                  </w:pPr>
                </w:p>
              </w:tc>
              <w:tc>
                <w:tcPr>
                  <w:tcW w:w="690" w:type="dxa"/>
                  <w:vMerge w:val="continue"/>
                  <w:tcBorders>
                    <w:tl2br w:val="nil"/>
                    <w:tr2bl w:val="nil"/>
                  </w:tcBorders>
                  <w:vAlign w:val="center"/>
                </w:tcPr>
                <w:p w14:paraId="1A4CE00C">
                  <w:pPr>
                    <w:spacing w:line="240" w:lineRule="auto"/>
                    <w:ind w:firstLine="0" w:firstLineChars="0"/>
                    <w:jc w:val="center"/>
                    <w:rPr>
                      <w:bCs/>
                      <w:sz w:val="21"/>
                      <w:szCs w:val="21"/>
                    </w:rPr>
                  </w:pPr>
                </w:p>
              </w:tc>
            </w:tr>
            <w:tr w14:paraId="42DB1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605" w:type="dxa"/>
                  <w:gridSpan w:val="2"/>
                  <w:tcBorders>
                    <w:tl2br w:val="nil"/>
                    <w:tr2bl w:val="nil"/>
                  </w:tcBorders>
                  <w:vAlign w:val="center"/>
                </w:tcPr>
                <w:p w14:paraId="4EB996D7">
                  <w:pPr>
                    <w:spacing w:line="240" w:lineRule="auto"/>
                    <w:ind w:firstLine="0" w:firstLineChars="0"/>
                    <w:jc w:val="center"/>
                    <w:rPr>
                      <w:rFonts w:hint="eastAsia" w:eastAsia="宋体"/>
                      <w:bCs/>
                      <w:sz w:val="21"/>
                      <w:szCs w:val="21"/>
                      <w:lang w:val="en-US" w:eastAsia="zh-CN"/>
                    </w:rPr>
                  </w:pPr>
                  <w:r>
                    <w:rPr>
                      <w:rFonts w:hint="eastAsia"/>
                      <w:bCs/>
                      <w:sz w:val="21"/>
                      <w:szCs w:val="21"/>
                    </w:rPr>
                    <w:t>生活污水</w:t>
                  </w:r>
                </w:p>
              </w:tc>
              <w:tc>
                <w:tcPr>
                  <w:tcW w:w="1140" w:type="dxa"/>
                  <w:tcBorders>
                    <w:tl2br w:val="nil"/>
                    <w:tr2bl w:val="nil"/>
                  </w:tcBorders>
                  <w:vAlign w:val="center"/>
                </w:tcPr>
                <w:p w14:paraId="4F59B018">
                  <w:pPr>
                    <w:spacing w:line="240" w:lineRule="auto"/>
                    <w:ind w:firstLine="0" w:firstLineChars="0"/>
                    <w:jc w:val="center"/>
                    <w:rPr>
                      <w:bCs/>
                      <w:sz w:val="21"/>
                      <w:szCs w:val="21"/>
                    </w:rPr>
                  </w:pPr>
                  <w:r>
                    <w:rPr>
                      <w:rFonts w:hint="eastAsia"/>
                      <w:bCs/>
                      <w:sz w:val="21"/>
                      <w:szCs w:val="21"/>
                    </w:rPr>
                    <w:t>COD、SS、BOD</w:t>
                  </w:r>
                  <w:r>
                    <w:rPr>
                      <w:rFonts w:hint="eastAsia"/>
                      <w:bCs/>
                      <w:sz w:val="21"/>
                      <w:szCs w:val="21"/>
                      <w:vertAlign w:val="subscript"/>
                    </w:rPr>
                    <w:t>5</w:t>
                  </w:r>
                  <w:r>
                    <w:rPr>
                      <w:rFonts w:hint="eastAsia"/>
                      <w:bCs/>
                      <w:sz w:val="21"/>
                      <w:szCs w:val="21"/>
                    </w:rPr>
                    <w:t>、氨氮、动植物油类</w:t>
                  </w:r>
                </w:p>
              </w:tc>
              <w:tc>
                <w:tcPr>
                  <w:tcW w:w="570" w:type="dxa"/>
                  <w:vMerge w:val="continue"/>
                  <w:tcBorders>
                    <w:tl2br w:val="nil"/>
                    <w:tr2bl w:val="nil"/>
                  </w:tcBorders>
                  <w:vAlign w:val="center"/>
                </w:tcPr>
                <w:p w14:paraId="7E749B28">
                  <w:pPr>
                    <w:spacing w:line="240" w:lineRule="auto"/>
                    <w:ind w:firstLine="0" w:firstLineChars="0"/>
                    <w:jc w:val="center"/>
                    <w:rPr>
                      <w:bCs/>
                      <w:sz w:val="21"/>
                      <w:szCs w:val="21"/>
                    </w:rPr>
                  </w:pPr>
                </w:p>
              </w:tc>
              <w:tc>
                <w:tcPr>
                  <w:tcW w:w="765" w:type="dxa"/>
                  <w:tcBorders>
                    <w:tl2br w:val="nil"/>
                    <w:tr2bl w:val="nil"/>
                  </w:tcBorders>
                  <w:vAlign w:val="center"/>
                </w:tcPr>
                <w:p w14:paraId="5659E687">
                  <w:pPr>
                    <w:spacing w:line="240" w:lineRule="auto"/>
                    <w:ind w:firstLine="0" w:firstLineChars="0"/>
                    <w:jc w:val="center"/>
                    <w:rPr>
                      <w:bCs/>
                      <w:sz w:val="21"/>
                      <w:szCs w:val="21"/>
                    </w:rPr>
                  </w:pPr>
                  <w:r>
                    <w:rPr>
                      <w:rFonts w:hint="eastAsia"/>
                      <w:bCs/>
                      <w:sz w:val="21"/>
                      <w:szCs w:val="21"/>
                    </w:rPr>
                    <w:t>连续排放、流量稳定</w:t>
                  </w:r>
                </w:p>
              </w:tc>
              <w:tc>
                <w:tcPr>
                  <w:tcW w:w="975" w:type="dxa"/>
                  <w:tcBorders>
                    <w:tl2br w:val="nil"/>
                    <w:tr2bl w:val="nil"/>
                  </w:tcBorders>
                  <w:vAlign w:val="center"/>
                </w:tcPr>
                <w:p w14:paraId="29DB819D">
                  <w:pPr>
                    <w:spacing w:line="240" w:lineRule="auto"/>
                    <w:ind w:firstLine="0" w:firstLineChars="0"/>
                    <w:jc w:val="center"/>
                    <w:rPr>
                      <w:rFonts w:hint="eastAsia" w:eastAsia="宋体"/>
                      <w:bCs/>
                      <w:sz w:val="21"/>
                      <w:szCs w:val="21"/>
                      <w:lang w:eastAsia="zh-CN"/>
                    </w:rPr>
                  </w:pPr>
                  <w:r>
                    <w:rPr>
                      <w:rFonts w:hint="eastAsia"/>
                      <w:bCs/>
                      <w:sz w:val="21"/>
                      <w:szCs w:val="21"/>
                      <w:lang w:eastAsia="zh-CN"/>
                    </w:rPr>
                    <w:t>隔油池（食堂）</w:t>
                  </w:r>
                </w:p>
              </w:tc>
              <w:tc>
                <w:tcPr>
                  <w:tcW w:w="1320" w:type="dxa"/>
                  <w:tcBorders>
                    <w:tl2br w:val="nil"/>
                    <w:tr2bl w:val="nil"/>
                  </w:tcBorders>
                  <w:vAlign w:val="center"/>
                </w:tcPr>
                <w:p w14:paraId="162A3F79">
                  <w:pPr>
                    <w:spacing w:line="240" w:lineRule="auto"/>
                    <w:ind w:firstLine="0" w:firstLineChars="0"/>
                    <w:jc w:val="center"/>
                    <w:rPr>
                      <w:rFonts w:hint="eastAsia" w:eastAsia="宋体"/>
                      <w:bCs/>
                      <w:sz w:val="21"/>
                      <w:szCs w:val="21"/>
                      <w:lang w:eastAsia="zh-CN"/>
                    </w:rPr>
                  </w:pPr>
                  <w:r>
                    <w:rPr>
                      <w:rFonts w:hint="eastAsia"/>
                      <w:bCs/>
                      <w:sz w:val="21"/>
                      <w:szCs w:val="21"/>
                      <w:lang w:eastAsia="zh-CN"/>
                    </w:rPr>
                    <w:t>油水分离（食堂）</w:t>
                  </w:r>
                </w:p>
              </w:tc>
              <w:tc>
                <w:tcPr>
                  <w:tcW w:w="630" w:type="dxa"/>
                  <w:vMerge w:val="continue"/>
                  <w:tcBorders>
                    <w:tl2br w:val="nil"/>
                    <w:tr2bl w:val="nil"/>
                  </w:tcBorders>
                  <w:vAlign w:val="center"/>
                </w:tcPr>
                <w:p w14:paraId="3C955EB3">
                  <w:pPr>
                    <w:spacing w:line="240" w:lineRule="auto"/>
                    <w:ind w:firstLine="0" w:firstLineChars="0"/>
                    <w:jc w:val="center"/>
                    <w:rPr>
                      <w:bCs/>
                      <w:sz w:val="21"/>
                      <w:szCs w:val="21"/>
                    </w:rPr>
                  </w:pPr>
                </w:p>
              </w:tc>
              <w:tc>
                <w:tcPr>
                  <w:tcW w:w="705" w:type="dxa"/>
                  <w:vMerge w:val="continue"/>
                  <w:tcBorders>
                    <w:tl2br w:val="nil"/>
                    <w:tr2bl w:val="nil"/>
                  </w:tcBorders>
                  <w:vAlign w:val="center"/>
                </w:tcPr>
                <w:p w14:paraId="7238F7A0">
                  <w:pPr>
                    <w:spacing w:line="240" w:lineRule="auto"/>
                    <w:ind w:firstLine="0" w:firstLineChars="0"/>
                    <w:jc w:val="center"/>
                    <w:rPr>
                      <w:bCs/>
                      <w:sz w:val="21"/>
                      <w:szCs w:val="21"/>
                    </w:rPr>
                  </w:pPr>
                </w:p>
              </w:tc>
              <w:tc>
                <w:tcPr>
                  <w:tcW w:w="690" w:type="dxa"/>
                  <w:vMerge w:val="continue"/>
                  <w:tcBorders>
                    <w:tl2br w:val="nil"/>
                    <w:tr2bl w:val="nil"/>
                  </w:tcBorders>
                  <w:vAlign w:val="center"/>
                </w:tcPr>
                <w:p w14:paraId="476050B0">
                  <w:pPr>
                    <w:spacing w:line="240" w:lineRule="auto"/>
                    <w:ind w:firstLine="0" w:firstLineChars="0"/>
                    <w:jc w:val="center"/>
                    <w:rPr>
                      <w:bCs/>
                      <w:sz w:val="21"/>
                      <w:szCs w:val="21"/>
                    </w:rPr>
                  </w:pPr>
                </w:p>
              </w:tc>
            </w:tr>
          </w:tbl>
          <w:p w14:paraId="6D4DA036">
            <w:pPr>
              <w:ind w:firstLine="480"/>
            </w:pPr>
            <w:r>
              <w:rPr>
                <w:rFonts w:hint="eastAsia"/>
              </w:rPr>
              <w:t>综上所述，本项目废水可达标排放，且废水有明确的去向，不会对周围地表水环境造成明显影响。</w:t>
            </w:r>
          </w:p>
          <w:p w14:paraId="6E4962E0">
            <w:pPr>
              <w:adjustRightInd w:val="0"/>
              <w:snapToGrid w:val="0"/>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三、噪声</w:t>
            </w:r>
          </w:p>
          <w:p w14:paraId="7762F7A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1、本项目噪声污染源分析</w:t>
            </w:r>
          </w:p>
          <w:p w14:paraId="4A76236C">
            <w:pPr>
              <w:topLinePunct/>
              <w:ind w:firstLine="480"/>
              <w:rPr>
                <w:color w:val="000000" w:themeColor="text1"/>
                <w14:textFill>
                  <w14:solidFill>
                    <w14:schemeClr w14:val="tx1"/>
                  </w14:solidFill>
                </w14:textFill>
              </w:rPr>
            </w:pPr>
            <w:r>
              <w:rPr>
                <w:color w:val="000000" w:themeColor="text1"/>
                <w14:textFill>
                  <w14:solidFill>
                    <w14:schemeClr w14:val="tx1"/>
                  </w14:solidFill>
                </w14:textFill>
              </w:rPr>
              <w:t>本项目营运期主要噪声源为</w:t>
            </w:r>
            <w:r>
              <w:rPr>
                <w:rFonts w:hint="eastAsia"/>
                <w:color w:val="000000" w:themeColor="text1"/>
                <w14:textFill>
                  <w14:solidFill>
                    <w14:schemeClr w14:val="tx1"/>
                  </w14:solidFill>
                </w14:textFill>
              </w:rPr>
              <w:t>锯床、立式钻床、数控车床、立式加工中心、立式数控铣床、卧式拉床、立式拉床、滚齿机、数控滚齿机、数控插齿机、插齿机、剃齿机、数控倒角机、电火花切割机、打砂机、抛丸机、外圆磨床、平面磨床、数控内圆磨床、风机、空压机等</w:t>
            </w:r>
            <w:r>
              <w:rPr>
                <w:color w:val="000000" w:themeColor="text1"/>
                <w14:textFill>
                  <w14:solidFill>
                    <w14:schemeClr w14:val="tx1"/>
                  </w14:solidFill>
                </w14:textFill>
              </w:rPr>
              <w:t>运行时产生的噪声，设备噪声源强</w:t>
            </w:r>
            <w:r>
              <w:rPr>
                <w:rFonts w:hint="eastAsia"/>
                <w:color w:val="000000" w:themeColor="text1"/>
                <w14:textFill>
                  <w14:solidFill>
                    <w14:schemeClr w14:val="tx1"/>
                  </w14:solidFill>
                </w14:textFill>
              </w:rPr>
              <w:t>为80</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85dB</w:t>
            </w:r>
            <w:r>
              <w:rPr>
                <w:color w:val="000000" w:themeColor="text1"/>
                <w14:textFill>
                  <w14:solidFill>
                    <w14:schemeClr w14:val="tx1"/>
                  </w14:solidFill>
                </w14:textFill>
              </w:rPr>
              <w:t>（A），采取基础</w:t>
            </w:r>
            <w:r>
              <w:rPr>
                <w:rFonts w:hint="eastAsia"/>
                <w:color w:val="000000" w:themeColor="text1"/>
                <w14:textFill>
                  <w14:solidFill>
                    <w14:schemeClr w14:val="tx1"/>
                  </w14:solidFill>
                </w14:textFill>
              </w:rPr>
              <w:t>减振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厂房隔声、距离衰减</w:t>
            </w:r>
            <w:r>
              <w:rPr>
                <w:color w:val="000000" w:themeColor="text1"/>
                <w14:textFill>
                  <w14:solidFill>
                    <w14:schemeClr w14:val="tx1"/>
                  </w14:solidFill>
                </w14:textFill>
              </w:rPr>
              <w:t>等措施，本项目主要设备噪声源强及治理措施见下表</w:t>
            </w:r>
            <w:r>
              <w:rPr>
                <w:rFonts w:hint="eastAsia"/>
                <w:color w:val="000000" w:themeColor="text1"/>
                <w14:textFill>
                  <w14:solidFill>
                    <w14:schemeClr w14:val="tx1"/>
                  </w14:solidFill>
                </w14:textFill>
              </w:rPr>
              <w:t>。</w:t>
            </w:r>
          </w:p>
          <w:p w14:paraId="6A318542">
            <w:pPr>
              <w:autoSpaceDE w:val="0"/>
              <w:autoSpaceDN w:val="0"/>
              <w:adjustRightInd w:val="0"/>
              <w:snapToGrid w:val="0"/>
              <w:ind w:firstLine="0" w:firstLineChars="0"/>
              <w:jc w:val="center"/>
              <w:rPr>
                <w:rStyle w:val="47"/>
                <w:sz w:val="21"/>
                <w:szCs w:val="21"/>
              </w:rPr>
            </w:pPr>
            <w:r>
              <w:rPr>
                <w:rStyle w:val="47"/>
                <w:sz w:val="21"/>
                <w:szCs w:val="21"/>
              </w:rPr>
              <w:t>表</w:t>
            </w:r>
            <w:r>
              <w:rPr>
                <w:rStyle w:val="47"/>
                <w:rFonts w:hint="eastAsia"/>
                <w:sz w:val="21"/>
                <w:szCs w:val="21"/>
              </w:rPr>
              <w:t xml:space="preserve">4-12 </w:t>
            </w:r>
            <w:r>
              <w:rPr>
                <w:rStyle w:val="47"/>
                <w:sz w:val="21"/>
                <w:szCs w:val="21"/>
              </w:rPr>
              <w:t xml:space="preserve"> 噪声污染源及治理措施</w:t>
            </w:r>
          </w:p>
          <w:tbl>
            <w:tblPr>
              <w:tblStyle w:val="22"/>
              <w:tblW w:w="83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7"/>
              <w:gridCol w:w="2219"/>
              <w:gridCol w:w="792"/>
              <w:gridCol w:w="940"/>
              <w:gridCol w:w="1237"/>
              <w:gridCol w:w="1283"/>
              <w:gridCol w:w="1195"/>
            </w:tblGrid>
            <w:tr w14:paraId="112CA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5DC7CFFF">
                  <w:pPr>
                    <w:pStyle w:val="31"/>
                    <w:rPr>
                      <w:sz w:val="21"/>
                    </w:rPr>
                  </w:pPr>
                  <w:r>
                    <w:rPr>
                      <w:sz w:val="21"/>
                    </w:rPr>
                    <w:t>序号</w:t>
                  </w:r>
                </w:p>
              </w:tc>
              <w:tc>
                <w:tcPr>
                  <w:tcW w:w="2219" w:type="dxa"/>
                  <w:tcBorders>
                    <w:tl2br w:val="nil"/>
                    <w:tr2bl w:val="nil"/>
                  </w:tcBorders>
                  <w:noWrap/>
                  <w:tcMar>
                    <w:top w:w="15" w:type="dxa"/>
                    <w:left w:w="15" w:type="dxa"/>
                    <w:right w:w="15" w:type="dxa"/>
                  </w:tcMar>
                  <w:vAlign w:val="center"/>
                </w:tcPr>
                <w:p w14:paraId="636DC6AE">
                  <w:pPr>
                    <w:pStyle w:val="31"/>
                    <w:rPr>
                      <w:sz w:val="21"/>
                    </w:rPr>
                  </w:pPr>
                  <w:r>
                    <w:rPr>
                      <w:sz w:val="21"/>
                    </w:rPr>
                    <w:t>设备名称</w:t>
                  </w:r>
                </w:p>
              </w:tc>
              <w:tc>
                <w:tcPr>
                  <w:tcW w:w="792" w:type="dxa"/>
                  <w:tcBorders>
                    <w:tl2br w:val="nil"/>
                    <w:tr2bl w:val="nil"/>
                  </w:tcBorders>
                  <w:noWrap/>
                  <w:tcMar>
                    <w:top w:w="15" w:type="dxa"/>
                    <w:left w:w="15" w:type="dxa"/>
                    <w:right w:w="15" w:type="dxa"/>
                  </w:tcMar>
                  <w:vAlign w:val="center"/>
                </w:tcPr>
                <w:p w14:paraId="686446EF">
                  <w:pPr>
                    <w:pStyle w:val="31"/>
                    <w:rPr>
                      <w:sz w:val="21"/>
                    </w:rPr>
                  </w:pPr>
                  <w:r>
                    <w:rPr>
                      <w:sz w:val="21"/>
                    </w:rPr>
                    <w:t>数量（台）</w:t>
                  </w:r>
                </w:p>
              </w:tc>
              <w:tc>
                <w:tcPr>
                  <w:tcW w:w="940" w:type="dxa"/>
                  <w:tcBorders>
                    <w:tl2br w:val="nil"/>
                    <w:tr2bl w:val="nil"/>
                  </w:tcBorders>
                  <w:noWrap/>
                  <w:tcMar>
                    <w:top w:w="15" w:type="dxa"/>
                    <w:left w:w="15" w:type="dxa"/>
                    <w:right w:w="15" w:type="dxa"/>
                  </w:tcMar>
                  <w:vAlign w:val="center"/>
                </w:tcPr>
                <w:p w14:paraId="5B023D1F">
                  <w:pPr>
                    <w:pStyle w:val="31"/>
                    <w:rPr>
                      <w:sz w:val="21"/>
                    </w:rPr>
                  </w:pPr>
                  <w:r>
                    <w:rPr>
                      <w:rFonts w:hint="eastAsia"/>
                      <w:sz w:val="21"/>
                    </w:rPr>
                    <w:t>产生强度</w:t>
                  </w:r>
                  <w:r>
                    <w:rPr>
                      <w:sz w:val="21"/>
                    </w:rPr>
                    <w:t>dB（A）</w:t>
                  </w:r>
                </w:p>
              </w:tc>
              <w:tc>
                <w:tcPr>
                  <w:tcW w:w="1237" w:type="dxa"/>
                  <w:tcBorders>
                    <w:tl2br w:val="nil"/>
                    <w:tr2bl w:val="nil"/>
                  </w:tcBorders>
                  <w:noWrap/>
                  <w:tcMar>
                    <w:top w:w="15" w:type="dxa"/>
                    <w:left w:w="15" w:type="dxa"/>
                    <w:right w:w="15" w:type="dxa"/>
                  </w:tcMar>
                  <w:vAlign w:val="center"/>
                </w:tcPr>
                <w:p w14:paraId="69D3888E">
                  <w:pPr>
                    <w:pStyle w:val="31"/>
                    <w:rPr>
                      <w:sz w:val="21"/>
                    </w:rPr>
                  </w:pPr>
                  <w:r>
                    <w:rPr>
                      <w:sz w:val="21"/>
                    </w:rPr>
                    <w:t>治理措施</w:t>
                  </w:r>
                </w:p>
              </w:tc>
              <w:tc>
                <w:tcPr>
                  <w:tcW w:w="1283" w:type="dxa"/>
                  <w:tcBorders>
                    <w:tl2br w:val="nil"/>
                    <w:tr2bl w:val="nil"/>
                  </w:tcBorders>
                  <w:noWrap/>
                  <w:tcMar>
                    <w:top w:w="15" w:type="dxa"/>
                    <w:left w:w="15" w:type="dxa"/>
                    <w:right w:w="15" w:type="dxa"/>
                  </w:tcMar>
                  <w:vAlign w:val="center"/>
                </w:tcPr>
                <w:p w14:paraId="576EB9A8">
                  <w:pPr>
                    <w:pStyle w:val="31"/>
                    <w:rPr>
                      <w:sz w:val="21"/>
                    </w:rPr>
                  </w:pPr>
                  <w:r>
                    <w:rPr>
                      <w:sz w:val="21"/>
                    </w:rPr>
                    <w:t>降噪效果</w:t>
                  </w:r>
                </w:p>
                <w:p w14:paraId="1171CAD5">
                  <w:pPr>
                    <w:pStyle w:val="31"/>
                    <w:rPr>
                      <w:sz w:val="21"/>
                    </w:rPr>
                  </w:pPr>
                  <w:r>
                    <w:rPr>
                      <w:sz w:val="21"/>
                    </w:rPr>
                    <w:t>dB（A）</w:t>
                  </w:r>
                </w:p>
              </w:tc>
              <w:tc>
                <w:tcPr>
                  <w:tcW w:w="1195" w:type="dxa"/>
                  <w:tcBorders>
                    <w:tl2br w:val="nil"/>
                    <w:tr2bl w:val="nil"/>
                  </w:tcBorders>
                  <w:vAlign w:val="center"/>
                </w:tcPr>
                <w:p w14:paraId="37D865D5">
                  <w:pPr>
                    <w:pStyle w:val="31"/>
                    <w:rPr>
                      <w:sz w:val="21"/>
                    </w:rPr>
                  </w:pPr>
                  <w:r>
                    <w:rPr>
                      <w:rFonts w:hint="eastAsia"/>
                      <w:sz w:val="21"/>
                    </w:rPr>
                    <w:t>排放强度</w:t>
                  </w:r>
                  <w:r>
                    <w:rPr>
                      <w:sz w:val="21"/>
                    </w:rPr>
                    <w:t>dB（A）</w:t>
                  </w:r>
                </w:p>
              </w:tc>
            </w:tr>
            <w:tr w14:paraId="42D99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7D441199">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1E654BEF">
                  <w:pPr>
                    <w:widowControl/>
                    <w:spacing w:line="360" w:lineRule="exact"/>
                    <w:ind w:firstLine="0" w:firstLineChars="0"/>
                    <w:jc w:val="center"/>
                    <w:rPr>
                      <w:bCs/>
                      <w:sz w:val="21"/>
                      <w:szCs w:val="21"/>
                    </w:rPr>
                  </w:pPr>
                  <w:r>
                    <w:rPr>
                      <w:bCs/>
                      <w:sz w:val="21"/>
                      <w:szCs w:val="21"/>
                    </w:rPr>
                    <w:t>锯床</w:t>
                  </w:r>
                </w:p>
              </w:tc>
              <w:tc>
                <w:tcPr>
                  <w:tcW w:w="792" w:type="dxa"/>
                  <w:tcBorders>
                    <w:tl2br w:val="nil"/>
                    <w:tr2bl w:val="nil"/>
                  </w:tcBorders>
                  <w:noWrap/>
                  <w:tcMar>
                    <w:top w:w="15" w:type="dxa"/>
                    <w:left w:w="15" w:type="dxa"/>
                    <w:right w:w="15" w:type="dxa"/>
                  </w:tcMar>
                  <w:vAlign w:val="center"/>
                </w:tcPr>
                <w:p w14:paraId="3E7F7B8D">
                  <w:pPr>
                    <w:widowControl/>
                    <w:spacing w:line="360" w:lineRule="exact"/>
                    <w:ind w:firstLine="0" w:firstLineChars="0"/>
                    <w:jc w:val="center"/>
                    <w:rPr>
                      <w:kern w:val="24"/>
                      <w:sz w:val="21"/>
                      <w:szCs w:val="21"/>
                    </w:rPr>
                  </w:pPr>
                  <w:r>
                    <w:rPr>
                      <w:bCs/>
                      <w:sz w:val="21"/>
                      <w:szCs w:val="21"/>
                    </w:rPr>
                    <w:t>5</w:t>
                  </w:r>
                </w:p>
              </w:tc>
              <w:tc>
                <w:tcPr>
                  <w:tcW w:w="940" w:type="dxa"/>
                  <w:tcBorders>
                    <w:tl2br w:val="nil"/>
                    <w:tr2bl w:val="nil"/>
                  </w:tcBorders>
                  <w:noWrap/>
                  <w:tcMar>
                    <w:top w:w="15" w:type="dxa"/>
                    <w:left w:w="15" w:type="dxa"/>
                    <w:right w:w="15" w:type="dxa"/>
                  </w:tcMar>
                  <w:vAlign w:val="center"/>
                </w:tcPr>
                <w:p w14:paraId="40412810">
                  <w:pPr>
                    <w:pStyle w:val="31"/>
                    <w:rPr>
                      <w:sz w:val="21"/>
                    </w:rPr>
                  </w:pPr>
                  <w:r>
                    <w:rPr>
                      <w:rFonts w:hint="eastAsia"/>
                      <w:sz w:val="21"/>
                    </w:rPr>
                    <w:t>85</w:t>
                  </w:r>
                </w:p>
              </w:tc>
              <w:tc>
                <w:tcPr>
                  <w:tcW w:w="1237" w:type="dxa"/>
                  <w:vMerge w:val="restart"/>
                  <w:tcBorders>
                    <w:tl2br w:val="nil"/>
                    <w:tr2bl w:val="nil"/>
                  </w:tcBorders>
                  <w:noWrap/>
                  <w:tcMar>
                    <w:top w:w="15" w:type="dxa"/>
                    <w:left w:w="15" w:type="dxa"/>
                    <w:right w:w="15" w:type="dxa"/>
                  </w:tcMar>
                  <w:vAlign w:val="center"/>
                </w:tcPr>
                <w:p w14:paraId="69F3DC6F">
                  <w:pPr>
                    <w:pStyle w:val="31"/>
                    <w:rPr>
                      <w:sz w:val="21"/>
                    </w:rPr>
                  </w:pPr>
                  <w:r>
                    <w:rPr>
                      <w:rFonts w:hint="eastAsia"/>
                      <w:sz w:val="21"/>
                    </w:rPr>
                    <w:t>将设备布置在厂房内，基础减振，厂房隔声，距离衰减</w:t>
                  </w:r>
                </w:p>
              </w:tc>
              <w:tc>
                <w:tcPr>
                  <w:tcW w:w="1283" w:type="dxa"/>
                  <w:vMerge w:val="restart"/>
                  <w:tcBorders>
                    <w:tl2br w:val="nil"/>
                    <w:tr2bl w:val="nil"/>
                  </w:tcBorders>
                  <w:noWrap/>
                  <w:tcMar>
                    <w:top w:w="15" w:type="dxa"/>
                    <w:left w:w="15" w:type="dxa"/>
                    <w:right w:w="15" w:type="dxa"/>
                  </w:tcMar>
                  <w:vAlign w:val="center"/>
                </w:tcPr>
                <w:p w14:paraId="3E8713EE">
                  <w:pPr>
                    <w:pStyle w:val="31"/>
                    <w:rPr>
                      <w:color w:val="FF0000"/>
                      <w:sz w:val="21"/>
                    </w:rPr>
                  </w:pPr>
                  <w:r>
                    <w:rPr>
                      <w:rFonts w:hint="eastAsia"/>
                      <w:sz w:val="21"/>
                    </w:rPr>
                    <w:t>20</w:t>
                  </w:r>
                </w:p>
              </w:tc>
              <w:tc>
                <w:tcPr>
                  <w:tcW w:w="1195" w:type="dxa"/>
                  <w:tcBorders>
                    <w:tl2br w:val="nil"/>
                    <w:tr2bl w:val="nil"/>
                  </w:tcBorders>
                  <w:vAlign w:val="center"/>
                </w:tcPr>
                <w:p w14:paraId="6D14C76A">
                  <w:pPr>
                    <w:pStyle w:val="31"/>
                    <w:rPr>
                      <w:sz w:val="21"/>
                    </w:rPr>
                  </w:pPr>
                  <w:r>
                    <w:rPr>
                      <w:rFonts w:hint="eastAsia"/>
                      <w:sz w:val="21"/>
                    </w:rPr>
                    <w:t>65</w:t>
                  </w:r>
                </w:p>
              </w:tc>
            </w:tr>
            <w:tr w14:paraId="7DAB9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233C0681">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5E8747DC">
                  <w:pPr>
                    <w:widowControl/>
                    <w:spacing w:line="360" w:lineRule="exact"/>
                    <w:ind w:firstLine="0" w:firstLineChars="0"/>
                    <w:jc w:val="center"/>
                    <w:rPr>
                      <w:bCs/>
                      <w:sz w:val="21"/>
                      <w:szCs w:val="21"/>
                    </w:rPr>
                  </w:pPr>
                  <w:r>
                    <w:rPr>
                      <w:rFonts w:hint="eastAsia"/>
                      <w:bCs/>
                      <w:sz w:val="21"/>
                      <w:szCs w:val="21"/>
                    </w:rPr>
                    <w:t>立式钻</w:t>
                  </w:r>
                  <w:r>
                    <w:rPr>
                      <w:bCs/>
                      <w:sz w:val="21"/>
                      <w:szCs w:val="21"/>
                    </w:rPr>
                    <w:t>床</w:t>
                  </w:r>
                </w:p>
              </w:tc>
              <w:tc>
                <w:tcPr>
                  <w:tcW w:w="792" w:type="dxa"/>
                  <w:tcBorders>
                    <w:tl2br w:val="nil"/>
                    <w:tr2bl w:val="nil"/>
                  </w:tcBorders>
                  <w:noWrap/>
                  <w:tcMar>
                    <w:top w:w="15" w:type="dxa"/>
                    <w:left w:w="15" w:type="dxa"/>
                    <w:right w:w="15" w:type="dxa"/>
                  </w:tcMar>
                  <w:vAlign w:val="center"/>
                </w:tcPr>
                <w:p w14:paraId="565915D3">
                  <w:pPr>
                    <w:widowControl/>
                    <w:spacing w:line="360" w:lineRule="exact"/>
                    <w:ind w:firstLine="0" w:firstLineChars="0"/>
                    <w:jc w:val="center"/>
                    <w:rPr>
                      <w:kern w:val="24"/>
                      <w:sz w:val="21"/>
                      <w:szCs w:val="21"/>
                    </w:rPr>
                  </w:pPr>
                  <w:r>
                    <w:rPr>
                      <w:bCs/>
                      <w:sz w:val="21"/>
                      <w:szCs w:val="21"/>
                    </w:rPr>
                    <w:t>5</w:t>
                  </w:r>
                </w:p>
              </w:tc>
              <w:tc>
                <w:tcPr>
                  <w:tcW w:w="940" w:type="dxa"/>
                  <w:tcBorders>
                    <w:tl2br w:val="nil"/>
                    <w:tr2bl w:val="nil"/>
                  </w:tcBorders>
                  <w:noWrap/>
                  <w:tcMar>
                    <w:top w:w="15" w:type="dxa"/>
                    <w:left w:w="15" w:type="dxa"/>
                    <w:right w:w="15" w:type="dxa"/>
                  </w:tcMar>
                  <w:vAlign w:val="center"/>
                </w:tcPr>
                <w:p w14:paraId="0B6525EC">
                  <w:pPr>
                    <w:pStyle w:val="31"/>
                    <w:rPr>
                      <w:sz w:val="21"/>
                    </w:rPr>
                  </w:pPr>
                  <w:r>
                    <w:rPr>
                      <w:rFonts w:hint="eastAsia"/>
                      <w:sz w:val="21"/>
                    </w:rPr>
                    <w:t>85</w:t>
                  </w:r>
                </w:p>
              </w:tc>
              <w:tc>
                <w:tcPr>
                  <w:tcW w:w="1237" w:type="dxa"/>
                  <w:vMerge w:val="continue"/>
                  <w:tcBorders>
                    <w:tl2br w:val="nil"/>
                    <w:tr2bl w:val="nil"/>
                  </w:tcBorders>
                  <w:noWrap/>
                  <w:tcMar>
                    <w:top w:w="15" w:type="dxa"/>
                    <w:left w:w="15" w:type="dxa"/>
                    <w:right w:w="15" w:type="dxa"/>
                  </w:tcMar>
                  <w:vAlign w:val="center"/>
                </w:tcPr>
                <w:p w14:paraId="7424BA6E">
                  <w:pPr>
                    <w:pStyle w:val="31"/>
                    <w:rPr>
                      <w:sz w:val="21"/>
                    </w:rPr>
                  </w:pPr>
                </w:p>
              </w:tc>
              <w:tc>
                <w:tcPr>
                  <w:tcW w:w="1283" w:type="dxa"/>
                  <w:vMerge w:val="continue"/>
                  <w:tcBorders>
                    <w:tl2br w:val="nil"/>
                    <w:tr2bl w:val="nil"/>
                  </w:tcBorders>
                  <w:noWrap/>
                  <w:tcMar>
                    <w:top w:w="15" w:type="dxa"/>
                    <w:left w:w="15" w:type="dxa"/>
                    <w:right w:w="15" w:type="dxa"/>
                  </w:tcMar>
                  <w:vAlign w:val="center"/>
                </w:tcPr>
                <w:p w14:paraId="002712E2">
                  <w:pPr>
                    <w:pStyle w:val="31"/>
                    <w:rPr>
                      <w:sz w:val="21"/>
                    </w:rPr>
                  </w:pPr>
                </w:p>
              </w:tc>
              <w:tc>
                <w:tcPr>
                  <w:tcW w:w="1195" w:type="dxa"/>
                  <w:tcBorders>
                    <w:tl2br w:val="nil"/>
                    <w:tr2bl w:val="nil"/>
                  </w:tcBorders>
                  <w:vAlign w:val="center"/>
                </w:tcPr>
                <w:p w14:paraId="643710AD">
                  <w:pPr>
                    <w:pStyle w:val="31"/>
                    <w:rPr>
                      <w:sz w:val="21"/>
                    </w:rPr>
                  </w:pPr>
                  <w:r>
                    <w:rPr>
                      <w:rFonts w:hint="eastAsia"/>
                      <w:sz w:val="21"/>
                    </w:rPr>
                    <w:t>65</w:t>
                  </w:r>
                </w:p>
              </w:tc>
            </w:tr>
            <w:tr w14:paraId="3F4E1E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1A113789">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3C8A5F16">
                  <w:pPr>
                    <w:widowControl/>
                    <w:spacing w:line="360" w:lineRule="exact"/>
                    <w:ind w:firstLine="0" w:firstLineChars="0"/>
                    <w:jc w:val="center"/>
                    <w:rPr>
                      <w:bCs/>
                      <w:sz w:val="21"/>
                      <w:szCs w:val="21"/>
                    </w:rPr>
                  </w:pPr>
                  <w:r>
                    <w:rPr>
                      <w:bCs/>
                      <w:sz w:val="21"/>
                      <w:szCs w:val="21"/>
                    </w:rPr>
                    <w:t>数控车床</w:t>
                  </w:r>
                </w:p>
              </w:tc>
              <w:tc>
                <w:tcPr>
                  <w:tcW w:w="792" w:type="dxa"/>
                  <w:tcBorders>
                    <w:tl2br w:val="nil"/>
                    <w:tr2bl w:val="nil"/>
                  </w:tcBorders>
                  <w:noWrap/>
                  <w:tcMar>
                    <w:top w:w="15" w:type="dxa"/>
                    <w:left w:w="15" w:type="dxa"/>
                    <w:right w:w="15" w:type="dxa"/>
                  </w:tcMar>
                  <w:vAlign w:val="center"/>
                </w:tcPr>
                <w:p w14:paraId="698552B4">
                  <w:pPr>
                    <w:spacing w:line="360" w:lineRule="exact"/>
                    <w:ind w:firstLine="0" w:firstLineChars="0"/>
                    <w:jc w:val="center"/>
                    <w:rPr>
                      <w:kern w:val="24"/>
                      <w:sz w:val="21"/>
                      <w:szCs w:val="21"/>
                    </w:rPr>
                  </w:pPr>
                  <w:r>
                    <w:rPr>
                      <w:rFonts w:hint="eastAsia"/>
                      <w:bCs/>
                      <w:sz w:val="21"/>
                      <w:szCs w:val="21"/>
                    </w:rPr>
                    <w:t>20</w:t>
                  </w:r>
                </w:p>
              </w:tc>
              <w:tc>
                <w:tcPr>
                  <w:tcW w:w="940" w:type="dxa"/>
                  <w:tcBorders>
                    <w:tl2br w:val="nil"/>
                    <w:tr2bl w:val="nil"/>
                  </w:tcBorders>
                  <w:noWrap/>
                  <w:tcMar>
                    <w:top w:w="15" w:type="dxa"/>
                    <w:left w:w="15" w:type="dxa"/>
                    <w:right w:w="15" w:type="dxa"/>
                  </w:tcMar>
                  <w:vAlign w:val="center"/>
                </w:tcPr>
                <w:p w14:paraId="486048B9">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289B68D6">
                  <w:pPr>
                    <w:pStyle w:val="31"/>
                    <w:rPr>
                      <w:sz w:val="21"/>
                    </w:rPr>
                  </w:pPr>
                </w:p>
              </w:tc>
              <w:tc>
                <w:tcPr>
                  <w:tcW w:w="1283" w:type="dxa"/>
                  <w:vMerge w:val="continue"/>
                  <w:tcBorders>
                    <w:tl2br w:val="nil"/>
                    <w:tr2bl w:val="nil"/>
                  </w:tcBorders>
                  <w:noWrap/>
                  <w:tcMar>
                    <w:top w:w="15" w:type="dxa"/>
                    <w:left w:w="15" w:type="dxa"/>
                    <w:right w:w="15" w:type="dxa"/>
                  </w:tcMar>
                  <w:vAlign w:val="center"/>
                </w:tcPr>
                <w:p w14:paraId="08994D37">
                  <w:pPr>
                    <w:pStyle w:val="31"/>
                    <w:rPr>
                      <w:sz w:val="21"/>
                    </w:rPr>
                  </w:pPr>
                </w:p>
              </w:tc>
              <w:tc>
                <w:tcPr>
                  <w:tcW w:w="1195" w:type="dxa"/>
                  <w:tcBorders>
                    <w:tl2br w:val="nil"/>
                    <w:tr2bl w:val="nil"/>
                  </w:tcBorders>
                  <w:vAlign w:val="center"/>
                </w:tcPr>
                <w:p w14:paraId="67E28B11">
                  <w:pPr>
                    <w:pStyle w:val="31"/>
                    <w:rPr>
                      <w:sz w:val="21"/>
                    </w:rPr>
                  </w:pPr>
                  <w:r>
                    <w:rPr>
                      <w:rFonts w:hint="eastAsia"/>
                      <w:sz w:val="21"/>
                    </w:rPr>
                    <w:t>60</w:t>
                  </w:r>
                </w:p>
              </w:tc>
            </w:tr>
            <w:tr w14:paraId="78739E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5819C021">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74CA43AC">
                  <w:pPr>
                    <w:widowControl/>
                    <w:spacing w:line="360" w:lineRule="exact"/>
                    <w:ind w:firstLine="0" w:firstLineChars="0"/>
                    <w:jc w:val="center"/>
                    <w:rPr>
                      <w:bCs/>
                      <w:sz w:val="21"/>
                      <w:szCs w:val="21"/>
                    </w:rPr>
                  </w:pPr>
                  <w:r>
                    <w:rPr>
                      <w:bCs/>
                      <w:sz w:val="21"/>
                      <w:szCs w:val="21"/>
                    </w:rPr>
                    <w:t>立式加工中心</w:t>
                  </w:r>
                </w:p>
              </w:tc>
              <w:tc>
                <w:tcPr>
                  <w:tcW w:w="792" w:type="dxa"/>
                  <w:tcBorders>
                    <w:tl2br w:val="nil"/>
                    <w:tr2bl w:val="nil"/>
                  </w:tcBorders>
                  <w:noWrap/>
                  <w:tcMar>
                    <w:top w:w="15" w:type="dxa"/>
                    <w:left w:w="15" w:type="dxa"/>
                    <w:right w:w="15" w:type="dxa"/>
                  </w:tcMar>
                  <w:vAlign w:val="center"/>
                </w:tcPr>
                <w:p w14:paraId="4807918B">
                  <w:pPr>
                    <w:spacing w:line="360" w:lineRule="exact"/>
                    <w:ind w:firstLine="0" w:firstLineChars="0"/>
                    <w:jc w:val="center"/>
                    <w:rPr>
                      <w:sz w:val="21"/>
                      <w:szCs w:val="21"/>
                    </w:rPr>
                  </w:pPr>
                  <w:r>
                    <w:rPr>
                      <w:rFonts w:hint="eastAsia"/>
                      <w:bCs/>
                      <w:sz w:val="21"/>
                      <w:szCs w:val="21"/>
                    </w:rPr>
                    <w:t>20</w:t>
                  </w:r>
                </w:p>
              </w:tc>
              <w:tc>
                <w:tcPr>
                  <w:tcW w:w="940" w:type="dxa"/>
                  <w:tcBorders>
                    <w:tl2br w:val="nil"/>
                    <w:tr2bl w:val="nil"/>
                  </w:tcBorders>
                  <w:noWrap/>
                  <w:tcMar>
                    <w:top w:w="15" w:type="dxa"/>
                    <w:left w:w="15" w:type="dxa"/>
                    <w:right w:w="15" w:type="dxa"/>
                  </w:tcMar>
                  <w:vAlign w:val="center"/>
                </w:tcPr>
                <w:p w14:paraId="1C8DDB78">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42672F29">
                  <w:pPr>
                    <w:pStyle w:val="31"/>
                    <w:rPr>
                      <w:sz w:val="21"/>
                    </w:rPr>
                  </w:pPr>
                </w:p>
              </w:tc>
              <w:tc>
                <w:tcPr>
                  <w:tcW w:w="1283" w:type="dxa"/>
                  <w:vMerge w:val="continue"/>
                  <w:tcBorders>
                    <w:tl2br w:val="nil"/>
                    <w:tr2bl w:val="nil"/>
                  </w:tcBorders>
                  <w:noWrap/>
                  <w:tcMar>
                    <w:top w:w="15" w:type="dxa"/>
                    <w:left w:w="15" w:type="dxa"/>
                    <w:right w:w="15" w:type="dxa"/>
                  </w:tcMar>
                  <w:vAlign w:val="center"/>
                </w:tcPr>
                <w:p w14:paraId="13E6E7D1">
                  <w:pPr>
                    <w:pStyle w:val="31"/>
                    <w:rPr>
                      <w:sz w:val="21"/>
                    </w:rPr>
                  </w:pPr>
                </w:p>
              </w:tc>
              <w:tc>
                <w:tcPr>
                  <w:tcW w:w="1195" w:type="dxa"/>
                  <w:tcBorders>
                    <w:tl2br w:val="nil"/>
                    <w:tr2bl w:val="nil"/>
                  </w:tcBorders>
                  <w:vAlign w:val="center"/>
                </w:tcPr>
                <w:p w14:paraId="11128EDA">
                  <w:pPr>
                    <w:pStyle w:val="31"/>
                    <w:rPr>
                      <w:sz w:val="21"/>
                    </w:rPr>
                  </w:pPr>
                  <w:r>
                    <w:rPr>
                      <w:rFonts w:hint="eastAsia"/>
                      <w:sz w:val="21"/>
                    </w:rPr>
                    <w:t>60</w:t>
                  </w:r>
                </w:p>
              </w:tc>
            </w:tr>
            <w:tr w14:paraId="31718C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07BAF253">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1970C1AB">
                  <w:pPr>
                    <w:widowControl/>
                    <w:spacing w:line="360" w:lineRule="exact"/>
                    <w:ind w:firstLine="0" w:firstLineChars="0"/>
                    <w:jc w:val="center"/>
                    <w:rPr>
                      <w:bCs/>
                      <w:sz w:val="21"/>
                      <w:szCs w:val="21"/>
                    </w:rPr>
                  </w:pPr>
                  <w:r>
                    <w:rPr>
                      <w:rFonts w:hint="eastAsia"/>
                      <w:bCs/>
                      <w:sz w:val="21"/>
                      <w:szCs w:val="21"/>
                    </w:rPr>
                    <w:t>立式数控铣床</w:t>
                  </w:r>
                </w:p>
              </w:tc>
              <w:tc>
                <w:tcPr>
                  <w:tcW w:w="792" w:type="dxa"/>
                  <w:tcBorders>
                    <w:tl2br w:val="nil"/>
                    <w:tr2bl w:val="nil"/>
                  </w:tcBorders>
                  <w:noWrap/>
                  <w:tcMar>
                    <w:top w:w="15" w:type="dxa"/>
                    <w:left w:w="15" w:type="dxa"/>
                    <w:right w:w="15" w:type="dxa"/>
                  </w:tcMar>
                  <w:vAlign w:val="center"/>
                </w:tcPr>
                <w:p w14:paraId="72751059">
                  <w:pPr>
                    <w:spacing w:line="360" w:lineRule="exact"/>
                    <w:ind w:firstLine="0" w:firstLineChars="0"/>
                    <w:jc w:val="center"/>
                    <w:rPr>
                      <w:sz w:val="21"/>
                      <w:szCs w:val="21"/>
                    </w:rPr>
                  </w:pPr>
                  <w:r>
                    <w:rPr>
                      <w:rFonts w:hint="eastAsia"/>
                      <w:bCs/>
                      <w:sz w:val="21"/>
                      <w:szCs w:val="21"/>
                    </w:rPr>
                    <w:t>1</w:t>
                  </w:r>
                </w:p>
              </w:tc>
              <w:tc>
                <w:tcPr>
                  <w:tcW w:w="940" w:type="dxa"/>
                  <w:tcBorders>
                    <w:tl2br w:val="nil"/>
                    <w:tr2bl w:val="nil"/>
                  </w:tcBorders>
                  <w:noWrap/>
                  <w:tcMar>
                    <w:top w:w="15" w:type="dxa"/>
                    <w:left w:w="15" w:type="dxa"/>
                    <w:right w:w="15" w:type="dxa"/>
                  </w:tcMar>
                  <w:vAlign w:val="center"/>
                </w:tcPr>
                <w:p w14:paraId="5551D2EA">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4A949346">
                  <w:pPr>
                    <w:pStyle w:val="31"/>
                    <w:rPr>
                      <w:sz w:val="21"/>
                    </w:rPr>
                  </w:pPr>
                </w:p>
              </w:tc>
              <w:tc>
                <w:tcPr>
                  <w:tcW w:w="1283" w:type="dxa"/>
                  <w:vMerge w:val="continue"/>
                  <w:tcBorders>
                    <w:tl2br w:val="nil"/>
                    <w:tr2bl w:val="nil"/>
                  </w:tcBorders>
                  <w:noWrap/>
                  <w:tcMar>
                    <w:top w:w="15" w:type="dxa"/>
                    <w:left w:w="15" w:type="dxa"/>
                    <w:right w:w="15" w:type="dxa"/>
                  </w:tcMar>
                  <w:vAlign w:val="center"/>
                </w:tcPr>
                <w:p w14:paraId="19E2EC20">
                  <w:pPr>
                    <w:pStyle w:val="31"/>
                    <w:rPr>
                      <w:sz w:val="21"/>
                    </w:rPr>
                  </w:pPr>
                </w:p>
              </w:tc>
              <w:tc>
                <w:tcPr>
                  <w:tcW w:w="1195" w:type="dxa"/>
                  <w:tcBorders>
                    <w:tl2br w:val="nil"/>
                    <w:tr2bl w:val="nil"/>
                  </w:tcBorders>
                  <w:vAlign w:val="center"/>
                </w:tcPr>
                <w:p w14:paraId="1EBDB8DF">
                  <w:pPr>
                    <w:pStyle w:val="31"/>
                    <w:rPr>
                      <w:sz w:val="21"/>
                    </w:rPr>
                  </w:pPr>
                  <w:r>
                    <w:rPr>
                      <w:rFonts w:hint="eastAsia"/>
                      <w:sz w:val="21"/>
                    </w:rPr>
                    <w:t>60</w:t>
                  </w:r>
                </w:p>
              </w:tc>
            </w:tr>
            <w:tr w14:paraId="2EC06B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31C9F95A">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7501B938">
                  <w:pPr>
                    <w:widowControl/>
                    <w:spacing w:line="360" w:lineRule="exact"/>
                    <w:ind w:firstLine="0" w:firstLineChars="0"/>
                    <w:jc w:val="center"/>
                    <w:rPr>
                      <w:bCs/>
                      <w:sz w:val="21"/>
                      <w:szCs w:val="21"/>
                    </w:rPr>
                  </w:pPr>
                  <w:r>
                    <w:rPr>
                      <w:bCs/>
                      <w:sz w:val="21"/>
                      <w:szCs w:val="21"/>
                    </w:rPr>
                    <w:t>卧式拉床</w:t>
                  </w:r>
                </w:p>
              </w:tc>
              <w:tc>
                <w:tcPr>
                  <w:tcW w:w="792" w:type="dxa"/>
                  <w:tcBorders>
                    <w:tl2br w:val="nil"/>
                    <w:tr2bl w:val="nil"/>
                  </w:tcBorders>
                  <w:noWrap/>
                  <w:tcMar>
                    <w:top w:w="15" w:type="dxa"/>
                    <w:left w:w="15" w:type="dxa"/>
                    <w:right w:w="15" w:type="dxa"/>
                  </w:tcMar>
                  <w:vAlign w:val="center"/>
                </w:tcPr>
                <w:p w14:paraId="2EC37D46">
                  <w:pPr>
                    <w:spacing w:line="360" w:lineRule="exact"/>
                    <w:ind w:firstLine="0" w:firstLineChars="0"/>
                    <w:jc w:val="center"/>
                    <w:rPr>
                      <w:sz w:val="21"/>
                      <w:szCs w:val="21"/>
                    </w:rPr>
                  </w:pPr>
                  <w:r>
                    <w:rPr>
                      <w:rFonts w:hint="eastAsia"/>
                      <w:bCs/>
                      <w:sz w:val="21"/>
                      <w:szCs w:val="21"/>
                    </w:rPr>
                    <w:t>1</w:t>
                  </w:r>
                </w:p>
              </w:tc>
              <w:tc>
                <w:tcPr>
                  <w:tcW w:w="940" w:type="dxa"/>
                  <w:tcBorders>
                    <w:tl2br w:val="nil"/>
                    <w:tr2bl w:val="nil"/>
                  </w:tcBorders>
                  <w:noWrap/>
                  <w:tcMar>
                    <w:top w:w="15" w:type="dxa"/>
                    <w:left w:w="15" w:type="dxa"/>
                    <w:right w:w="15" w:type="dxa"/>
                  </w:tcMar>
                  <w:vAlign w:val="center"/>
                </w:tcPr>
                <w:p w14:paraId="052D03EC">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53954ECF">
                  <w:pPr>
                    <w:pStyle w:val="31"/>
                    <w:rPr>
                      <w:sz w:val="21"/>
                    </w:rPr>
                  </w:pPr>
                </w:p>
              </w:tc>
              <w:tc>
                <w:tcPr>
                  <w:tcW w:w="1283" w:type="dxa"/>
                  <w:vMerge w:val="continue"/>
                  <w:tcBorders>
                    <w:tl2br w:val="nil"/>
                    <w:tr2bl w:val="nil"/>
                  </w:tcBorders>
                  <w:noWrap/>
                  <w:tcMar>
                    <w:top w:w="15" w:type="dxa"/>
                    <w:left w:w="15" w:type="dxa"/>
                    <w:right w:w="15" w:type="dxa"/>
                  </w:tcMar>
                  <w:vAlign w:val="center"/>
                </w:tcPr>
                <w:p w14:paraId="0DE156A8">
                  <w:pPr>
                    <w:pStyle w:val="31"/>
                    <w:rPr>
                      <w:sz w:val="21"/>
                    </w:rPr>
                  </w:pPr>
                </w:p>
              </w:tc>
              <w:tc>
                <w:tcPr>
                  <w:tcW w:w="1195" w:type="dxa"/>
                  <w:tcBorders>
                    <w:tl2br w:val="nil"/>
                    <w:tr2bl w:val="nil"/>
                  </w:tcBorders>
                  <w:vAlign w:val="center"/>
                </w:tcPr>
                <w:p w14:paraId="01F85D51">
                  <w:pPr>
                    <w:pStyle w:val="31"/>
                    <w:rPr>
                      <w:sz w:val="21"/>
                    </w:rPr>
                  </w:pPr>
                  <w:r>
                    <w:rPr>
                      <w:rFonts w:hint="eastAsia"/>
                      <w:sz w:val="21"/>
                    </w:rPr>
                    <w:t>60</w:t>
                  </w:r>
                </w:p>
              </w:tc>
            </w:tr>
            <w:tr w14:paraId="1378BE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065E366E">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1470D4D3">
                  <w:pPr>
                    <w:widowControl/>
                    <w:spacing w:line="360" w:lineRule="exact"/>
                    <w:ind w:firstLine="0" w:firstLineChars="0"/>
                    <w:jc w:val="center"/>
                    <w:rPr>
                      <w:bCs/>
                      <w:sz w:val="21"/>
                      <w:szCs w:val="21"/>
                    </w:rPr>
                  </w:pPr>
                  <w:r>
                    <w:rPr>
                      <w:bCs/>
                      <w:sz w:val="21"/>
                      <w:szCs w:val="21"/>
                    </w:rPr>
                    <w:t>立式拉床</w:t>
                  </w:r>
                </w:p>
              </w:tc>
              <w:tc>
                <w:tcPr>
                  <w:tcW w:w="792" w:type="dxa"/>
                  <w:tcBorders>
                    <w:tl2br w:val="nil"/>
                    <w:tr2bl w:val="nil"/>
                  </w:tcBorders>
                  <w:noWrap/>
                  <w:tcMar>
                    <w:top w:w="15" w:type="dxa"/>
                    <w:left w:w="15" w:type="dxa"/>
                    <w:right w:w="15" w:type="dxa"/>
                  </w:tcMar>
                  <w:vAlign w:val="center"/>
                </w:tcPr>
                <w:p w14:paraId="3799DDFB">
                  <w:pPr>
                    <w:spacing w:line="360" w:lineRule="exact"/>
                    <w:ind w:firstLine="0" w:firstLineChars="0"/>
                    <w:jc w:val="center"/>
                    <w:rPr>
                      <w:kern w:val="24"/>
                      <w:sz w:val="21"/>
                      <w:szCs w:val="21"/>
                    </w:rPr>
                  </w:pPr>
                  <w:r>
                    <w:rPr>
                      <w:rFonts w:hint="eastAsia"/>
                      <w:bCs/>
                      <w:sz w:val="21"/>
                      <w:szCs w:val="21"/>
                    </w:rPr>
                    <w:t>1</w:t>
                  </w:r>
                </w:p>
              </w:tc>
              <w:tc>
                <w:tcPr>
                  <w:tcW w:w="940" w:type="dxa"/>
                  <w:tcBorders>
                    <w:tl2br w:val="nil"/>
                    <w:tr2bl w:val="nil"/>
                  </w:tcBorders>
                  <w:noWrap/>
                  <w:tcMar>
                    <w:top w:w="15" w:type="dxa"/>
                    <w:left w:w="15" w:type="dxa"/>
                    <w:right w:w="15" w:type="dxa"/>
                  </w:tcMar>
                  <w:vAlign w:val="center"/>
                </w:tcPr>
                <w:p w14:paraId="5A3090A3">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27FFA74B">
                  <w:pPr>
                    <w:pStyle w:val="31"/>
                    <w:rPr>
                      <w:sz w:val="21"/>
                    </w:rPr>
                  </w:pPr>
                </w:p>
              </w:tc>
              <w:tc>
                <w:tcPr>
                  <w:tcW w:w="1283" w:type="dxa"/>
                  <w:vMerge w:val="continue"/>
                  <w:tcBorders>
                    <w:tl2br w:val="nil"/>
                    <w:tr2bl w:val="nil"/>
                  </w:tcBorders>
                  <w:noWrap/>
                  <w:tcMar>
                    <w:top w:w="15" w:type="dxa"/>
                    <w:left w:w="15" w:type="dxa"/>
                    <w:right w:w="15" w:type="dxa"/>
                  </w:tcMar>
                  <w:vAlign w:val="center"/>
                </w:tcPr>
                <w:p w14:paraId="7F6F5B89">
                  <w:pPr>
                    <w:pStyle w:val="31"/>
                    <w:rPr>
                      <w:sz w:val="21"/>
                    </w:rPr>
                  </w:pPr>
                </w:p>
              </w:tc>
              <w:tc>
                <w:tcPr>
                  <w:tcW w:w="1195" w:type="dxa"/>
                  <w:tcBorders>
                    <w:tl2br w:val="nil"/>
                    <w:tr2bl w:val="nil"/>
                  </w:tcBorders>
                  <w:vAlign w:val="center"/>
                </w:tcPr>
                <w:p w14:paraId="5B26E297">
                  <w:pPr>
                    <w:ind w:firstLine="0" w:firstLineChars="0"/>
                    <w:jc w:val="center"/>
                    <w:rPr>
                      <w:sz w:val="21"/>
                      <w:szCs w:val="21"/>
                    </w:rPr>
                  </w:pPr>
                  <w:r>
                    <w:rPr>
                      <w:rFonts w:hint="eastAsia"/>
                      <w:sz w:val="21"/>
                      <w:szCs w:val="21"/>
                    </w:rPr>
                    <w:t>60</w:t>
                  </w:r>
                </w:p>
              </w:tc>
            </w:tr>
            <w:tr w14:paraId="1BE4CE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5BA0A137">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0CCFA30F">
                  <w:pPr>
                    <w:widowControl/>
                    <w:spacing w:line="360" w:lineRule="exact"/>
                    <w:ind w:firstLine="0" w:firstLineChars="0"/>
                    <w:jc w:val="center"/>
                    <w:rPr>
                      <w:bCs/>
                      <w:sz w:val="21"/>
                      <w:szCs w:val="21"/>
                    </w:rPr>
                  </w:pPr>
                  <w:r>
                    <w:rPr>
                      <w:bCs/>
                      <w:sz w:val="21"/>
                      <w:szCs w:val="21"/>
                    </w:rPr>
                    <w:t>滚齿机</w:t>
                  </w:r>
                </w:p>
              </w:tc>
              <w:tc>
                <w:tcPr>
                  <w:tcW w:w="792" w:type="dxa"/>
                  <w:tcBorders>
                    <w:tl2br w:val="nil"/>
                    <w:tr2bl w:val="nil"/>
                  </w:tcBorders>
                  <w:noWrap/>
                  <w:tcMar>
                    <w:top w:w="15" w:type="dxa"/>
                    <w:left w:w="15" w:type="dxa"/>
                    <w:right w:w="15" w:type="dxa"/>
                  </w:tcMar>
                  <w:vAlign w:val="center"/>
                </w:tcPr>
                <w:p w14:paraId="114612E8">
                  <w:pPr>
                    <w:spacing w:line="360" w:lineRule="exact"/>
                    <w:ind w:firstLine="0" w:firstLineChars="0"/>
                    <w:jc w:val="center"/>
                    <w:rPr>
                      <w:kern w:val="24"/>
                      <w:sz w:val="21"/>
                      <w:szCs w:val="21"/>
                    </w:rPr>
                  </w:pPr>
                  <w:r>
                    <w:rPr>
                      <w:rFonts w:hint="eastAsia"/>
                      <w:bCs/>
                      <w:sz w:val="21"/>
                      <w:szCs w:val="21"/>
                    </w:rPr>
                    <w:t>12</w:t>
                  </w:r>
                </w:p>
              </w:tc>
              <w:tc>
                <w:tcPr>
                  <w:tcW w:w="940" w:type="dxa"/>
                  <w:tcBorders>
                    <w:tl2br w:val="nil"/>
                    <w:tr2bl w:val="nil"/>
                  </w:tcBorders>
                  <w:noWrap/>
                  <w:tcMar>
                    <w:top w:w="15" w:type="dxa"/>
                    <w:left w:w="15" w:type="dxa"/>
                    <w:right w:w="15" w:type="dxa"/>
                  </w:tcMar>
                  <w:vAlign w:val="center"/>
                </w:tcPr>
                <w:p w14:paraId="32745032">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12C14A9F">
                  <w:pPr>
                    <w:pStyle w:val="31"/>
                    <w:rPr>
                      <w:sz w:val="21"/>
                    </w:rPr>
                  </w:pPr>
                </w:p>
              </w:tc>
              <w:tc>
                <w:tcPr>
                  <w:tcW w:w="1283" w:type="dxa"/>
                  <w:vMerge w:val="continue"/>
                  <w:tcBorders>
                    <w:tl2br w:val="nil"/>
                    <w:tr2bl w:val="nil"/>
                  </w:tcBorders>
                  <w:noWrap/>
                  <w:tcMar>
                    <w:top w:w="15" w:type="dxa"/>
                    <w:left w:w="15" w:type="dxa"/>
                    <w:right w:w="15" w:type="dxa"/>
                  </w:tcMar>
                  <w:vAlign w:val="center"/>
                </w:tcPr>
                <w:p w14:paraId="3C91CC8E">
                  <w:pPr>
                    <w:pStyle w:val="31"/>
                    <w:rPr>
                      <w:sz w:val="21"/>
                    </w:rPr>
                  </w:pPr>
                </w:p>
              </w:tc>
              <w:tc>
                <w:tcPr>
                  <w:tcW w:w="1195" w:type="dxa"/>
                  <w:tcBorders>
                    <w:tl2br w:val="nil"/>
                    <w:tr2bl w:val="nil"/>
                  </w:tcBorders>
                  <w:vAlign w:val="center"/>
                </w:tcPr>
                <w:p w14:paraId="31BD8EE5">
                  <w:pPr>
                    <w:ind w:firstLine="0" w:firstLineChars="0"/>
                    <w:jc w:val="center"/>
                    <w:rPr>
                      <w:sz w:val="21"/>
                      <w:szCs w:val="21"/>
                    </w:rPr>
                  </w:pPr>
                  <w:r>
                    <w:rPr>
                      <w:rFonts w:hint="eastAsia"/>
                      <w:sz w:val="21"/>
                      <w:szCs w:val="21"/>
                    </w:rPr>
                    <w:t>60</w:t>
                  </w:r>
                </w:p>
              </w:tc>
            </w:tr>
            <w:tr w14:paraId="76FCAF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75042916">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6F9B7027">
                  <w:pPr>
                    <w:widowControl/>
                    <w:spacing w:line="360" w:lineRule="exact"/>
                    <w:ind w:firstLine="0" w:firstLineChars="0"/>
                    <w:jc w:val="center"/>
                    <w:rPr>
                      <w:bCs/>
                      <w:sz w:val="21"/>
                      <w:szCs w:val="21"/>
                    </w:rPr>
                  </w:pPr>
                  <w:r>
                    <w:rPr>
                      <w:bCs/>
                      <w:sz w:val="21"/>
                      <w:szCs w:val="21"/>
                    </w:rPr>
                    <w:t>数控滚齿机</w:t>
                  </w:r>
                </w:p>
              </w:tc>
              <w:tc>
                <w:tcPr>
                  <w:tcW w:w="792" w:type="dxa"/>
                  <w:tcBorders>
                    <w:tl2br w:val="nil"/>
                    <w:tr2bl w:val="nil"/>
                  </w:tcBorders>
                  <w:noWrap/>
                  <w:tcMar>
                    <w:top w:w="15" w:type="dxa"/>
                    <w:left w:w="15" w:type="dxa"/>
                    <w:right w:w="15" w:type="dxa"/>
                  </w:tcMar>
                  <w:vAlign w:val="center"/>
                </w:tcPr>
                <w:p w14:paraId="42D50EC0">
                  <w:pPr>
                    <w:spacing w:line="360" w:lineRule="exact"/>
                    <w:ind w:firstLine="0" w:firstLineChars="0"/>
                    <w:jc w:val="center"/>
                    <w:rPr>
                      <w:sz w:val="21"/>
                      <w:szCs w:val="21"/>
                    </w:rPr>
                  </w:pPr>
                  <w:r>
                    <w:rPr>
                      <w:rFonts w:hint="eastAsia"/>
                      <w:bCs/>
                      <w:sz w:val="21"/>
                      <w:szCs w:val="21"/>
                    </w:rPr>
                    <w:t>4</w:t>
                  </w:r>
                </w:p>
              </w:tc>
              <w:tc>
                <w:tcPr>
                  <w:tcW w:w="940" w:type="dxa"/>
                  <w:tcBorders>
                    <w:tl2br w:val="nil"/>
                    <w:tr2bl w:val="nil"/>
                  </w:tcBorders>
                  <w:noWrap/>
                  <w:tcMar>
                    <w:top w:w="15" w:type="dxa"/>
                    <w:left w:w="15" w:type="dxa"/>
                    <w:right w:w="15" w:type="dxa"/>
                  </w:tcMar>
                  <w:vAlign w:val="center"/>
                </w:tcPr>
                <w:p w14:paraId="1B094D79">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25D700AC">
                  <w:pPr>
                    <w:pStyle w:val="31"/>
                    <w:rPr>
                      <w:sz w:val="21"/>
                    </w:rPr>
                  </w:pPr>
                </w:p>
              </w:tc>
              <w:tc>
                <w:tcPr>
                  <w:tcW w:w="1283" w:type="dxa"/>
                  <w:vMerge w:val="continue"/>
                  <w:tcBorders>
                    <w:tl2br w:val="nil"/>
                    <w:tr2bl w:val="nil"/>
                  </w:tcBorders>
                  <w:noWrap/>
                  <w:tcMar>
                    <w:top w:w="15" w:type="dxa"/>
                    <w:left w:w="15" w:type="dxa"/>
                    <w:right w:w="15" w:type="dxa"/>
                  </w:tcMar>
                  <w:vAlign w:val="center"/>
                </w:tcPr>
                <w:p w14:paraId="02CDF972">
                  <w:pPr>
                    <w:pStyle w:val="31"/>
                    <w:rPr>
                      <w:sz w:val="21"/>
                    </w:rPr>
                  </w:pPr>
                </w:p>
              </w:tc>
              <w:tc>
                <w:tcPr>
                  <w:tcW w:w="1195" w:type="dxa"/>
                  <w:tcBorders>
                    <w:tl2br w:val="nil"/>
                    <w:tr2bl w:val="nil"/>
                  </w:tcBorders>
                  <w:vAlign w:val="center"/>
                </w:tcPr>
                <w:p w14:paraId="4A5E3DD7">
                  <w:pPr>
                    <w:ind w:firstLine="0" w:firstLineChars="0"/>
                    <w:jc w:val="center"/>
                    <w:rPr>
                      <w:sz w:val="21"/>
                      <w:szCs w:val="21"/>
                    </w:rPr>
                  </w:pPr>
                  <w:r>
                    <w:rPr>
                      <w:rFonts w:hint="eastAsia"/>
                      <w:sz w:val="21"/>
                      <w:szCs w:val="21"/>
                    </w:rPr>
                    <w:t>60</w:t>
                  </w:r>
                </w:p>
              </w:tc>
            </w:tr>
            <w:tr w14:paraId="629016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72C9263E">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44416CB0">
                  <w:pPr>
                    <w:widowControl/>
                    <w:spacing w:line="360" w:lineRule="exact"/>
                    <w:ind w:firstLine="0" w:firstLineChars="0"/>
                    <w:jc w:val="center"/>
                    <w:rPr>
                      <w:bCs/>
                      <w:sz w:val="21"/>
                      <w:szCs w:val="21"/>
                    </w:rPr>
                  </w:pPr>
                  <w:r>
                    <w:rPr>
                      <w:rFonts w:hint="eastAsia"/>
                      <w:bCs/>
                      <w:sz w:val="21"/>
                      <w:szCs w:val="21"/>
                    </w:rPr>
                    <w:t>数控插齿机</w:t>
                  </w:r>
                </w:p>
              </w:tc>
              <w:tc>
                <w:tcPr>
                  <w:tcW w:w="792" w:type="dxa"/>
                  <w:tcBorders>
                    <w:tl2br w:val="nil"/>
                    <w:tr2bl w:val="nil"/>
                  </w:tcBorders>
                  <w:noWrap/>
                  <w:tcMar>
                    <w:top w:w="15" w:type="dxa"/>
                    <w:left w:w="15" w:type="dxa"/>
                    <w:right w:w="15" w:type="dxa"/>
                  </w:tcMar>
                  <w:vAlign w:val="center"/>
                </w:tcPr>
                <w:p w14:paraId="040562D2">
                  <w:pPr>
                    <w:spacing w:line="360" w:lineRule="exact"/>
                    <w:ind w:firstLine="0" w:firstLineChars="0"/>
                    <w:jc w:val="center"/>
                    <w:rPr>
                      <w:sz w:val="21"/>
                      <w:szCs w:val="21"/>
                    </w:rPr>
                  </w:pPr>
                  <w:r>
                    <w:rPr>
                      <w:rFonts w:hint="eastAsia"/>
                      <w:bCs/>
                      <w:sz w:val="21"/>
                      <w:szCs w:val="21"/>
                    </w:rPr>
                    <w:t>4</w:t>
                  </w:r>
                </w:p>
              </w:tc>
              <w:tc>
                <w:tcPr>
                  <w:tcW w:w="940" w:type="dxa"/>
                  <w:tcBorders>
                    <w:tl2br w:val="nil"/>
                    <w:tr2bl w:val="nil"/>
                  </w:tcBorders>
                  <w:noWrap/>
                  <w:tcMar>
                    <w:top w:w="15" w:type="dxa"/>
                    <w:left w:w="15" w:type="dxa"/>
                    <w:right w:w="15" w:type="dxa"/>
                  </w:tcMar>
                  <w:vAlign w:val="center"/>
                </w:tcPr>
                <w:p w14:paraId="559C3A03">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422DEA14">
                  <w:pPr>
                    <w:pStyle w:val="31"/>
                    <w:rPr>
                      <w:sz w:val="21"/>
                    </w:rPr>
                  </w:pPr>
                </w:p>
              </w:tc>
              <w:tc>
                <w:tcPr>
                  <w:tcW w:w="1283" w:type="dxa"/>
                  <w:vMerge w:val="continue"/>
                  <w:tcBorders>
                    <w:tl2br w:val="nil"/>
                    <w:tr2bl w:val="nil"/>
                  </w:tcBorders>
                  <w:noWrap/>
                  <w:tcMar>
                    <w:top w:w="15" w:type="dxa"/>
                    <w:left w:w="15" w:type="dxa"/>
                    <w:right w:w="15" w:type="dxa"/>
                  </w:tcMar>
                  <w:vAlign w:val="center"/>
                </w:tcPr>
                <w:p w14:paraId="531B2EEE">
                  <w:pPr>
                    <w:pStyle w:val="31"/>
                    <w:rPr>
                      <w:sz w:val="21"/>
                    </w:rPr>
                  </w:pPr>
                </w:p>
              </w:tc>
              <w:tc>
                <w:tcPr>
                  <w:tcW w:w="1195" w:type="dxa"/>
                  <w:tcBorders>
                    <w:tl2br w:val="nil"/>
                    <w:tr2bl w:val="nil"/>
                  </w:tcBorders>
                  <w:vAlign w:val="center"/>
                </w:tcPr>
                <w:p w14:paraId="673EFF26">
                  <w:pPr>
                    <w:ind w:firstLine="0" w:firstLineChars="0"/>
                    <w:jc w:val="center"/>
                    <w:rPr>
                      <w:sz w:val="21"/>
                      <w:szCs w:val="21"/>
                    </w:rPr>
                  </w:pPr>
                  <w:r>
                    <w:rPr>
                      <w:rFonts w:hint="eastAsia"/>
                      <w:sz w:val="21"/>
                      <w:szCs w:val="21"/>
                    </w:rPr>
                    <w:t>60</w:t>
                  </w:r>
                </w:p>
              </w:tc>
            </w:tr>
            <w:tr w14:paraId="63D18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05ECB2B7">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712726FA">
                  <w:pPr>
                    <w:widowControl/>
                    <w:spacing w:line="360" w:lineRule="exact"/>
                    <w:ind w:firstLine="0" w:firstLineChars="0"/>
                    <w:jc w:val="center"/>
                    <w:rPr>
                      <w:bCs/>
                      <w:sz w:val="21"/>
                      <w:szCs w:val="21"/>
                    </w:rPr>
                  </w:pPr>
                  <w:r>
                    <w:rPr>
                      <w:bCs/>
                      <w:sz w:val="21"/>
                      <w:szCs w:val="21"/>
                    </w:rPr>
                    <w:t>插齿机</w:t>
                  </w:r>
                </w:p>
              </w:tc>
              <w:tc>
                <w:tcPr>
                  <w:tcW w:w="792" w:type="dxa"/>
                  <w:tcBorders>
                    <w:tl2br w:val="nil"/>
                    <w:tr2bl w:val="nil"/>
                  </w:tcBorders>
                  <w:noWrap/>
                  <w:tcMar>
                    <w:top w:w="15" w:type="dxa"/>
                    <w:left w:w="15" w:type="dxa"/>
                    <w:right w:w="15" w:type="dxa"/>
                  </w:tcMar>
                  <w:vAlign w:val="center"/>
                </w:tcPr>
                <w:p w14:paraId="4F199501">
                  <w:pPr>
                    <w:spacing w:line="360" w:lineRule="exact"/>
                    <w:ind w:firstLine="0" w:firstLineChars="0"/>
                    <w:jc w:val="center"/>
                    <w:rPr>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651959B7">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279D06BE">
                  <w:pPr>
                    <w:pStyle w:val="31"/>
                    <w:rPr>
                      <w:sz w:val="21"/>
                    </w:rPr>
                  </w:pPr>
                </w:p>
              </w:tc>
              <w:tc>
                <w:tcPr>
                  <w:tcW w:w="1283" w:type="dxa"/>
                  <w:vMerge w:val="continue"/>
                  <w:tcBorders>
                    <w:tl2br w:val="nil"/>
                    <w:tr2bl w:val="nil"/>
                  </w:tcBorders>
                  <w:noWrap/>
                  <w:tcMar>
                    <w:top w:w="15" w:type="dxa"/>
                    <w:left w:w="15" w:type="dxa"/>
                    <w:right w:w="15" w:type="dxa"/>
                  </w:tcMar>
                  <w:vAlign w:val="center"/>
                </w:tcPr>
                <w:p w14:paraId="1BA79044">
                  <w:pPr>
                    <w:pStyle w:val="31"/>
                    <w:rPr>
                      <w:sz w:val="21"/>
                    </w:rPr>
                  </w:pPr>
                </w:p>
              </w:tc>
              <w:tc>
                <w:tcPr>
                  <w:tcW w:w="1195" w:type="dxa"/>
                  <w:tcBorders>
                    <w:tl2br w:val="nil"/>
                    <w:tr2bl w:val="nil"/>
                  </w:tcBorders>
                  <w:vAlign w:val="center"/>
                </w:tcPr>
                <w:p w14:paraId="2F3BDB5B">
                  <w:pPr>
                    <w:ind w:firstLine="0" w:firstLineChars="0"/>
                    <w:jc w:val="center"/>
                    <w:rPr>
                      <w:sz w:val="21"/>
                      <w:szCs w:val="21"/>
                    </w:rPr>
                  </w:pPr>
                  <w:r>
                    <w:rPr>
                      <w:rFonts w:hint="eastAsia"/>
                      <w:sz w:val="21"/>
                      <w:szCs w:val="21"/>
                    </w:rPr>
                    <w:t>60</w:t>
                  </w:r>
                </w:p>
              </w:tc>
            </w:tr>
            <w:tr w14:paraId="7B322E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3F09DD46">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036BC0FD">
                  <w:pPr>
                    <w:widowControl/>
                    <w:spacing w:line="360" w:lineRule="exact"/>
                    <w:ind w:firstLine="0" w:firstLineChars="0"/>
                    <w:jc w:val="center"/>
                    <w:rPr>
                      <w:bCs/>
                      <w:sz w:val="21"/>
                      <w:szCs w:val="21"/>
                    </w:rPr>
                  </w:pPr>
                  <w:r>
                    <w:rPr>
                      <w:rFonts w:hint="eastAsia"/>
                      <w:bCs/>
                      <w:sz w:val="21"/>
                      <w:szCs w:val="21"/>
                    </w:rPr>
                    <w:t>剃齿机</w:t>
                  </w:r>
                </w:p>
              </w:tc>
              <w:tc>
                <w:tcPr>
                  <w:tcW w:w="792" w:type="dxa"/>
                  <w:tcBorders>
                    <w:tl2br w:val="nil"/>
                    <w:tr2bl w:val="nil"/>
                  </w:tcBorders>
                  <w:noWrap/>
                  <w:tcMar>
                    <w:top w:w="15" w:type="dxa"/>
                    <w:left w:w="15" w:type="dxa"/>
                    <w:right w:w="15" w:type="dxa"/>
                  </w:tcMar>
                  <w:vAlign w:val="center"/>
                </w:tcPr>
                <w:p w14:paraId="03ED866F">
                  <w:pPr>
                    <w:widowControl/>
                    <w:spacing w:line="360" w:lineRule="exact"/>
                    <w:ind w:firstLine="0" w:firstLineChars="0"/>
                    <w:jc w:val="center"/>
                    <w:rPr>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3BC45A64">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311011B8">
                  <w:pPr>
                    <w:pStyle w:val="31"/>
                    <w:rPr>
                      <w:sz w:val="21"/>
                    </w:rPr>
                  </w:pPr>
                </w:p>
              </w:tc>
              <w:tc>
                <w:tcPr>
                  <w:tcW w:w="1283" w:type="dxa"/>
                  <w:vMerge w:val="continue"/>
                  <w:tcBorders>
                    <w:tl2br w:val="nil"/>
                    <w:tr2bl w:val="nil"/>
                  </w:tcBorders>
                  <w:noWrap/>
                  <w:tcMar>
                    <w:top w:w="15" w:type="dxa"/>
                    <w:left w:w="15" w:type="dxa"/>
                    <w:right w:w="15" w:type="dxa"/>
                  </w:tcMar>
                  <w:vAlign w:val="center"/>
                </w:tcPr>
                <w:p w14:paraId="767A8C78">
                  <w:pPr>
                    <w:pStyle w:val="31"/>
                    <w:rPr>
                      <w:sz w:val="21"/>
                    </w:rPr>
                  </w:pPr>
                </w:p>
              </w:tc>
              <w:tc>
                <w:tcPr>
                  <w:tcW w:w="1195" w:type="dxa"/>
                  <w:tcBorders>
                    <w:tl2br w:val="nil"/>
                    <w:tr2bl w:val="nil"/>
                  </w:tcBorders>
                  <w:vAlign w:val="center"/>
                </w:tcPr>
                <w:p w14:paraId="164530ED">
                  <w:pPr>
                    <w:ind w:firstLine="0" w:firstLineChars="0"/>
                    <w:jc w:val="center"/>
                    <w:rPr>
                      <w:sz w:val="21"/>
                      <w:szCs w:val="21"/>
                    </w:rPr>
                  </w:pPr>
                  <w:r>
                    <w:rPr>
                      <w:rFonts w:hint="eastAsia"/>
                      <w:sz w:val="21"/>
                      <w:szCs w:val="21"/>
                    </w:rPr>
                    <w:t>60</w:t>
                  </w:r>
                </w:p>
              </w:tc>
            </w:tr>
            <w:tr w14:paraId="3DF145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224501C1">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314FB847">
                  <w:pPr>
                    <w:widowControl/>
                    <w:spacing w:line="360" w:lineRule="exact"/>
                    <w:ind w:firstLine="0" w:firstLineChars="0"/>
                    <w:jc w:val="center"/>
                    <w:rPr>
                      <w:bCs/>
                      <w:sz w:val="21"/>
                      <w:szCs w:val="21"/>
                    </w:rPr>
                  </w:pPr>
                  <w:r>
                    <w:rPr>
                      <w:rFonts w:hint="eastAsia"/>
                      <w:bCs/>
                      <w:sz w:val="21"/>
                      <w:szCs w:val="21"/>
                    </w:rPr>
                    <w:t>数控倒角机</w:t>
                  </w:r>
                </w:p>
              </w:tc>
              <w:tc>
                <w:tcPr>
                  <w:tcW w:w="792" w:type="dxa"/>
                  <w:tcBorders>
                    <w:tl2br w:val="nil"/>
                    <w:tr2bl w:val="nil"/>
                  </w:tcBorders>
                  <w:noWrap/>
                  <w:tcMar>
                    <w:top w:w="15" w:type="dxa"/>
                    <w:left w:w="15" w:type="dxa"/>
                    <w:right w:w="15" w:type="dxa"/>
                  </w:tcMar>
                  <w:vAlign w:val="center"/>
                </w:tcPr>
                <w:p w14:paraId="0C978EC0">
                  <w:pPr>
                    <w:spacing w:line="360" w:lineRule="exact"/>
                    <w:ind w:firstLine="0" w:firstLineChars="0"/>
                    <w:jc w:val="center"/>
                    <w:rPr>
                      <w:sz w:val="21"/>
                      <w:szCs w:val="21"/>
                    </w:rPr>
                  </w:pPr>
                  <w:r>
                    <w:rPr>
                      <w:rFonts w:hint="eastAsia"/>
                      <w:bCs/>
                      <w:sz w:val="21"/>
                      <w:szCs w:val="21"/>
                    </w:rPr>
                    <w:t>4</w:t>
                  </w:r>
                </w:p>
              </w:tc>
              <w:tc>
                <w:tcPr>
                  <w:tcW w:w="940" w:type="dxa"/>
                  <w:tcBorders>
                    <w:tl2br w:val="nil"/>
                    <w:tr2bl w:val="nil"/>
                  </w:tcBorders>
                  <w:noWrap/>
                  <w:tcMar>
                    <w:top w:w="15" w:type="dxa"/>
                    <w:left w:w="15" w:type="dxa"/>
                    <w:right w:w="15" w:type="dxa"/>
                  </w:tcMar>
                  <w:vAlign w:val="center"/>
                </w:tcPr>
                <w:p w14:paraId="19BCFE51">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09DE7DBE">
                  <w:pPr>
                    <w:pStyle w:val="31"/>
                    <w:rPr>
                      <w:sz w:val="21"/>
                    </w:rPr>
                  </w:pPr>
                </w:p>
              </w:tc>
              <w:tc>
                <w:tcPr>
                  <w:tcW w:w="1283" w:type="dxa"/>
                  <w:vMerge w:val="continue"/>
                  <w:tcBorders>
                    <w:tl2br w:val="nil"/>
                    <w:tr2bl w:val="nil"/>
                  </w:tcBorders>
                  <w:noWrap/>
                  <w:tcMar>
                    <w:top w:w="15" w:type="dxa"/>
                    <w:left w:w="15" w:type="dxa"/>
                    <w:right w:w="15" w:type="dxa"/>
                  </w:tcMar>
                  <w:vAlign w:val="center"/>
                </w:tcPr>
                <w:p w14:paraId="303A32A2">
                  <w:pPr>
                    <w:pStyle w:val="31"/>
                    <w:rPr>
                      <w:sz w:val="21"/>
                    </w:rPr>
                  </w:pPr>
                </w:p>
              </w:tc>
              <w:tc>
                <w:tcPr>
                  <w:tcW w:w="1195" w:type="dxa"/>
                  <w:tcBorders>
                    <w:tl2br w:val="nil"/>
                    <w:tr2bl w:val="nil"/>
                  </w:tcBorders>
                  <w:vAlign w:val="center"/>
                </w:tcPr>
                <w:p w14:paraId="176F2D15">
                  <w:pPr>
                    <w:ind w:firstLine="0" w:firstLineChars="0"/>
                    <w:jc w:val="center"/>
                    <w:rPr>
                      <w:sz w:val="21"/>
                      <w:szCs w:val="21"/>
                    </w:rPr>
                  </w:pPr>
                  <w:r>
                    <w:rPr>
                      <w:rFonts w:hint="eastAsia"/>
                      <w:sz w:val="21"/>
                      <w:szCs w:val="21"/>
                    </w:rPr>
                    <w:t>60</w:t>
                  </w:r>
                </w:p>
              </w:tc>
            </w:tr>
            <w:tr w14:paraId="476387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2BEA025E">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163DACCA">
                  <w:pPr>
                    <w:widowControl/>
                    <w:spacing w:line="360" w:lineRule="exact"/>
                    <w:ind w:firstLine="0" w:firstLineChars="0"/>
                    <w:jc w:val="center"/>
                    <w:rPr>
                      <w:bCs/>
                      <w:sz w:val="21"/>
                      <w:szCs w:val="21"/>
                    </w:rPr>
                  </w:pPr>
                  <w:r>
                    <w:rPr>
                      <w:rFonts w:hint="eastAsia"/>
                      <w:bCs/>
                      <w:sz w:val="21"/>
                      <w:szCs w:val="21"/>
                    </w:rPr>
                    <w:t>电火花线切割</w:t>
                  </w:r>
                </w:p>
              </w:tc>
              <w:tc>
                <w:tcPr>
                  <w:tcW w:w="792" w:type="dxa"/>
                  <w:tcBorders>
                    <w:tl2br w:val="nil"/>
                    <w:tr2bl w:val="nil"/>
                  </w:tcBorders>
                  <w:noWrap/>
                  <w:tcMar>
                    <w:top w:w="15" w:type="dxa"/>
                    <w:left w:w="15" w:type="dxa"/>
                    <w:right w:w="15" w:type="dxa"/>
                  </w:tcMar>
                  <w:vAlign w:val="center"/>
                </w:tcPr>
                <w:p w14:paraId="7F70432D">
                  <w:pPr>
                    <w:spacing w:line="360" w:lineRule="exact"/>
                    <w:ind w:firstLine="0" w:firstLineChars="0"/>
                    <w:jc w:val="center"/>
                    <w:rPr>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18214AEC">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7A5D126C">
                  <w:pPr>
                    <w:pStyle w:val="31"/>
                    <w:rPr>
                      <w:sz w:val="21"/>
                    </w:rPr>
                  </w:pPr>
                </w:p>
              </w:tc>
              <w:tc>
                <w:tcPr>
                  <w:tcW w:w="1283" w:type="dxa"/>
                  <w:vMerge w:val="continue"/>
                  <w:tcBorders>
                    <w:tl2br w:val="nil"/>
                    <w:tr2bl w:val="nil"/>
                  </w:tcBorders>
                  <w:noWrap/>
                  <w:tcMar>
                    <w:top w:w="15" w:type="dxa"/>
                    <w:left w:w="15" w:type="dxa"/>
                    <w:right w:w="15" w:type="dxa"/>
                  </w:tcMar>
                  <w:vAlign w:val="center"/>
                </w:tcPr>
                <w:p w14:paraId="12875392">
                  <w:pPr>
                    <w:pStyle w:val="31"/>
                    <w:rPr>
                      <w:sz w:val="21"/>
                    </w:rPr>
                  </w:pPr>
                </w:p>
              </w:tc>
              <w:tc>
                <w:tcPr>
                  <w:tcW w:w="1195" w:type="dxa"/>
                  <w:tcBorders>
                    <w:tl2br w:val="nil"/>
                    <w:tr2bl w:val="nil"/>
                  </w:tcBorders>
                  <w:vAlign w:val="center"/>
                </w:tcPr>
                <w:p w14:paraId="2E8837FF">
                  <w:pPr>
                    <w:ind w:firstLine="0" w:firstLineChars="0"/>
                    <w:jc w:val="center"/>
                    <w:rPr>
                      <w:sz w:val="21"/>
                      <w:szCs w:val="21"/>
                    </w:rPr>
                  </w:pPr>
                  <w:r>
                    <w:rPr>
                      <w:rFonts w:hint="eastAsia"/>
                      <w:sz w:val="21"/>
                      <w:szCs w:val="21"/>
                    </w:rPr>
                    <w:t>60</w:t>
                  </w:r>
                </w:p>
              </w:tc>
            </w:tr>
            <w:tr w14:paraId="3F9E9B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5E2C114B">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72961577">
                  <w:pPr>
                    <w:widowControl/>
                    <w:spacing w:line="360" w:lineRule="exact"/>
                    <w:ind w:firstLine="0" w:firstLineChars="0"/>
                    <w:jc w:val="center"/>
                    <w:rPr>
                      <w:bCs/>
                      <w:sz w:val="21"/>
                      <w:szCs w:val="21"/>
                    </w:rPr>
                  </w:pPr>
                  <w:r>
                    <w:rPr>
                      <w:rFonts w:hint="eastAsia"/>
                      <w:bCs/>
                      <w:sz w:val="21"/>
                      <w:szCs w:val="21"/>
                    </w:rPr>
                    <w:t>打砂机</w:t>
                  </w:r>
                </w:p>
              </w:tc>
              <w:tc>
                <w:tcPr>
                  <w:tcW w:w="792" w:type="dxa"/>
                  <w:tcBorders>
                    <w:tl2br w:val="nil"/>
                    <w:tr2bl w:val="nil"/>
                  </w:tcBorders>
                  <w:noWrap/>
                  <w:tcMar>
                    <w:top w:w="15" w:type="dxa"/>
                    <w:left w:w="15" w:type="dxa"/>
                    <w:right w:w="15" w:type="dxa"/>
                  </w:tcMar>
                  <w:vAlign w:val="center"/>
                </w:tcPr>
                <w:p w14:paraId="26F1787A">
                  <w:pPr>
                    <w:spacing w:line="360" w:lineRule="exact"/>
                    <w:ind w:firstLine="0" w:firstLineChars="0"/>
                    <w:jc w:val="center"/>
                    <w:rPr>
                      <w:sz w:val="21"/>
                      <w:szCs w:val="21"/>
                    </w:rPr>
                  </w:pPr>
                  <w:r>
                    <w:rPr>
                      <w:rFonts w:hint="eastAsia"/>
                      <w:bCs/>
                      <w:sz w:val="21"/>
                      <w:szCs w:val="21"/>
                    </w:rPr>
                    <w:t>1</w:t>
                  </w:r>
                </w:p>
              </w:tc>
              <w:tc>
                <w:tcPr>
                  <w:tcW w:w="940" w:type="dxa"/>
                  <w:tcBorders>
                    <w:tl2br w:val="nil"/>
                    <w:tr2bl w:val="nil"/>
                  </w:tcBorders>
                  <w:noWrap/>
                  <w:tcMar>
                    <w:top w:w="15" w:type="dxa"/>
                    <w:left w:w="15" w:type="dxa"/>
                    <w:right w:w="15" w:type="dxa"/>
                  </w:tcMar>
                  <w:vAlign w:val="center"/>
                </w:tcPr>
                <w:p w14:paraId="62F6A36C">
                  <w:pPr>
                    <w:pStyle w:val="31"/>
                    <w:rPr>
                      <w:sz w:val="21"/>
                    </w:rPr>
                  </w:pPr>
                  <w:r>
                    <w:rPr>
                      <w:rFonts w:hint="eastAsia"/>
                      <w:sz w:val="21"/>
                    </w:rPr>
                    <w:t>85</w:t>
                  </w:r>
                </w:p>
              </w:tc>
              <w:tc>
                <w:tcPr>
                  <w:tcW w:w="1237" w:type="dxa"/>
                  <w:vMerge w:val="continue"/>
                  <w:tcBorders>
                    <w:tl2br w:val="nil"/>
                    <w:tr2bl w:val="nil"/>
                  </w:tcBorders>
                  <w:noWrap/>
                  <w:tcMar>
                    <w:top w:w="15" w:type="dxa"/>
                    <w:left w:w="15" w:type="dxa"/>
                    <w:right w:w="15" w:type="dxa"/>
                  </w:tcMar>
                  <w:vAlign w:val="center"/>
                </w:tcPr>
                <w:p w14:paraId="0DF44AF6">
                  <w:pPr>
                    <w:pStyle w:val="31"/>
                    <w:rPr>
                      <w:sz w:val="21"/>
                    </w:rPr>
                  </w:pPr>
                </w:p>
              </w:tc>
              <w:tc>
                <w:tcPr>
                  <w:tcW w:w="1283" w:type="dxa"/>
                  <w:vMerge w:val="continue"/>
                  <w:tcBorders>
                    <w:tl2br w:val="nil"/>
                    <w:tr2bl w:val="nil"/>
                  </w:tcBorders>
                  <w:noWrap/>
                  <w:tcMar>
                    <w:top w:w="15" w:type="dxa"/>
                    <w:left w:w="15" w:type="dxa"/>
                    <w:right w:w="15" w:type="dxa"/>
                  </w:tcMar>
                  <w:vAlign w:val="center"/>
                </w:tcPr>
                <w:p w14:paraId="5928B3D0">
                  <w:pPr>
                    <w:pStyle w:val="31"/>
                    <w:rPr>
                      <w:sz w:val="21"/>
                    </w:rPr>
                  </w:pPr>
                </w:p>
              </w:tc>
              <w:tc>
                <w:tcPr>
                  <w:tcW w:w="1195" w:type="dxa"/>
                  <w:tcBorders>
                    <w:tl2br w:val="nil"/>
                    <w:tr2bl w:val="nil"/>
                  </w:tcBorders>
                  <w:vAlign w:val="center"/>
                </w:tcPr>
                <w:p w14:paraId="1DB23535">
                  <w:pPr>
                    <w:pStyle w:val="31"/>
                    <w:rPr>
                      <w:sz w:val="21"/>
                    </w:rPr>
                  </w:pPr>
                  <w:r>
                    <w:rPr>
                      <w:rFonts w:hint="eastAsia"/>
                      <w:sz w:val="21"/>
                    </w:rPr>
                    <w:t>65</w:t>
                  </w:r>
                </w:p>
              </w:tc>
            </w:tr>
            <w:tr w14:paraId="72E97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43A72C82">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11287C5D">
                  <w:pPr>
                    <w:widowControl/>
                    <w:spacing w:line="360" w:lineRule="exact"/>
                    <w:ind w:firstLine="0" w:firstLineChars="0"/>
                    <w:jc w:val="center"/>
                    <w:rPr>
                      <w:bCs/>
                      <w:sz w:val="21"/>
                      <w:szCs w:val="21"/>
                    </w:rPr>
                  </w:pPr>
                  <w:r>
                    <w:rPr>
                      <w:rFonts w:hint="eastAsia"/>
                      <w:bCs/>
                      <w:sz w:val="21"/>
                      <w:szCs w:val="21"/>
                    </w:rPr>
                    <w:t>抛丸机</w:t>
                  </w:r>
                </w:p>
              </w:tc>
              <w:tc>
                <w:tcPr>
                  <w:tcW w:w="792" w:type="dxa"/>
                  <w:tcBorders>
                    <w:tl2br w:val="nil"/>
                    <w:tr2bl w:val="nil"/>
                  </w:tcBorders>
                  <w:noWrap/>
                  <w:tcMar>
                    <w:top w:w="15" w:type="dxa"/>
                    <w:left w:w="15" w:type="dxa"/>
                    <w:right w:w="15" w:type="dxa"/>
                  </w:tcMar>
                  <w:vAlign w:val="center"/>
                </w:tcPr>
                <w:p w14:paraId="209C1CD6">
                  <w:pPr>
                    <w:spacing w:line="360" w:lineRule="exact"/>
                    <w:ind w:firstLine="0" w:firstLineChars="0"/>
                    <w:jc w:val="center"/>
                    <w:rPr>
                      <w:bCs/>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24571353">
                  <w:pPr>
                    <w:pStyle w:val="31"/>
                    <w:rPr>
                      <w:sz w:val="21"/>
                    </w:rPr>
                  </w:pPr>
                  <w:r>
                    <w:rPr>
                      <w:rFonts w:hint="eastAsia"/>
                      <w:sz w:val="21"/>
                    </w:rPr>
                    <w:t>85</w:t>
                  </w:r>
                </w:p>
              </w:tc>
              <w:tc>
                <w:tcPr>
                  <w:tcW w:w="1237" w:type="dxa"/>
                  <w:vMerge w:val="continue"/>
                  <w:tcBorders>
                    <w:tl2br w:val="nil"/>
                    <w:tr2bl w:val="nil"/>
                  </w:tcBorders>
                  <w:noWrap/>
                  <w:tcMar>
                    <w:top w:w="15" w:type="dxa"/>
                    <w:left w:w="15" w:type="dxa"/>
                    <w:right w:w="15" w:type="dxa"/>
                  </w:tcMar>
                  <w:vAlign w:val="center"/>
                </w:tcPr>
                <w:p w14:paraId="79FD3B97">
                  <w:pPr>
                    <w:pStyle w:val="31"/>
                    <w:rPr>
                      <w:sz w:val="21"/>
                    </w:rPr>
                  </w:pPr>
                </w:p>
              </w:tc>
              <w:tc>
                <w:tcPr>
                  <w:tcW w:w="1283" w:type="dxa"/>
                  <w:vMerge w:val="continue"/>
                  <w:tcBorders>
                    <w:tl2br w:val="nil"/>
                    <w:tr2bl w:val="nil"/>
                  </w:tcBorders>
                  <w:noWrap/>
                  <w:tcMar>
                    <w:top w:w="15" w:type="dxa"/>
                    <w:left w:w="15" w:type="dxa"/>
                    <w:right w:w="15" w:type="dxa"/>
                  </w:tcMar>
                  <w:vAlign w:val="center"/>
                </w:tcPr>
                <w:p w14:paraId="0163C612">
                  <w:pPr>
                    <w:pStyle w:val="31"/>
                    <w:rPr>
                      <w:sz w:val="21"/>
                    </w:rPr>
                  </w:pPr>
                </w:p>
              </w:tc>
              <w:tc>
                <w:tcPr>
                  <w:tcW w:w="1195" w:type="dxa"/>
                  <w:tcBorders>
                    <w:tl2br w:val="nil"/>
                    <w:tr2bl w:val="nil"/>
                  </w:tcBorders>
                  <w:vAlign w:val="center"/>
                </w:tcPr>
                <w:p w14:paraId="4839230A">
                  <w:pPr>
                    <w:pStyle w:val="31"/>
                    <w:rPr>
                      <w:sz w:val="21"/>
                    </w:rPr>
                  </w:pPr>
                  <w:r>
                    <w:rPr>
                      <w:rFonts w:hint="eastAsia"/>
                      <w:sz w:val="21"/>
                    </w:rPr>
                    <w:t>65</w:t>
                  </w:r>
                </w:p>
              </w:tc>
            </w:tr>
            <w:tr w14:paraId="0D0F89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10C29AB6">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1876CFEF">
                  <w:pPr>
                    <w:widowControl/>
                    <w:spacing w:line="360" w:lineRule="exact"/>
                    <w:ind w:firstLine="0" w:firstLineChars="0"/>
                    <w:jc w:val="center"/>
                    <w:rPr>
                      <w:bCs/>
                      <w:sz w:val="21"/>
                      <w:szCs w:val="21"/>
                    </w:rPr>
                  </w:pPr>
                  <w:r>
                    <w:rPr>
                      <w:rFonts w:hint="eastAsia"/>
                      <w:bCs/>
                      <w:sz w:val="21"/>
                      <w:szCs w:val="21"/>
                    </w:rPr>
                    <w:t>外圆磨床</w:t>
                  </w:r>
                </w:p>
              </w:tc>
              <w:tc>
                <w:tcPr>
                  <w:tcW w:w="792" w:type="dxa"/>
                  <w:tcBorders>
                    <w:tl2br w:val="nil"/>
                    <w:tr2bl w:val="nil"/>
                  </w:tcBorders>
                  <w:noWrap/>
                  <w:tcMar>
                    <w:top w:w="15" w:type="dxa"/>
                    <w:left w:w="15" w:type="dxa"/>
                    <w:right w:w="15" w:type="dxa"/>
                  </w:tcMar>
                  <w:vAlign w:val="center"/>
                </w:tcPr>
                <w:p w14:paraId="055F982A">
                  <w:pPr>
                    <w:spacing w:line="360" w:lineRule="exact"/>
                    <w:ind w:firstLine="0" w:firstLineChars="0"/>
                    <w:jc w:val="center"/>
                    <w:rPr>
                      <w:bCs/>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6ABCC3DC">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494F3BDC">
                  <w:pPr>
                    <w:pStyle w:val="31"/>
                    <w:rPr>
                      <w:sz w:val="21"/>
                    </w:rPr>
                  </w:pPr>
                </w:p>
              </w:tc>
              <w:tc>
                <w:tcPr>
                  <w:tcW w:w="1283" w:type="dxa"/>
                  <w:vMerge w:val="continue"/>
                  <w:tcBorders>
                    <w:tl2br w:val="nil"/>
                    <w:tr2bl w:val="nil"/>
                  </w:tcBorders>
                  <w:noWrap/>
                  <w:tcMar>
                    <w:top w:w="15" w:type="dxa"/>
                    <w:left w:w="15" w:type="dxa"/>
                    <w:right w:w="15" w:type="dxa"/>
                  </w:tcMar>
                  <w:vAlign w:val="center"/>
                </w:tcPr>
                <w:p w14:paraId="2788AB2E">
                  <w:pPr>
                    <w:pStyle w:val="31"/>
                    <w:rPr>
                      <w:sz w:val="21"/>
                    </w:rPr>
                  </w:pPr>
                </w:p>
              </w:tc>
              <w:tc>
                <w:tcPr>
                  <w:tcW w:w="1195" w:type="dxa"/>
                  <w:tcBorders>
                    <w:tl2br w:val="nil"/>
                    <w:tr2bl w:val="nil"/>
                  </w:tcBorders>
                  <w:vAlign w:val="center"/>
                </w:tcPr>
                <w:p w14:paraId="5108BF6B">
                  <w:pPr>
                    <w:pStyle w:val="31"/>
                    <w:rPr>
                      <w:sz w:val="21"/>
                    </w:rPr>
                  </w:pPr>
                  <w:r>
                    <w:rPr>
                      <w:rFonts w:hint="eastAsia"/>
                      <w:sz w:val="21"/>
                    </w:rPr>
                    <w:t>60</w:t>
                  </w:r>
                </w:p>
              </w:tc>
            </w:tr>
            <w:tr w14:paraId="20CC7E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13F02947">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4DFD4501">
                  <w:pPr>
                    <w:widowControl/>
                    <w:spacing w:line="360" w:lineRule="exact"/>
                    <w:ind w:firstLine="0" w:firstLineChars="0"/>
                    <w:jc w:val="center"/>
                    <w:rPr>
                      <w:bCs/>
                      <w:sz w:val="21"/>
                      <w:szCs w:val="21"/>
                    </w:rPr>
                  </w:pPr>
                  <w:r>
                    <w:rPr>
                      <w:rFonts w:hint="eastAsia"/>
                      <w:bCs/>
                      <w:sz w:val="21"/>
                      <w:szCs w:val="21"/>
                    </w:rPr>
                    <w:t>平面磨床</w:t>
                  </w:r>
                </w:p>
              </w:tc>
              <w:tc>
                <w:tcPr>
                  <w:tcW w:w="792" w:type="dxa"/>
                  <w:tcBorders>
                    <w:tl2br w:val="nil"/>
                    <w:tr2bl w:val="nil"/>
                  </w:tcBorders>
                  <w:noWrap/>
                  <w:tcMar>
                    <w:top w:w="15" w:type="dxa"/>
                    <w:left w:w="15" w:type="dxa"/>
                    <w:right w:w="15" w:type="dxa"/>
                  </w:tcMar>
                  <w:vAlign w:val="center"/>
                </w:tcPr>
                <w:p w14:paraId="4A79196A">
                  <w:pPr>
                    <w:spacing w:line="360" w:lineRule="exact"/>
                    <w:ind w:firstLine="0" w:firstLineChars="0"/>
                    <w:jc w:val="center"/>
                    <w:rPr>
                      <w:bCs/>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7F1C63A0">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78A77D22">
                  <w:pPr>
                    <w:pStyle w:val="31"/>
                    <w:rPr>
                      <w:sz w:val="21"/>
                    </w:rPr>
                  </w:pPr>
                </w:p>
              </w:tc>
              <w:tc>
                <w:tcPr>
                  <w:tcW w:w="1283" w:type="dxa"/>
                  <w:vMerge w:val="continue"/>
                  <w:tcBorders>
                    <w:tl2br w:val="nil"/>
                    <w:tr2bl w:val="nil"/>
                  </w:tcBorders>
                  <w:noWrap/>
                  <w:tcMar>
                    <w:top w:w="15" w:type="dxa"/>
                    <w:left w:w="15" w:type="dxa"/>
                    <w:right w:w="15" w:type="dxa"/>
                  </w:tcMar>
                  <w:vAlign w:val="center"/>
                </w:tcPr>
                <w:p w14:paraId="17408025">
                  <w:pPr>
                    <w:pStyle w:val="31"/>
                    <w:rPr>
                      <w:sz w:val="21"/>
                    </w:rPr>
                  </w:pPr>
                </w:p>
              </w:tc>
              <w:tc>
                <w:tcPr>
                  <w:tcW w:w="1195" w:type="dxa"/>
                  <w:tcBorders>
                    <w:tl2br w:val="nil"/>
                    <w:tr2bl w:val="nil"/>
                  </w:tcBorders>
                  <w:vAlign w:val="center"/>
                </w:tcPr>
                <w:p w14:paraId="31643BFA">
                  <w:pPr>
                    <w:ind w:firstLine="0" w:firstLineChars="0"/>
                    <w:jc w:val="center"/>
                    <w:rPr>
                      <w:sz w:val="21"/>
                      <w:szCs w:val="21"/>
                    </w:rPr>
                  </w:pPr>
                  <w:r>
                    <w:rPr>
                      <w:rFonts w:hint="eastAsia"/>
                      <w:sz w:val="21"/>
                      <w:szCs w:val="21"/>
                    </w:rPr>
                    <w:t>60</w:t>
                  </w:r>
                </w:p>
              </w:tc>
            </w:tr>
            <w:tr w14:paraId="1BE73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7F5CDED3">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64DC6F9C">
                  <w:pPr>
                    <w:widowControl/>
                    <w:spacing w:line="360" w:lineRule="exact"/>
                    <w:ind w:firstLine="0" w:firstLineChars="0"/>
                    <w:jc w:val="center"/>
                    <w:rPr>
                      <w:bCs/>
                      <w:sz w:val="21"/>
                      <w:szCs w:val="21"/>
                    </w:rPr>
                  </w:pPr>
                  <w:r>
                    <w:rPr>
                      <w:rFonts w:hint="eastAsia"/>
                      <w:bCs/>
                      <w:sz w:val="21"/>
                      <w:szCs w:val="21"/>
                    </w:rPr>
                    <w:t>数控内圆磨床</w:t>
                  </w:r>
                </w:p>
              </w:tc>
              <w:tc>
                <w:tcPr>
                  <w:tcW w:w="792" w:type="dxa"/>
                  <w:tcBorders>
                    <w:tl2br w:val="nil"/>
                    <w:tr2bl w:val="nil"/>
                  </w:tcBorders>
                  <w:noWrap/>
                  <w:tcMar>
                    <w:top w:w="15" w:type="dxa"/>
                    <w:left w:w="15" w:type="dxa"/>
                    <w:right w:w="15" w:type="dxa"/>
                  </w:tcMar>
                  <w:vAlign w:val="center"/>
                </w:tcPr>
                <w:p w14:paraId="7C4060BF">
                  <w:pPr>
                    <w:spacing w:line="360" w:lineRule="exact"/>
                    <w:ind w:firstLine="0" w:firstLineChars="0"/>
                    <w:jc w:val="center"/>
                    <w:rPr>
                      <w:bCs/>
                      <w:sz w:val="21"/>
                      <w:szCs w:val="21"/>
                    </w:rPr>
                  </w:pPr>
                  <w:r>
                    <w:rPr>
                      <w:rFonts w:hint="eastAsia"/>
                      <w:bCs/>
                      <w:sz w:val="21"/>
                      <w:szCs w:val="21"/>
                    </w:rPr>
                    <w:t>2</w:t>
                  </w:r>
                </w:p>
              </w:tc>
              <w:tc>
                <w:tcPr>
                  <w:tcW w:w="940" w:type="dxa"/>
                  <w:tcBorders>
                    <w:tl2br w:val="nil"/>
                    <w:tr2bl w:val="nil"/>
                  </w:tcBorders>
                  <w:noWrap/>
                  <w:tcMar>
                    <w:top w:w="15" w:type="dxa"/>
                    <w:left w:w="15" w:type="dxa"/>
                    <w:right w:w="15" w:type="dxa"/>
                  </w:tcMar>
                  <w:vAlign w:val="center"/>
                </w:tcPr>
                <w:p w14:paraId="4E2411E0">
                  <w:pPr>
                    <w:pStyle w:val="31"/>
                    <w:rPr>
                      <w:sz w:val="21"/>
                    </w:rPr>
                  </w:pPr>
                  <w:r>
                    <w:rPr>
                      <w:rFonts w:hint="eastAsia"/>
                      <w:sz w:val="21"/>
                    </w:rPr>
                    <w:t>80</w:t>
                  </w:r>
                </w:p>
              </w:tc>
              <w:tc>
                <w:tcPr>
                  <w:tcW w:w="1237" w:type="dxa"/>
                  <w:vMerge w:val="continue"/>
                  <w:tcBorders>
                    <w:tl2br w:val="nil"/>
                    <w:tr2bl w:val="nil"/>
                  </w:tcBorders>
                  <w:noWrap/>
                  <w:tcMar>
                    <w:top w:w="15" w:type="dxa"/>
                    <w:left w:w="15" w:type="dxa"/>
                    <w:right w:w="15" w:type="dxa"/>
                  </w:tcMar>
                  <w:vAlign w:val="center"/>
                </w:tcPr>
                <w:p w14:paraId="66D2FCEF">
                  <w:pPr>
                    <w:pStyle w:val="31"/>
                    <w:rPr>
                      <w:sz w:val="21"/>
                    </w:rPr>
                  </w:pPr>
                </w:p>
              </w:tc>
              <w:tc>
                <w:tcPr>
                  <w:tcW w:w="1283" w:type="dxa"/>
                  <w:vMerge w:val="continue"/>
                  <w:tcBorders>
                    <w:tl2br w:val="nil"/>
                    <w:tr2bl w:val="nil"/>
                  </w:tcBorders>
                  <w:noWrap/>
                  <w:tcMar>
                    <w:top w:w="15" w:type="dxa"/>
                    <w:left w:w="15" w:type="dxa"/>
                    <w:right w:w="15" w:type="dxa"/>
                  </w:tcMar>
                  <w:vAlign w:val="center"/>
                </w:tcPr>
                <w:p w14:paraId="6E072508">
                  <w:pPr>
                    <w:pStyle w:val="31"/>
                    <w:rPr>
                      <w:sz w:val="21"/>
                    </w:rPr>
                  </w:pPr>
                </w:p>
              </w:tc>
              <w:tc>
                <w:tcPr>
                  <w:tcW w:w="1195" w:type="dxa"/>
                  <w:tcBorders>
                    <w:tl2br w:val="nil"/>
                    <w:tr2bl w:val="nil"/>
                  </w:tcBorders>
                  <w:vAlign w:val="center"/>
                </w:tcPr>
                <w:p w14:paraId="63907B51">
                  <w:pPr>
                    <w:ind w:firstLine="0" w:firstLineChars="0"/>
                    <w:jc w:val="center"/>
                    <w:rPr>
                      <w:sz w:val="21"/>
                      <w:szCs w:val="21"/>
                    </w:rPr>
                  </w:pPr>
                  <w:r>
                    <w:rPr>
                      <w:rFonts w:hint="eastAsia"/>
                      <w:sz w:val="21"/>
                      <w:szCs w:val="21"/>
                    </w:rPr>
                    <w:t>60</w:t>
                  </w:r>
                </w:p>
              </w:tc>
            </w:tr>
            <w:tr w14:paraId="0F041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7B5A2BED">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7451ED6D">
                  <w:pPr>
                    <w:spacing w:line="240" w:lineRule="auto"/>
                    <w:ind w:firstLine="0" w:firstLineChars="0"/>
                    <w:jc w:val="center"/>
                    <w:rPr>
                      <w:sz w:val="21"/>
                      <w:szCs w:val="21"/>
                    </w:rPr>
                  </w:pPr>
                  <w:r>
                    <w:rPr>
                      <w:rFonts w:hint="eastAsia"/>
                      <w:sz w:val="21"/>
                      <w:szCs w:val="21"/>
                    </w:rPr>
                    <w:t>风机</w:t>
                  </w:r>
                </w:p>
              </w:tc>
              <w:tc>
                <w:tcPr>
                  <w:tcW w:w="792" w:type="dxa"/>
                  <w:tcBorders>
                    <w:tl2br w:val="nil"/>
                    <w:tr2bl w:val="nil"/>
                  </w:tcBorders>
                  <w:noWrap/>
                  <w:tcMar>
                    <w:top w:w="15" w:type="dxa"/>
                    <w:left w:w="15" w:type="dxa"/>
                    <w:right w:w="15" w:type="dxa"/>
                  </w:tcMar>
                  <w:vAlign w:val="center"/>
                </w:tcPr>
                <w:p w14:paraId="2901FAA2">
                  <w:pPr>
                    <w:pStyle w:val="31"/>
                    <w:rPr>
                      <w:sz w:val="21"/>
                    </w:rPr>
                  </w:pPr>
                  <w:r>
                    <w:rPr>
                      <w:rFonts w:hint="eastAsia"/>
                      <w:sz w:val="21"/>
                    </w:rPr>
                    <w:t>2</w:t>
                  </w:r>
                </w:p>
              </w:tc>
              <w:tc>
                <w:tcPr>
                  <w:tcW w:w="940" w:type="dxa"/>
                  <w:tcBorders>
                    <w:tl2br w:val="nil"/>
                    <w:tr2bl w:val="nil"/>
                  </w:tcBorders>
                  <w:noWrap/>
                  <w:tcMar>
                    <w:top w:w="15" w:type="dxa"/>
                    <w:left w:w="15" w:type="dxa"/>
                    <w:right w:w="15" w:type="dxa"/>
                  </w:tcMar>
                  <w:vAlign w:val="center"/>
                </w:tcPr>
                <w:p w14:paraId="508A5A9A">
                  <w:pPr>
                    <w:pStyle w:val="31"/>
                    <w:rPr>
                      <w:sz w:val="21"/>
                    </w:rPr>
                  </w:pPr>
                  <w:r>
                    <w:rPr>
                      <w:rFonts w:hint="eastAsia"/>
                      <w:sz w:val="21"/>
                    </w:rPr>
                    <w:t>85</w:t>
                  </w:r>
                </w:p>
              </w:tc>
              <w:tc>
                <w:tcPr>
                  <w:tcW w:w="1237" w:type="dxa"/>
                  <w:vMerge w:val="continue"/>
                  <w:tcBorders>
                    <w:tl2br w:val="nil"/>
                    <w:tr2bl w:val="nil"/>
                  </w:tcBorders>
                  <w:noWrap/>
                  <w:tcMar>
                    <w:top w:w="15" w:type="dxa"/>
                    <w:left w:w="15" w:type="dxa"/>
                    <w:right w:w="15" w:type="dxa"/>
                  </w:tcMar>
                  <w:vAlign w:val="center"/>
                </w:tcPr>
                <w:p w14:paraId="2511B3BF">
                  <w:pPr>
                    <w:pStyle w:val="31"/>
                    <w:rPr>
                      <w:sz w:val="21"/>
                    </w:rPr>
                  </w:pPr>
                </w:p>
              </w:tc>
              <w:tc>
                <w:tcPr>
                  <w:tcW w:w="1283" w:type="dxa"/>
                  <w:vMerge w:val="continue"/>
                  <w:tcBorders>
                    <w:tl2br w:val="nil"/>
                    <w:tr2bl w:val="nil"/>
                  </w:tcBorders>
                  <w:noWrap/>
                  <w:tcMar>
                    <w:top w:w="15" w:type="dxa"/>
                    <w:left w:w="15" w:type="dxa"/>
                    <w:right w:w="15" w:type="dxa"/>
                  </w:tcMar>
                  <w:vAlign w:val="center"/>
                </w:tcPr>
                <w:p w14:paraId="73F4E2B6">
                  <w:pPr>
                    <w:pStyle w:val="31"/>
                    <w:rPr>
                      <w:sz w:val="21"/>
                    </w:rPr>
                  </w:pPr>
                </w:p>
              </w:tc>
              <w:tc>
                <w:tcPr>
                  <w:tcW w:w="1195" w:type="dxa"/>
                  <w:tcBorders>
                    <w:tl2br w:val="nil"/>
                    <w:tr2bl w:val="nil"/>
                  </w:tcBorders>
                  <w:vAlign w:val="center"/>
                </w:tcPr>
                <w:p w14:paraId="32B14E78">
                  <w:pPr>
                    <w:pStyle w:val="31"/>
                    <w:rPr>
                      <w:sz w:val="21"/>
                    </w:rPr>
                  </w:pPr>
                  <w:r>
                    <w:rPr>
                      <w:rFonts w:hint="eastAsia"/>
                      <w:sz w:val="21"/>
                    </w:rPr>
                    <w:t>65</w:t>
                  </w:r>
                </w:p>
              </w:tc>
            </w:tr>
            <w:tr w14:paraId="2AEC58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7" w:type="dxa"/>
                  <w:tcBorders>
                    <w:tl2br w:val="nil"/>
                    <w:tr2bl w:val="nil"/>
                  </w:tcBorders>
                  <w:noWrap/>
                  <w:tcMar>
                    <w:top w:w="15" w:type="dxa"/>
                    <w:left w:w="15" w:type="dxa"/>
                    <w:right w:w="15" w:type="dxa"/>
                  </w:tcMar>
                  <w:vAlign w:val="center"/>
                </w:tcPr>
                <w:p w14:paraId="0F3B9C05">
                  <w:pPr>
                    <w:pStyle w:val="31"/>
                    <w:numPr>
                      <w:ilvl w:val="0"/>
                      <w:numId w:val="17"/>
                    </w:numPr>
                    <w:rPr>
                      <w:sz w:val="21"/>
                    </w:rPr>
                  </w:pPr>
                </w:p>
              </w:tc>
              <w:tc>
                <w:tcPr>
                  <w:tcW w:w="2219" w:type="dxa"/>
                  <w:tcBorders>
                    <w:tl2br w:val="nil"/>
                    <w:tr2bl w:val="nil"/>
                  </w:tcBorders>
                  <w:noWrap/>
                  <w:tcMar>
                    <w:top w:w="15" w:type="dxa"/>
                    <w:left w:w="15" w:type="dxa"/>
                    <w:right w:w="15" w:type="dxa"/>
                  </w:tcMar>
                  <w:vAlign w:val="center"/>
                </w:tcPr>
                <w:p w14:paraId="2DC50FD9">
                  <w:pPr>
                    <w:spacing w:line="240" w:lineRule="auto"/>
                    <w:ind w:firstLine="0" w:firstLineChars="0"/>
                    <w:jc w:val="center"/>
                    <w:rPr>
                      <w:sz w:val="21"/>
                      <w:szCs w:val="21"/>
                      <w:highlight w:val="none"/>
                    </w:rPr>
                  </w:pPr>
                  <w:r>
                    <w:rPr>
                      <w:rFonts w:hint="eastAsia"/>
                      <w:sz w:val="21"/>
                      <w:szCs w:val="21"/>
                      <w:highlight w:val="none"/>
                    </w:rPr>
                    <w:t>空压机</w:t>
                  </w:r>
                </w:p>
              </w:tc>
              <w:tc>
                <w:tcPr>
                  <w:tcW w:w="792" w:type="dxa"/>
                  <w:tcBorders>
                    <w:tl2br w:val="nil"/>
                    <w:tr2bl w:val="nil"/>
                  </w:tcBorders>
                  <w:noWrap/>
                  <w:tcMar>
                    <w:top w:w="15" w:type="dxa"/>
                    <w:left w:w="15" w:type="dxa"/>
                    <w:right w:w="15" w:type="dxa"/>
                  </w:tcMar>
                  <w:vAlign w:val="center"/>
                </w:tcPr>
                <w:p w14:paraId="3F36372D">
                  <w:pPr>
                    <w:pStyle w:val="31"/>
                    <w:rPr>
                      <w:sz w:val="21"/>
                      <w:highlight w:val="none"/>
                    </w:rPr>
                  </w:pPr>
                  <w:r>
                    <w:rPr>
                      <w:rFonts w:hint="eastAsia"/>
                      <w:sz w:val="21"/>
                      <w:highlight w:val="none"/>
                    </w:rPr>
                    <w:t>4</w:t>
                  </w:r>
                </w:p>
              </w:tc>
              <w:tc>
                <w:tcPr>
                  <w:tcW w:w="940" w:type="dxa"/>
                  <w:tcBorders>
                    <w:tl2br w:val="nil"/>
                    <w:tr2bl w:val="nil"/>
                  </w:tcBorders>
                  <w:noWrap/>
                  <w:tcMar>
                    <w:top w:w="15" w:type="dxa"/>
                    <w:left w:w="15" w:type="dxa"/>
                    <w:right w:w="15" w:type="dxa"/>
                  </w:tcMar>
                  <w:vAlign w:val="center"/>
                </w:tcPr>
                <w:p w14:paraId="3ACA1B6C">
                  <w:pPr>
                    <w:pStyle w:val="31"/>
                    <w:rPr>
                      <w:sz w:val="21"/>
                      <w:highlight w:val="none"/>
                    </w:rPr>
                  </w:pPr>
                  <w:r>
                    <w:rPr>
                      <w:rFonts w:hint="eastAsia"/>
                      <w:sz w:val="21"/>
                      <w:highlight w:val="none"/>
                    </w:rPr>
                    <w:t>85</w:t>
                  </w:r>
                </w:p>
              </w:tc>
              <w:tc>
                <w:tcPr>
                  <w:tcW w:w="1237" w:type="dxa"/>
                  <w:vMerge w:val="continue"/>
                  <w:tcBorders>
                    <w:tl2br w:val="nil"/>
                    <w:tr2bl w:val="nil"/>
                  </w:tcBorders>
                  <w:noWrap/>
                  <w:tcMar>
                    <w:top w:w="15" w:type="dxa"/>
                    <w:left w:w="15" w:type="dxa"/>
                    <w:right w:w="15" w:type="dxa"/>
                  </w:tcMar>
                  <w:vAlign w:val="center"/>
                </w:tcPr>
                <w:p w14:paraId="52A29E97">
                  <w:pPr>
                    <w:pStyle w:val="31"/>
                    <w:rPr>
                      <w:sz w:val="21"/>
                    </w:rPr>
                  </w:pPr>
                </w:p>
              </w:tc>
              <w:tc>
                <w:tcPr>
                  <w:tcW w:w="1283" w:type="dxa"/>
                  <w:vMerge w:val="continue"/>
                  <w:tcBorders>
                    <w:tl2br w:val="nil"/>
                    <w:tr2bl w:val="nil"/>
                  </w:tcBorders>
                  <w:noWrap/>
                  <w:tcMar>
                    <w:top w:w="15" w:type="dxa"/>
                    <w:left w:w="15" w:type="dxa"/>
                    <w:right w:w="15" w:type="dxa"/>
                  </w:tcMar>
                  <w:vAlign w:val="center"/>
                </w:tcPr>
                <w:p w14:paraId="54F05AC9">
                  <w:pPr>
                    <w:pStyle w:val="31"/>
                    <w:rPr>
                      <w:sz w:val="21"/>
                    </w:rPr>
                  </w:pPr>
                </w:p>
              </w:tc>
              <w:tc>
                <w:tcPr>
                  <w:tcW w:w="1195" w:type="dxa"/>
                  <w:tcBorders>
                    <w:tl2br w:val="nil"/>
                    <w:tr2bl w:val="nil"/>
                  </w:tcBorders>
                  <w:vAlign w:val="center"/>
                </w:tcPr>
                <w:p w14:paraId="02BDFF48">
                  <w:pPr>
                    <w:pStyle w:val="31"/>
                    <w:rPr>
                      <w:sz w:val="21"/>
                    </w:rPr>
                  </w:pPr>
                  <w:r>
                    <w:rPr>
                      <w:rFonts w:hint="eastAsia"/>
                      <w:sz w:val="21"/>
                    </w:rPr>
                    <w:t>65</w:t>
                  </w:r>
                </w:p>
              </w:tc>
            </w:tr>
          </w:tbl>
          <w:p w14:paraId="2D9DAC9D">
            <w:pPr>
              <w:autoSpaceDE w:val="0"/>
              <w:autoSpaceDN w:val="0"/>
              <w:adjustRightInd w:val="0"/>
              <w:ind w:firstLine="480"/>
              <w:rPr>
                <w:lang w:val="zh-CN"/>
              </w:rPr>
            </w:pPr>
            <w:r>
              <w:rPr>
                <w:rFonts w:hint="eastAsia"/>
                <w:lang w:val="zh-CN"/>
              </w:rPr>
              <w:t>（</w:t>
            </w:r>
            <w:r>
              <w:rPr>
                <w:rFonts w:hint="eastAsia"/>
              </w:rPr>
              <w:t>1</w:t>
            </w:r>
            <w:r>
              <w:rPr>
                <w:rFonts w:hint="eastAsia"/>
                <w:lang w:val="zh-CN"/>
              </w:rPr>
              <w:t>）噪声预测</w:t>
            </w:r>
          </w:p>
          <w:p w14:paraId="38ADFCC4">
            <w:pPr>
              <w:ind w:firstLine="480"/>
              <w:rPr>
                <w:lang w:val="zh-CN"/>
              </w:rPr>
            </w:pPr>
            <w:r>
              <w:rPr>
                <w:rFonts w:hint="eastAsia"/>
                <w:lang w:val="zh-CN"/>
              </w:rPr>
              <w:t>预测模式采用《环境影响评价技术导则》（</w:t>
            </w:r>
            <w:r>
              <w:rPr>
                <w:lang w:val="zh-CN"/>
              </w:rPr>
              <w:t>HJ2.4-2009</w:t>
            </w:r>
            <w:r>
              <w:rPr>
                <w:rFonts w:hint="eastAsia"/>
                <w:lang w:val="zh-CN"/>
              </w:rPr>
              <w:t>）中推荐的噪声预测模式。各噪声源至各厂界噪声预测采用点源衰减预测模式，预测只计算噪声源至受声点的几何发散衰减，不考虑声屏障、空气吸收等衰减。预测模式如下：</w:t>
            </w:r>
          </w:p>
          <w:p w14:paraId="577C36F1">
            <w:pPr>
              <w:ind w:firstLine="480"/>
            </w:pPr>
            <w:r>
              <w:rPr>
                <w:snapToGrid w:val="0"/>
              </w:rPr>
              <w:fldChar w:fldCharType="begin"/>
            </w:r>
            <w:r>
              <w:rPr>
                <w:snapToGrid w:val="0"/>
              </w:rPr>
              <w:instrText xml:space="preserve"> = 1 \* GB3 </w:instrText>
            </w:r>
            <w:r>
              <w:rPr>
                <w:snapToGrid w:val="0"/>
              </w:rPr>
              <w:fldChar w:fldCharType="separate"/>
            </w:r>
            <w:r>
              <w:rPr>
                <w:rFonts w:hint="eastAsia" w:hAnsi="宋体"/>
                <w:snapToGrid w:val="0"/>
              </w:rPr>
              <w:t>①</w:t>
            </w:r>
            <w:r>
              <w:rPr>
                <w:snapToGrid w:val="0"/>
              </w:rPr>
              <w:fldChar w:fldCharType="end"/>
            </w:r>
            <w:r>
              <w:t>噪声距离衰减模式</w:t>
            </w:r>
            <w:r>
              <w:rPr>
                <w:rFonts w:hint="eastAsia"/>
              </w:rPr>
              <w:t>：</w:t>
            </w:r>
          </w:p>
          <w:p w14:paraId="3EF902DF">
            <w:pPr>
              <w:pStyle w:val="3"/>
              <w:spacing w:after="0" w:line="240" w:lineRule="auto"/>
              <w:ind w:left="0" w:leftChars="0" w:firstLine="2640" w:firstLineChars="1100"/>
              <w:rPr>
                <w:lang w:val="zh-CN"/>
              </w:rPr>
            </w:pPr>
            <w:r>
              <w:rPr>
                <w:position w:val="-30"/>
              </w:rPr>
              <w:object>
                <v:shape id="_x0000_i1026" o:spt="75" type="#_x0000_t75" style="height:36pt;width:94.5pt;" o:ole="t" filled="f" o:preferrelative="t" stroked="f" coordsize="21600,21600">
                  <v:path/>
                  <v:fill on="f" focussize="0,0"/>
                  <v:stroke on="f" joinstyle="miter"/>
                  <v:imagedata r:id="rId21" o:title=""/>
                  <o:lock v:ext="edit" aspectratio="t"/>
                  <w10:wrap type="none"/>
                  <w10:anchorlock/>
                </v:shape>
                <o:OLEObject Type="Embed" ProgID="Equations" ShapeID="_x0000_i1026" DrawAspect="Content" ObjectID="_1468075726" r:id="rId20">
                  <o:LockedField>false</o:LockedField>
                </o:OLEObject>
              </w:object>
            </w:r>
          </w:p>
          <w:p w14:paraId="5E0235A6">
            <w:pPr>
              <w:autoSpaceDE w:val="0"/>
              <w:autoSpaceDN w:val="0"/>
              <w:adjustRightInd w:val="0"/>
              <w:ind w:firstLine="480"/>
              <w:rPr>
                <w:lang w:val="zh-CN"/>
              </w:rPr>
            </w:pPr>
            <w:r>
              <w:rPr>
                <w:rFonts w:hint="eastAsia"/>
                <w:lang w:val="zh-CN"/>
              </w:rPr>
              <w:t>式中：</w:t>
            </w:r>
            <w:r>
              <w:rPr>
                <w:lang w:val="zh-CN"/>
              </w:rPr>
              <w:t>L</w:t>
            </w:r>
            <w:r>
              <w:rPr>
                <w:rFonts w:hint="eastAsia"/>
                <w:vertAlign w:val="subscript"/>
              </w:rPr>
              <w:t>r</w:t>
            </w:r>
            <w:r>
              <w:rPr>
                <w:rFonts w:hint="eastAsia"/>
                <w:lang w:val="zh-CN"/>
              </w:rPr>
              <w:t>-距声源</w:t>
            </w:r>
            <w:r>
              <w:rPr>
                <w:rFonts w:hint="eastAsia"/>
              </w:rPr>
              <w:t>r</w:t>
            </w:r>
            <w:r>
              <w:rPr>
                <w:rFonts w:hint="eastAsia"/>
                <w:lang w:val="zh-CN"/>
              </w:rPr>
              <w:t>处的</w:t>
            </w:r>
            <w:r>
              <w:rPr>
                <w:lang w:val="zh-CN"/>
              </w:rPr>
              <w:t>A</w:t>
            </w:r>
            <w:r>
              <w:rPr>
                <w:rFonts w:hint="eastAsia"/>
                <w:lang w:val="zh-CN"/>
              </w:rPr>
              <w:t>声级，</w:t>
            </w:r>
            <w:r>
              <w:rPr>
                <w:lang w:val="zh-CN"/>
              </w:rPr>
              <w:t>dB</w:t>
            </w:r>
            <w:r>
              <w:rPr>
                <w:rFonts w:hint="eastAsia"/>
                <w:lang w:val="zh-CN"/>
              </w:rPr>
              <w:t>（</w:t>
            </w:r>
            <w:r>
              <w:rPr>
                <w:lang w:val="zh-CN"/>
              </w:rPr>
              <w:t>A</w:t>
            </w:r>
            <w:r>
              <w:rPr>
                <w:rFonts w:hint="eastAsia"/>
                <w:lang w:val="zh-CN"/>
              </w:rPr>
              <w:t>）；</w:t>
            </w:r>
          </w:p>
          <w:p w14:paraId="7B7AB842">
            <w:pPr>
              <w:autoSpaceDE w:val="0"/>
              <w:autoSpaceDN w:val="0"/>
              <w:adjustRightInd w:val="0"/>
              <w:ind w:firstLine="480"/>
              <w:rPr>
                <w:lang w:val="zh-CN"/>
              </w:rPr>
            </w:pPr>
            <w:r>
              <w:rPr>
                <w:lang w:val="zh-CN"/>
              </w:rPr>
              <w:t>L</w:t>
            </w:r>
            <w:r>
              <w:rPr>
                <w:rFonts w:hint="eastAsia"/>
                <w:vertAlign w:val="subscript"/>
              </w:rPr>
              <w:t>r0</w:t>
            </w:r>
            <w:r>
              <w:rPr>
                <w:rFonts w:hint="eastAsia"/>
                <w:lang w:val="zh-CN"/>
              </w:rPr>
              <w:t>-参考位置</w:t>
            </w:r>
            <w:r>
              <w:rPr>
                <w:lang w:val="zh-CN"/>
              </w:rPr>
              <w:t>r</w:t>
            </w:r>
            <w:r>
              <w:rPr>
                <w:vertAlign w:val="subscript"/>
                <w:lang w:val="zh-CN"/>
              </w:rPr>
              <w:t>0</w:t>
            </w:r>
            <w:r>
              <w:rPr>
                <w:rFonts w:hint="eastAsia"/>
                <w:lang w:val="zh-CN"/>
              </w:rPr>
              <w:t>处的</w:t>
            </w:r>
            <w:r>
              <w:rPr>
                <w:lang w:val="zh-CN"/>
              </w:rPr>
              <w:t>A</w:t>
            </w:r>
            <w:r>
              <w:rPr>
                <w:rFonts w:hint="eastAsia"/>
                <w:lang w:val="zh-CN"/>
              </w:rPr>
              <w:t>声级，</w:t>
            </w:r>
            <w:r>
              <w:rPr>
                <w:lang w:val="zh-CN"/>
              </w:rPr>
              <w:t>dB</w:t>
            </w:r>
            <w:r>
              <w:rPr>
                <w:rFonts w:hint="eastAsia"/>
                <w:lang w:val="zh-CN"/>
              </w:rPr>
              <w:t>（</w:t>
            </w:r>
            <w:r>
              <w:rPr>
                <w:lang w:val="zh-CN"/>
              </w:rPr>
              <w:t>A</w:t>
            </w:r>
            <w:r>
              <w:rPr>
                <w:rFonts w:hint="eastAsia"/>
                <w:lang w:val="zh-CN"/>
              </w:rPr>
              <w:t>）；</w:t>
            </w:r>
          </w:p>
          <w:p w14:paraId="2C364BAA">
            <w:pPr>
              <w:autoSpaceDE w:val="0"/>
              <w:autoSpaceDN w:val="0"/>
              <w:adjustRightInd w:val="0"/>
              <w:ind w:firstLine="480"/>
              <w:rPr>
                <w:lang w:val="zh-CN"/>
              </w:rPr>
            </w:pPr>
            <w:r>
              <w:rPr>
                <w:lang w:val="zh-CN"/>
              </w:rPr>
              <w:t>r</w:t>
            </w:r>
            <w:r>
              <w:rPr>
                <w:rFonts w:hint="eastAsia"/>
                <w:lang w:val="zh-CN"/>
              </w:rPr>
              <w:t>-预测点距声源的距离，</w:t>
            </w:r>
            <w:r>
              <w:rPr>
                <w:lang w:val="zh-CN"/>
              </w:rPr>
              <w:t>m</w:t>
            </w:r>
            <w:r>
              <w:rPr>
                <w:rFonts w:hint="eastAsia"/>
                <w:lang w:val="zh-CN"/>
              </w:rPr>
              <w:t>；</w:t>
            </w:r>
          </w:p>
          <w:p w14:paraId="06D36395">
            <w:pPr>
              <w:autoSpaceDE w:val="0"/>
              <w:autoSpaceDN w:val="0"/>
              <w:adjustRightInd w:val="0"/>
              <w:ind w:firstLine="480"/>
              <w:rPr>
                <w:lang w:val="zh-CN"/>
              </w:rPr>
            </w:pPr>
            <w:r>
              <w:rPr>
                <w:lang w:val="zh-CN"/>
              </w:rPr>
              <w:t>r</w:t>
            </w:r>
            <w:r>
              <w:rPr>
                <w:vertAlign w:val="subscript"/>
                <w:lang w:val="zh-CN"/>
              </w:rPr>
              <w:t>0</w:t>
            </w:r>
            <w:r>
              <w:rPr>
                <w:rFonts w:hint="eastAsia"/>
                <w:lang w:val="zh-CN"/>
              </w:rPr>
              <w:t>-参考位置距声源的距离，</w:t>
            </w:r>
            <w:r>
              <w:rPr>
                <w:lang w:val="zh-CN"/>
              </w:rPr>
              <w:t>m</w:t>
            </w:r>
            <w:r>
              <w:rPr>
                <w:rFonts w:hint="eastAsia"/>
                <w:lang w:val="zh-CN"/>
              </w:rPr>
              <w:t>。</w:t>
            </w:r>
          </w:p>
          <w:p w14:paraId="0A6FC2A3">
            <w:pPr>
              <w:pStyle w:val="48"/>
              <w:spacing w:before="0" w:after="0" w:line="480" w:lineRule="exact"/>
            </w:pPr>
            <w:r>
              <w:rPr>
                <w:rFonts w:cs="宋体"/>
                <w:kern w:val="0"/>
              </w:rPr>
              <w:t>②</w:t>
            </w:r>
            <w:r>
              <w:t>噪声叠加模式</w:t>
            </w:r>
            <w:r>
              <w:rPr>
                <w:rFonts w:hint="eastAsia"/>
              </w:rPr>
              <w:t>：</w:t>
            </w:r>
          </w:p>
          <w:p w14:paraId="659D5846">
            <w:pPr>
              <w:spacing w:line="240" w:lineRule="auto"/>
              <w:ind w:firstLine="3080" w:firstLineChars="1100"/>
              <w:rPr>
                <w:spacing w:val="20"/>
              </w:rPr>
            </w:pPr>
            <w:r>
              <w:rPr>
                <w:spacing w:val="20"/>
                <w:position w:val="-28"/>
              </w:rPr>
              <w:object>
                <v:shape id="_x0000_i1027" o:spt="75" type="#_x0000_t75" style="height:34.5pt;width:81.75pt;" o:ole="t" filled="f" o:preferrelative="t" stroked="f" coordsize="21600,21600">
                  <v:path/>
                  <v:fill on="f" focussize="0,0"/>
                  <v:stroke on="f" joinstyle="miter"/>
                  <v:imagedata r:id="rId23" o:title=""/>
                  <o:lock v:ext="edit" aspectratio="t"/>
                  <w10:wrap type="none"/>
                  <w10:anchorlock/>
                </v:shape>
                <o:OLEObject Type="Embed" ProgID="Equations" ShapeID="_x0000_i1027" DrawAspect="Content" ObjectID="_1468075727" r:id="rId22">
                  <o:LockedField>false</o:LockedField>
                </o:OLEObject>
              </w:object>
            </w:r>
          </w:p>
          <w:p w14:paraId="3E54AD05">
            <w:pPr>
              <w:pStyle w:val="3"/>
              <w:spacing w:after="0"/>
              <w:ind w:left="0" w:leftChars="0" w:firstLine="480"/>
            </w:pPr>
            <w:r>
              <w:t>式中：L</w:t>
            </w:r>
            <w:r>
              <w:rPr>
                <w:rFonts w:hint="eastAsia"/>
                <w:lang w:eastAsia="zh-CN"/>
              </w:rPr>
              <w:t>-</w:t>
            </w:r>
            <w:r>
              <w:t>为n个噪声源的声级；</w:t>
            </w:r>
          </w:p>
          <w:p w14:paraId="0840F3A7">
            <w:pPr>
              <w:pStyle w:val="3"/>
              <w:spacing w:after="0"/>
              <w:ind w:left="0" w:leftChars="0" w:firstLine="480"/>
            </w:pPr>
            <w:r>
              <w:t>L</w:t>
            </w:r>
            <w:r>
              <w:rPr>
                <w:vertAlign w:val="subscript"/>
              </w:rPr>
              <w:t>i</w:t>
            </w:r>
            <w:r>
              <w:rPr>
                <w:rFonts w:hint="eastAsia"/>
                <w:lang w:eastAsia="zh-CN"/>
              </w:rPr>
              <w:t>-</w:t>
            </w:r>
            <w:r>
              <w:t>为第i个噪声源的声级；</w:t>
            </w:r>
          </w:p>
          <w:p w14:paraId="018F9619">
            <w:pPr>
              <w:pStyle w:val="3"/>
              <w:spacing w:after="0"/>
              <w:ind w:left="0" w:leftChars="0" w:firstLine="480"/>
            </w:pPr>
            <w:r>
              <w:t>n</w:t>
            </w:r>
            <w:r>
              <w:rPr>
                <w:rFonts w:hint="eastAsia"/>
                <w:lang w:eastAsia="zh-CN"/>
              </w:rPr>
              <w:t>-</w:t>
            </w:r>
            <w:r>
              <w:t>为噪声源的个数。</w:t>
            </w:r>
          </w:p>
          <w:p w14:paraId="64D8B841">
            <w:pPr>
              <w:ind w:firstLine="480"/>
            </w:pPr>
            <w:r>
              <w:rPr>
                <w:rFonts w:hint="eastAsia"/>
              </w:rPr>
              <w:t>（2）</w:t>
            </w:r>
            <w:r>
              <w:t>预测结果</w:t>
            </w:r>
          </w:p>
          <w:p w14:paraId="4D46BB1C">
            <w:pPr>
              <w:ind w:firstLine="480"/>
            </w:pPr>
            <w:r>
              <w:rPr>
                <w:rFonts w:hint="eastAsia"/>
              </w:rPr>
              <w:t>项目主要产噪设备在1#厂房，本次评价将设备概化为1个点声源，将设备噪音源强扣除车间降噪后叠加作为1个声源源强，之后按几何衰减规律计算本项目对各个厂界的噪声贡献值。噪声源</w:t>
            </w:r>
            <w:r>
              <w:t>到项目厂界的距离如下：</w:t>
            </w:r>
          </w:p>
          <w:p w14:paraId="39C9D708">
            <w:pPr>
              <w:pStyle w:val="36"/>
              <w:rPr>
                <w:sz w:val="21"/>
                <w:szCs w:val="21"/>
              </w:rPr>
            </w:pPr>
            <w:r>
              <w:rPr>
                <w:sz w:val="21"/>
                <w:szCs w:val="21"/>
              </w:rPr>
              <w:t>表</w:t>
            </w:r>
            <w:r>
              <w:rPr>
                <w:rFonts w:hint="eastAsia"/>
                <w:sz w:val="21"/>
                <w:szCs w:val="21"/>
              </w:rPr>
              <w:t xml:space="preserve">4-13  </w:t>
            </w:r>
            <w:r>
              <w:rPr>
                <w:sz w:val="21"/>
                <w:szCs w:val="21"/>
              </w:rPr>
              <w:t>本项目</w:t>
            </w:r>
            <w:r>
              <w:rPr>
                <w:rFonts w:hint="eastAsia"/>
                <w:sz w:val="21"/>
                <w:szCs w:val="21"/>
              </w:rPr>
              <w:t>噪声源距</w:t>
            </w:r>
            <w:r>
              <w:rPr>
                <w:sz w:val="21"/>
                <w:szCs w:val="21"/>
              </w:rPr>
              <w:t>厂界距离</w:t>
            </w:r>
          </w:p>
          <w:tbl>
            <w:tblPr>
              <w:tblStyle w:val="23"/>
              <w:tblW w:w="8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715"/>
              <w:gridCol w:w="1650"/>
              <w:gridCol w:w="1418"/>
              <w:gridCol w:w="2067"/>
            </w:tblGrid>
            <w:tr w14:paraId="6038B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tcBorders>
                    <w:tl2br w:val="nil"/>
                    <w:tr2bl w:val="nil"/>
                  </w:tcBorders>
                  <w:vAlign w:val="center"/>
                </w:tcPr>
                <w:p w14:paraId="17228F78">
                  <w:pPr>
                    <w:spacing w:line="240" w:lineRule="auto"/>
                    <w:ind w:firstLine="0" w:firstLineChars="0"/>
                    <w:jc w:val="center"/>
                    <w:rPr>
                      <w:sz w:val="21"/>
                      <w:szCs w:val="21"/>
                    </w:rPr>
                  </w:pPr>
                  <w:r>
                    <w:rPr>
                      <w:rFonts w:hint="eastAsia"/>
                      <w:sz w:val="21"/>
                      <w:szCs w:val="21"/>
                    </w:rPr>
                    <w:t>噪声源</w:t>
                  </w:r>
                </w:p>
              </w:tc>
              <w:tc>
                <w:tcPr>
                  <w:tcW w:w="1715" w:type="dxa"/>
                  <w:tcBorders>
                    <w:tl2br w:val="nil"/>
                    <w:tr2bl w:val="nil"/>
                  </w:tcBorders>
                  <w:vAlign w:val="center"/>
                </w:tcPr>
                <w:p w14:paraId="15C68EAE">
                  <w:pPr>
                    <w:spacing w:line="240" w:lineRule="auto"/>
                    <w:ind w:firstLine="0" w:firstLineChars="0"/>
                    <w:jc w:val="center"/>
                    <w:rPr>
                      <w:sz w:val="21"/>
                      <w:szCs w:val="21"/>
                    </w:rPr>
                  </w:pPr>
                  <w:r>
                    <w:rPr>
                      <w:rFonts w:hint="eastAsia"/>
                      <w:sz w:val="21"/>
                      <w:szCs w:val="21"/>
                    </w:rPr>
                    <w:t>噪声源强</w:t>
                  </w:r>
                  <w:r>
                    <w:rPr>
                      <w:sz w:val="21"/>
                      <w:szCs w:val="21"/>
                    </w:rPr>
                    <w:t>dB（A）</w:t>
                  </w:r>
                </w:p>
              </w:tc>
              <w:tc>
                <w:tcPr>
                  <w:tcW w:w="1650" w:type="dxa"/>
                  <w:tcBorders>
                    <w:tl2br w:val="nil"/>
                    <w:tr2bl w:val="nil"/>
                  </w:tcBorders>
                  <w:vAlign w:val="center"/>
                </w:tcPr>
                <w:p w14:paraId="4019F46D">
                  <w:pPr>
                    <w:spacing w:line="240" w:lineRule="auto"/>
                    <w:ind w:firstLine="0" w:firstLineChars="0"/>
                    <w:jc w:val="center"/>
                    <w:rPr>
                      <w:sz w:val="21"/>
                      <w:szCs w:val="21"/>
                    </w:rPr>
                  </w:pPr>
                  <w:r>
                    <w:rPr>
                      <w:rFonts w:hint="eastAsia"/>
                      <w:sz w:val="21"/>
                      <w:szCs w:val="21"/>
                    </w:rPr>
                    <w:t>厂界</w:t>
                  </w:r>
                </w:p>
              </w:tc>
              <w:tc>
                <w:tcPr>
                  <w:tcW w:w="1418" w:type="dxa"/>
                  <w:tcBorders>
                    <w:tl2br w:val="nil"/>
                    <w:tr2bl w:val="nil"/>
                  </w:tcBorders>
                  <w:vAlign w:val="center"/>
                </w:tcPr>
                <w:p w14:paraId="2B5186E6">
                  <w:pPr>
                    <w:spacing w:line="240" w:lineRule="auto"/>
                    <w:ind w:firstLine="0" w:firstLineChars="0"/>
                    <w:jc w:val="center"/>
                    <w:rPr>
                      <w:sz w:val="21"/>
                      <w:szCs w:val="21"/>
                    </w:rPr>
                  </w:pPr>
                  <w:r>
                    <w:rPr>
                      <w:rFonts w:hint="eastAsia"/>
                      <w:sz w:val="21"/>
                      <w:szCs w:val="21"/>
                    </w:rPr>
                    <w:t>距离（m）</w:t>
                  </w:r>
                </w:p>
              </w:tc>
              <w:tc>
                <w:tcPr>
                  <w:tcW w:w="2067" w:type="dxa"/>
                  <w:tcBorders>
                    <w:tl2br w:val="nil"/>
                    <w:tr2bl w:val="nil"/>
                  </w:tcBorders>
                  <w:vAlign w:val="center"/>
                </w:tcPr>
                <w:p w14:paraId="42F8F128">
                  <w:pPr>
                    <w:spacing w:line="240" w:lineRule="auto"/>
                    <w:ind w:firstLine="0" w:firstLineChars="0"/>
                    <w:jc w:val="center"/>
                    <w:rPr>
                      <w:sz w:val="21"/>
                      <w:szCs w:val="21"/>
                    </w:rPr>
                  </w:pPr>
                  <w:r>
                    <w:rPr>
                      <w:rFonts w:hint="eastAsia"/>
                      <w:sz w:val="21"/>
                      <w:szCs w:val="21"/>
                    </w:rPr>
                    <w:t>噪声贡献值</w:t>
                  </w:r>
                  <w:r>
                    <w:rPr>
                      <w:sz w:val="21"/>
                      <w:szCs w:val="21"/>
                    </w:rPr>
                    <w:t>dB（A）</w:t>
                  </w:r>
                </w:p>
              </w:tc>
            </w:tr>
            <w:tr w14:paraId="76B0B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restart"/>
                  <w:tcBorders>
                    <w:tl2br w:val="nil"/>
                    <w:tr2bl w:val="nil"/>
                  </w:tcBorders>
                  <w:vAlign w:val="center"/>
                </w:tcPr>
                <w:p w14:paraId="5DCFD757">
                  <w:pPr>
                    <w:spacing w:line="240" w:lineRule="auto"/>
                    <w:ind w:firstLine="0" w:firstLineChars="0"/>
                    <w:jc w:val="center"/>
                    <w:rPr>
                      <w:sz w:val="21"/>
                      <w:szCs w:val="21"/>
                    </w:rPr>
                  </w:pPr>
                  <w:r>
                    <w:rPr>
                      <w:rFonts w:hint="eastAsia"/>
                      <w:sz w:val="21"/>
                      <w:szCs w:val="21"/>
                    </w:rPr>
                    <w:t>产噪设备</w:t>
                  </w:r>
                </w:p>
              </w:tc>
              <w:tc>
                <w:tcPr>
                  <w:tcW w:w="1715" w:type="dxa"/>
                  <w:vMerge w:val="restart"/>
                  <w:tcBorders>
                    <w:tl2br w:val="nil"/>
                    <w:tr2bl w:val="nil"/>
                  </w:tcBorders>
                  <w:vAlign w:val="center"/>
                </w:tcPr>
                <w:p w14:paraId="58F505F8">
                  <w:pPr>
                    <w:spacing w:line="240" w:lineRule="auto"/>
                    <w:ind w:firstLine="0" w:firstLineChars="0"/>
                    <w:jc w:val="center"/>
                    <w:rPr>
                      <w:sz w:val="21"/>
                      <w:szCs w:val="21"/>
                    </w:rPr>
                  </w:pPr>
                  <w:r>
                    <w:rPr>
                      <w:rFonts w:hint="eastAsia"/>
                      <w:sz w:val="21"/>
                      <w:szCs w:val="21"/>
                    </w:rPr>
                    <w:t>78.4</w:t>
                  </w:r>
                </w:p>
              </w:tc>
              <w:tc>
                <w:tcPr>
                  <w:tcW w:w="1650" w:type="dxa"/>
                  <w:tcBorders>
                    <w:tl2br w:val="nil"/>
                    <w:tr2bl w:val="nil"/>
                  </w:tcBorders>
                  <w:vAlign w:val="center"/>
                </w:tcPr>
                <w:p w14:paraId="0CFEDDB4">
                  <w:pPr>
                    <w:spacing w:line="240" w:lineRule="auto"/>
                    <w:ind w:firstLine="0" w:firstLineChars="0"/>
                    <w:jc w:val="center"/>
                    <w:rPr>
                      <w:sz w:val="21"/>
                      <w:szCs w:val="21"/>
                    </w:rPr>
                  </w:pPr>
                  <w:r>
                    <w:rPr>
                      <w:rFonts w:hint="eastAsia"/>
                      <w:sz w:val="21"/>
                      <w:szCs w:val="21"/>
                    </w:rPr>
                    <w:t>东厂界</w:t>
                  </w:r>
                </w:p>
              </w:tc>
              <w:tc>
                <w:tcPr>
                  <w:tcW w:w="1418" w:type="dxa"/>
                  <w:tcBorders>
                    <w:tl2br w:val="nil"/>
                    <w:tr2bl w:val="nil"/>
                  </w:tcBorders>
                  <w:vAlign w:val="center"/>
                </w:tcPr>
                <w:p w14:paraId="723B74A7">
                  <w:pPr>
                    <w:spacing w:line="240" w:lineRule="auto"/>
                    <w:ind w:firstLine="0" w:firstLineChars="0"/>
                    <w:jc w:val="center"/>
                    <w:rPr>
                      <w:sz w:val="21"/>
                      <w:szCs w:val="21"/>
                    </w:rPr>
                  </w:pPr>
                  <w:r>
                    <w:rPr>
                      <w:rFonts w:hint="eastAsia"/>
                      <w:sz w:val="21"/>
                      <w:szCs w:val="21"/>
                    </w:rPr>
                    <w:t>15</w:t>
                  </w:r>
                </w:p>
              </w:tc>
              <w:tc>
                <w:tcPr>
                  <w:tcW w:w="2067" w:type="dxa"/>
                  <w:tcBorders>
                    <w:tl2br w:val="nil"/>
                    <w:tr2bl w:val="nil"/>
                  </w:tcBorders>
                  <w:vAlign w:val="center"/>
                </w:tcPr>
                <w:p w14:paraId="69FCFB61">
                  <w:pPr>
                    <w:spacing w:line="240" w:lineRule="auto"/>
                    <w:ind w:firstLine="0" w:firstLineChars="0"/>
                    <w:jc w:val="center"/>
                    <w:rPr>
                      <w:sz w:val="21"/>
                      <w:szCs w:val="21"/>
                    </w:rPr>
                  </w:pPr>
                  <w:r>
                    <w:rPr>
                      <w:rFonts w:hint="eastAsia"/>
                      <w:sz w:val="21"/>
                      <w:szCs w:val="21"/>
                    </w:rPr>
                    <w:t>54.87</w:t>
                  </w:r>
                </w:p>
              </w:tc>
            </w:tr>
            <w:tr w14:paraId="61A5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tcBorders>
                    <w:tl2br w:val="nil"/>
                    <w:tr2bl w:val="nil"/>
                  </w:tcBorders>
                  <w:vAlign w:val="center"/>
                </w:tcPr>
                <w:p w14:paraId="24F9D40C">
                  <w:pPr>
                    <w:spacing w:line="240" w:lineRule="auto"/>
                    <w:ind w:firstLine="0" w:firstLineChars="0"/>
                    <w:jc w:val="center"/>
                    <w:rPr>
                      <w:sz w:val="21"/>
                      <w:szCs w:val="21"/>
                    </w:rPr>
                  </w:pPr>
                </w:p>
              </w:tc>
              <w:tc>
                <w:tcPr>
                  <w:tcW w:w="1715" w:type="dxa"/>
                  <w:vMerge w:val="continue"/>
                  <w:tcBorders>
                    <w:tl2br w:val="nil"/>
                    <w:tr2bl w:val="nil"/>
                  </w:tcBorders>
                  <w:vAlign w:val="center"/>
                </w:tcPr>
                <w:p w14:paraId="691F7C04">
                  <w:pPr>
                    <w:spacing w:line="240" w:lineRule="auto"/>
                    <w:ind w:firstLine="0" w:firstLineChars="0"/>
                    <w:jc w:val="center"/>
                    <w:rPr>
                      <w:sz w:val="21"/>
                      <w:szCs w:val="21"/>
                    </w:rPr>
                  </w:pPr>
                </w:p>
              </w:tc>
              <w:tc>
                <w:tcPr>
                  <w:tcW w:w="1650" w:type="dxa"/>
                  <w:tcBorders>
                    <w:tl2br w:val="nil"/>
                    <w:tr2bl w:val="nil"/>
                  </w:tcBorders>
                  <w:vAlign w:val="center"/>
                </w:tcPr>
                <w:p w14:paraId="68B5ED50">
                  <w:pPr>
                    <w:spacing w:line="240" w:lineRule="auto"/>
                    <w:ind w:firstLine="0" w:firstLineChars="0"/>
                    <w:jc w:val="center"/>
                    <w:rPr>
                      <w:sz w:val="21"/>
                      <w:szCs w:val="21"/>
                    </w:rPr>
                  </w:pPr>
                  <w:r>
                    <w:rPr>
                      <w:rFonts w:hint="eastAsia"/>
                      <w:sz w:val="21"/>
                      <w:szCs w:val="21"/>
                    </w:rPr>
                    <w:t>南厂界</w:t>
                  </w:r>
                </w:p>
              </w:tc>
              <w:tc>
                <w:tcPr>
                  <w:tcW w:w="1418" w:type="dxa"/>
                  <w:tcBorders>
                    <w:tl2br w:val="nil"/>
                    <w:tr2bl w:val="nil"/>
                  </w:tcBorders>
                  <w:vAlign w:val="center"/>
                </w:tcPr>
                <w:p w14:paraId="5FC5C494">
                  <w:pPr>
                    <w:spacing w:line="240" w:lineRule="auto"/>
                    <w:ind w:firstLine="0" w:firstLineChars="0"/>
                    <w:jc w:val="center"/>
                    <w:rPr>
                      <w:sz w:val="21"/>
                      <w:szCs w:val="21"/>
                    </w:rPr>
                  </w:pPr>
                  <w:r>
                    <w:rPr>
                      <w:rFonts w:hint="eastAsia"/>
                      <w:sz w:val="21"/>
                      <w:szCs w:val="21"/>
                    </w:rPr>
                    <w:t>62</w:t>
                  </w:r>
                </w:p>
              </w:tc>
              <w:tc>
                <w:tcPr>
                  <w:tcW w:w="2067" w:type="dxa"/>
                  <w:tcBorders>
                    <w:tl2br w:val="nil"/>
                    <w:tr2bl w:val="nil"/>
                  </w:tcBorders>
                  <w:vAlign w:val="center"/>
                </w:tcPr>
                <w:p w14:paraId="120B6C73">
                  <w:pPr>
                    <w:spacing w:line="240" w:lineRule="auto"/>
                    <w:ind w:firstLine="0" w:firstLineChars="0"/>
                    <w:jc w:val="center"/>
                    <w:rPr>
                      <w:sz w:val="21"/>
                      <w:szCs w:val="21"/>
                    </w:rPr>
                  </w:pPr>
                  <w:r>
                    <w:rPr>
                      <w:rFonts w:hint="eastAsia"/>
                      <w:sz w:val="21"/>
                      <w:szCs w:val="21"/>
                    </w:rPr>
                    <w:t>42.55</w:t>
                  </w:r>
                </w:p>
              </w:tc>
            </w:tr>
            <w:tr w14:paraId="75BEC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tcBorders>
                    <w:tl2br w:val="nil"/>
                    <w:tr2bl w:val="nil"/>
                  </w:tcBorders>
                  <w:vAlign w:val="center"/>
                </w:tcPr>
                <w:p w14:paraId="1856EE80">
                  <w:pPr>
                    <w:spacing w:line="240" w:lineRule="auto"/>
                    <w:ind w:firstLine="0" w:firstLineChars="0"/>
                    <w:jc w:val="center"/>
                    <w:rPr>
                      <w:sz w:val="21"/>
                      <w:szCs w:val="21"/>
                    </w:rPr>
                  </w:pPr>
                </w:p>
              </w:tc>
              <w:tc>
                <w:tcPr>
                  <w:tcW w:w="1715" w:type="dxa"/>
                  <w:vMerge w:val="continue"/>
                  <w:tcBorders>
                    <w:tl2br w:val="nil"/>
                    <w:tr2bl w:val="nil"/>
                  </w:tcBorders>
                  <w:vAlign w:val="center"/>
                </w:tcPr>
                <w:p w14:paraId="47CF0D2B">
                  <w:pPr>
                    <w:spacing w:line="240" w:lineRule="auto"/>
                    <w:ind w:firstLine="0" w:firstLineChars="0"/>
                    <w:jc w:val="center"/>
                    <w:rPr>
                      <w:sz w:val="21"/>
                      <w:szCs w:val="21"/>
                    </w:rPr>
                  </w:pPr>
                </w:p>
              </w:tc>
              <w:tc>
                <w:tcPr>
                  <w:tcW w:w="1650" w:type="dxa"/>
                  <w:tcBorders>
                    <w:tl2br w:val="nil"/>
                    <w:tr2bl w:val="nil"/>
                  </w:tcBorders>
                  <w:vAlign w:val="center"/>
                </w:tcPr>
                <w:p w14:paraId="0BEEA71C">
                  <w:pPr>
                    <w:spacing w:line="240" w:lineRule="auto"/>
                    <w:ind w:firstLine="0" w:firstLineChars="0"/>
                    <w:jc w:val="center"/>
                    <w:rPr>
                      <w:sz w:val="21"/>
                      <w:szCs w:val="21"/>
                    </w:rPr>
                  </w:pPr>
                  <w:r>
                    <w:rPr>
                      <w:rFonts w:hint="eastAsia"/>
                      <w:sz w:val="21"/>
                      <w:szCs w:val="21"/>
                    </w:rPr>
                    <w:t>西厂界</w:t>
                  </w:r>
                </w:p>
              </w:tc>
              <w:tc>
                <w:tcPr>
                  <w:tcW w:w="1418" w:type="dxa"/>
                  <w:tcBorders>
                    <w:tl2br w:val="nil"/>
                    <w:tr2bl w:val="nil"/>
                  </w:tcBorders>
                  <w:vAlign w:val="center"/>
                </w:tcPr>
                <w:p w14:paraId="1A678140">
                  <w:pPr>
                    <w:spacing w:line="240" w:lineRule="auto"/>
                    <w:ind w:firstLine="0" w:firstLineChars="0"/>
                    <w:jc w:val="center"/>
                    <w:rPr>
                      <w:sz w:val="21"/>
                      <w:szCs w:val="21"/>
                    </w:rPr>
                  </w:pPr>
                  <w:r>
                    <w:rPr>
                      <w:rFonts w:hint="eastAsia"/>
                      <w:sz w:val="21"/>
                      <w:szCs w:val="21"/>
                    </w:rPr>
                    <w:t>31.4</w:t>
                  </w:r>
                </w:p>
              </w:tc>
              <w:tc>
                <w:tcPr>
                  <w:tcW w:w="2067" w:type="dxa"/>
                  <w:tcBorders>
                    <w:tl2br w:val="nil"/>
                    <w:tr2bl w:val="nil"/>
                  </w:tcBorders>
                  <w:vAlign w:val="center"/>
                </w:tcPr>
                <w:p w14:paraId="025A213E">
                  <w:pPr>
                    <w:spacing w:line="240" w:lineRule="auto"/>
                    <w:ind w:firstLine="0" w:firstLineChars="0"/>
                    <w:jc w:val="center"/>
                    <w:rPr>
                      <w:sz w:val="21"/>
                      <w:szCs w:val="21"/>
                    </w:rPr>
                  </w:pPr>
                  <w:r>
                    <w:rPr>
                      <w:rFonts w:hint="eastAsia"/>
                      <w:sz w:val="21"/>
                      <w:szCs w:val="21"/>
                    </w:rPr>
                    <w:t>48.46</w:t>
                  </w:r>
                </w:p>
              </w:tc>
            </w:tr>
            <w:tr w14:paraId="382E6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tcBorders>
                    <w:tl2br w:val="nil"/>
                    <w:tr2bl w:val="nil"/>
                  </w:tcBorders>
                  <w:vAlign w:val="center"/>
                </w:tcPr>
                <w:p w14:paraId="722705E3">
                  <w:pPr>
                    <w:spacing w:line="240" w:lineRule="auto"/>
                    <w:ind w:firstLine="0" w:firstLineChars="0"/>
                    <w:jc w:val="center"/>
                    <w:rPr>
                      <w:sz w:val="21"/>
                      <w:szCs w:val="21"/>
                    </w:rPr>
                  </w:pPr>
                </w:p>
              </w:tc>
              <w:tc>
                <w:tcPr>
                  <w:tcW w:w="1715" w:type="dxa"/>
                  <w:vMerge w:val="continue"/>
                  <w:tcBorders>
                    <w:tl2br w:val="nil"/>
                    <w:tr2bl w:val="nil"/>
                  </w:tcBorders>
                  <w:vAlign w:val="center"/>
                </w:tcPr>
                <w:p w14:paraId="0A0B0DB7">
                  <w:pPr>
                    <w:spacing w:line="240" w:lineRule="auto"/>
                    <w:ind w:firstLine="0" w:firstLineChars="0"/>
                    <w:jc w:val="center"/>
                    <w:rPr>
                      <w:sz w:val="21"/>
                      <w:szCs w:val="21"/>
                    </w:rPr>
                  </w:pPr>
                </w:p>
              </w:tc>
              <w:tc>
                <w:tcPr>
                  <w:tcW w:w="1650" w:type="dxa"/>
                  <w:tcBorders>
                    <w:tl2br w:val="nil"/>
                    <w:tr2bl w:val="nil"/>
                  </w:tcBorders>
                  <w:vAlign w:val="center"/>
                </w:tcPr>
                <w:p w14:paraId="078053C4">
                  <w:pPr>
                    <w:spacing w:line="240" w:lineRule="auto"/>
                    <w:ind w:firstLine="0" w:firstLineChars="0"/>
                    <w:jc w:val="center"/>
                    <w:rPr>
                      <w:sz w:val="21"/>
                      <w:szCs w:val="21"/>
                    </w:rPr>
                  </w:pPr>
                  <w:r>
                    <w:rPr>
                      <w:rFonts w:hint="eastAsia"/>
                      <w:sz w:val="21"/>
                      <w:szCs w:val="21"/>
                    </w:rPr>
                    <w:t>北厂界</w:t>
                  </w:r>
                </w:p>
              </w:tc>
              <w:tc>
                <w:tcPr>
                  <w:tcW w:w="1418" w:type="dxa"/>
                  <w:tcBorders>
                    <w:tl2br w:val="nil"/>
                    <w:tr2bl w:val="nil"/>
                  </w:tcBorders>
                  <w:vAlign w:val="center"/>
                </w:tcPr>
                <w:p w14:paraId="59BA4BF6">
                  <w:pPr>
                    <w:spacing w:line="240" w:lineRule="auto"/>
                    <w:ind w:firstLine="0" w:firstLineChars="0"/>
                    <w:jc w:val="center"/>
                    <w:rPr>
                      <w:sz w:val="21"/>
                      <w:szCs w:val="21"/>
                    </w:rPr>
                  </w:pPr>
                  <w:r>
                    <w:rPr>
                      <w:rFonts w:hint="eastAsia"/>
                      <w:sz w:val="21"/>
                      <w:szCs w:val="21"/>
                    </w:rPr>
                    <w:t>15</w:t>
                  </w:r>
                </w:p>
              </w:tc>
              <w:tc>
                <w:tcPr>
                  <w:tcW w:w="2067" w:type="dxa"/>
                  <w:tcBorders>
                    <w:tl2br w:val="nil"/>
                    <w:tr2bl w:val="nil"/>
                  </w:tcBorders>
                  <w:vAlign w:val="center"/>
                </w:tcPr>
                <w:p w14:paraId="059071E6">
                  <w:pPr>
                    <w:spacing w:line="240" w:lineRule="auto"/>
                    <w:ind w:firstLine="0" w:firstLineChars="0"/>
                    <w:jc w:val="center"/>
                    <w:rPr>
                      <w:sz w:val="21"/>
                      <w:szCs w:val="21"/>
                    </w:rPr>
                  </w:pPr>
                  <w:r>
                    <w:rPr>
                      <w:rFonts w:hint="eastAsia"/>
                      <w:sz w:val="21"/>
                      <w:szCs w:val="21"/>
                    </w:rPr>
                    <w:t>54.87</w:t>
                  </w:r>
                </w:p>
              </w:tc>
            </w:tr>
          </w:tbl>
          <w:p w14:paraId="4548B5C1">
            <w:pPr>
              <w:ind w:firstLine="480"/>
              <w:rPr>
                <w:lang w:val="zh-CN"/>
              </w:rPr>
            </w:pPr>
            <w:r>
              <w:t>按照噪声预测模式，</w:t>
            </w:r>
            <w:r>
              <w:rPr>
                <w:rFonts w:hint="eastAsia"/>
              </w:rPr>
              <w:t>采取</w:t>
            </w:r>
            <w:r>
              <w:rPr>
                <w:color w:val="000000" w:themeColor="text1"/>
                <w14:textFill>
                  <w14:solidFill>
                    <w14:schemeClr w14:val="tx1"/>
                  </w14:solidFill>
                </w14:textFill>
              </w:rPr>
              <w:t>基础</w:t>
            </w:r>
            <w:r>
              <w:rPr>
                <w:rFonts w:hint="eastAsia"/>
                <w:color w:val="000000" w:themeColor="text1"/>
                <w14:textFill>
                  <w14:solidFill>
                    <w14:schemeClr w14:val="tx1"/>
                  </w14:solidFill>
                </w14:textFill>
              </w:rPr>
              <w:t>减振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厂房隔声、距离衰减</w:t>
            </w:r>
            <w:r>
              <w:rPr>
                <w:color w:val="000000" w:themeColor="text1"/>
                <w14:textFill>
                  <w14:solidFill>
                    <w14:schemeClr w14:val="tx1"/>
                  </w14:solidFill>
                </w14:textFill>
              </w:rPr>
              <w:t>等措施</w:t>
            </w:r>
            <w:r>
              <w:rPr>
                <w:lang w:val="zh-CN"/>
              </w:rPr>
              <w:t>后，各噪声源到各厂界贡献值见下表。</w:t>
            </w:r>
          </w:p>
          <w:p w14:paraId="05816BF8">
            <w:pPr>
              <w:adjustRightInd w:val="0"/>
              <w:snapToGrid w:val="0"/>
              <w:ind w:firstLine="422"/>
              <w:jc w:val="center"/>
              <w:rPr>
                <w:b/>
                <w:bCs/>
                <w:sz w:val="21"/>
                <w:szCs w:val="21"/>
                <w:lang w:val="zh-CN"/>
              </w:rPr>
            </w:pPr>
            <w:r>
              <w:rPr>
                <w:b/>
                <w:bCs/>
                <w:sz w:val="21"/>
                <w:szCs w:val="21"/>
                <w:lang w:val="zh-CN"/>
              </w:rPr>
              <w:t>表</w:t>
            </w:r>
            <w:r>
              <w:rPr>
                <w:rFonts w:hint="eastAsia"/>
                <w:b/>
                <w:bCs/>
                <w:sz w:val="21"/>
                <w:szCs w:val="21"/>
              </w:rPr>
              <w:t xml:space="preserve">4-14  </w:t>
            </w:r>
            <w:r>
              <w:rPr>
                <w:b/>
                <w:bCs/>
                <w:sz w:val="21"/>
                <w:szCs w:val="21"/>
                <w:lang w:val="zh-CN"/>
              </w:rPr>
              <w:t>各厂界</w:t>
            </w:r>
            <w:r>
              <w:rPr>
                <w:rFonts w:hint="eastAsia"/>
                <w:b/>
                <w:bCs/>
                <w:sz w:val="21"/>
                <w:szCs w:val="21"/>
                <w:lang w:val="zh-CN"/>
              </w:rPr>
              <w:t>噪声预测</w:t>
            </w:r>
            <w:r>
              <w:rPr>
                <w:b/>
                <w:bCs/>
                <w:sz w:val="21"/>
                <w:szCs w:val="21"/>
                <w:lang w:val="zh-CN"/>
              </w:rPr>
              <w:t>值</w:t>
            </w:r>
            <w:r>
              <w:rPr>
                <w:rFonts w:hint="eastAsia"/>
                <w:b/>
                <w:bCs/>
                <w:sz w:val="21"/>
                <w:szCs w:val="21"/>
                <w:lang w:val="zh-CN"/>
              </w:rPr>
              <w:t>一览</w:t>
            </w:r>
            <w:r>
              <w:rPr>
                <w:b/>
                <w:bCs/>
                <w:sz w:val="21"/>
                <w:szCs w:val="21"/>
                <w:lang w:val="zh-CN"/>
              </w:rPr>
              <w:t>表</w:t>
            </w:r>
          </w:p>
          <w:tbl>
            <w:tblPr>
              <w:tblStyle w:val="22"/>
              <w:tblW w:w="83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0"/>
              <w:gridCol w:w="1323"/>
              <w:gridCol w:w="1323"/>
              <w:gridCol w:w="1324"/>
              <w:gridCol w:w="1477"/>
              <w:gridCol w:w="1610"/>
            </w:tblGrid>
            <w:tr w14:paraId="0D72C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0" w:type="dxa"/>
                  <w:vMerge w:val="restart"/>
                  <w:tcBorders>
                    <w:tl2br w:val="nil"/>
                    <w:tr2bl w:val="nil"/>
                  </w:tcBorders>
                  <w:tcMar>
                    <w:top w:w="15" w:type="dxa"/>
                    <w:left w:w="15" w:type="dxa"/>
                    <w:right w:w="15" w:type="dxa"/>
                  </w:tcMar>
                  <w:vAlign w:val="center"/>
                </w:tcPr>
                <w:p w14:paraId="30007098">
                  <w:pPr>
                    <w:widowControl/>
                    <w:spacing w:line="240" w:lineRule="auto"/>
                    <w:ind w:firstLine="0" w:firstLineChars="0"/>
                    <w:jc w:val="center"/>
                    <w:textAlignment w:val="center"/>
                    <w:rPr>
                      <w:sz w:val="21"/>
                      <w:szCs w:val="21"/>
                    </w:rPr>
                  </w:pPr>
                  <w:r>
                    <w:rPr>
                      <w:sz w:val="21"/>
                      <w:szCs w:val="21"/>
                    </w:rPr>
                    <w:t>厂界</w:t>
                  </w:r>
                </w:p>
              </w:tc>
              <w:tc>
                <w:tcPr>
                  <w:tcW w:w="1323" w:type="dxa"/>
                  <w:vMerge w:val="restart"/>
                  <w:tcBorders>
                    <w:tl2br w:val="nil"/>
                    <w:tr2bl w:val="nil"/>
                  </w:tcBorders>
                  <w:tcMar>
                    <w:top w:w="15" w:type="dxa"/>
                    <w:left w:w="15" w:type="dxa"/>
                    <w:right w:w="15" w:type="dxa"/>
                  </w:tcMar>
                  <w:vAlign w:val="center"/>
                </w:tcPr>
                <w:p w14:paraId="1005F07D">
                  <w:pPr>
                    <w:widowControl/>
                    <w:spacing w:line="240" w:lineRule="auto"/>
                    <w:ind w:firstLine="0" w:firstLineChars="0"/>
                    <w:jc w:val="center"/>
                    <w:textAlignment w:val="center"/>
                    <w:rPr>
                      <w:sz w:val="21"/>
                      <w:szCs w:val="21"/>
                    </w:rPr>
                  </w:pPr>
                  <w:r>
                    <w:rPr>
                      <w:rFonts w:hint="eastAsia"/>
                      <w:sz w:val="21"/>
                      <w:szCs w:val="21"/>
                    </w:rPr>
                    <w:t>噪声贡献值</w:t>
                  </w:r>
                </w:p>
                <w:p w14:paraId="28BBE40F">
                  <w:pPr>
                    <w:widowControl/>
                    <w:spacing w:line="240" w:lineRule="auto"/>
                    <w:ind w:firstLine="0" w:firstLineChars="0"/>
                    <w:jc w:val="center"/>
                    <w:textAlignment w:val="center"/>
                    <w:rPr>
                      <w:sz w:val="21"/>
                      <w:szCs w:val="21"/>
                    </w:rPr>
                  </w:pPr>
                  <w:r>
                    <w:rPr>
                      <w:rFonts w:hint="eastAsia"/>
                      <w:sz w:val="21"/>
                      <w:szCs w:val="21"/>
                    </w:rPr>
                    <w:t>/dB（A）</w:t>
                  </w:r>
                </w:p>
              </w:tc>
              <w:tc>
                <w:tcPr>
                  <w:tcW w:w="2647" w:type="dxa"/>
                  <w:gridSpan w:val="2"/>
                  <w:tcBorders>
                    <w:tl2br w:val="nil"/>
                    <w:tr2bl w:val="nil"/>
                  </w:tcBorders>
                  <w:tcMar>
                    <w:top w:w="15" w:type="dxa"/>
                    <w:left w:w="15" w:type="dxa"/>
                    <w:right w:w="15" w:type="dxa"/>
                  </w:tcMar>
                  <w:vAlign w:val="center"/>
                </w:tcPr>
                <w:p w14:paraId="7FC2FDB2">
                  <w:pPr>
                    <w:widowControl/>
                    <w:spacing w:line="240" w:lineRule="auto"/>
                    <w:ind w:firstLine="0" w:firstLineChars="0"/>
                    <w:jc w:val="center"/>
                    <w:textAlignment w:val="center"/>
                    <w:rPr>
                      <w:sz w:val="21"/>
                      <w:szCs w:val="21"/>
                    </w:rPr>
                  </w:pPr>
                  <w:r>
                    <w:rPr>
                      <w:rFonts w:hint="eastAsia"/>
                      <w:sz w:val="21"/>
                      <w:szCs w:val="21"/>
                    </w:rPr>
                    <w:t>标准值/dB（A）</w:t>
                  </w:r>
                </w:p>
              </w:tc>
              <w:tc>
                <w:tcPr>
                  <w:tcW w:w="3087" w:type="dxa"/>
                  <w:gridSpan w:val="2"/>
                  <w:tcBorders>
                    <w:tl2br w:val="nil"/>
                    <w:tr2bl w:val="nil"/>
                  </w:tcBorders>
                  <w:tcMar>
                    <w:top w:w="15" w:type="dxa"/>
                    <w:left w:w="15" w:type="dxa"/>
                    <w:right w:w="15" w:type="dxa"/>
                  </w:tcMar>
                  <w:vAlign w:val="center"/>
                </w:tcPr>
                <w:p w14:paraId="6A93C2D7">
                  <w:pPr>
                    <w:widowControl/>
                    <w:spacing w:line="240" w:lineRule="auto"/>
                    <w:ind w:firstLine="0" w:firstLineChars="0"/>
                    <w:jc w:val="center"/>
                    <w:textAlignment w:val="center"/>
                    <w:rPr>
                      <w:sz w:val="21"/>
                      <w:szCs w:val="21"/>
                    </w:rPr>
                  </w:pPr>
                  <w:r>
                    <w:rPr>
                      <w:rFonts w:hint="eastAsia"/>
                      <w:sz w:val="21"/>
                      <w:szCs w:val="21"/>
                    </w:rPr>
                    <w:t>达标分析</w:t>
                  </w:r>
                </w:p>
              </w:tc>
            </w:tr>
            <w:tr w14:paraId="1FCF8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0" w:type="dxa"/>
                  <w:vMerge w:val="continue"/>
                  <w:tcBorders>
                    <w:tl2br w:val="nil"/>
                    <w:tr2bl w:val="nil"/>
                  </w:tcBorders>
                  <w:tcMar>
                    <w:top w:w="15" w:type="dxa"/>
                    <w:left w:w="15" w:type="dxa"/>
                    <w:right w:w="15" w:type="dxa"/>
                  </w:tcMar>
                  <w:vAlign w:val="center"/>
                </w:tcPr>
                <w:p w14:paraId="0E501F0F">
                  <w:pPr>
                    <w:widowControl/>
                    <w:spacing w:line="240" w:lineRule="auto"/>
                    <w:ind w:firstLine="0" w:firstLineChars="0"/>
                    <w:jc w:val="center"/>
                    <w:textAlignment w:val="center"/>
                    <w:rPr>
                      <w:sz w:val="21"/>
                      <w:szCs w:val="21"/>
                    </w:rPr>
                  </w:pPr>
                </w:p>
              </w:tc>
              <w:tc>
                <w:tcPr>
                  <w:tcW w:w="1323" w:type="dxa"/>
                  <w:vMerge w:val="continue"/>
                  <w:tcBorders>
                    <w:tl2br w:val="nil"/>
                    <w:tr2bl w:val="nil"/>
                  </w:tcBorders>
                  <w:tcMar>
                    <w:top w:w="15" w:type="dxa"/>
                    <w:left w:w="15" w:type="dxa"/>
                    <w:right w:w="15" w:type="dxa"/>
                  </w:tcMar>
                  <w:vAlign w:val="center"/>
                </w:tcPr>
                <w:p w14:paraId="3614EE82">
                  <w:pPr>
                    <w:widowControl/>
                    <w:spacing w:line="240" w:lineRule="auto"/>
                    <w:ind w:firstLine="0" w:firstLineChars="0"/>
                    <w:jc w:val="center"/>
                    <w:textAlignment w:val="center"/>
                    <w:rPr>
                      <w:sz w:val="21"/>
                      <w:szCs w:val="21"/>
                    </w:rPr>
                  </w:pPr>
                </w:p>
              </w:tc>
              <w:tc>
                <w:tcPr>
                  <w:tcW w:w="1323" w:type="dxa"/>
                  <w:tcBorders>
                    <w:tl2br w:val="nil"/>
                    <w:tr2bl w:val="nil"/>
                  </w:tcBorders>
                  <w:tcMar>
                    <w:top w:w="15" w:type="dxa"/>
                    <w:left w:w="15" w:type="dxa"/>
                    <w:right w:w="15" w:type="dxa"/>
                  </w:tcMar>
                  <w:vAlign w:val="center"/>
                </w:tcPr>
                <w:p w14:paraId="70ACFEEB">
                  <w:pPr>
                    <w:widowControl/>
                    <w:spacing w:line="240" w:lineRule="auto"/>
                    <w:ind w:firstLine="0" w:firstLineChars="0"/>
                    <w:jc w:val="center"/>
                    <w:textAlignment w:val="center"/>
                    <w:rPr>
                      <w:sz w:val="21"/>
                      <w:szCs w:val="21"/>
                    </w:rPr>
                  </w:pPr>
                  <w:r>
                    <w:rPr>
                      <w:rFonts w:hint="eastAsia"/>
                      <w:sz w:val="21"/>
                      <w:szCs w:val="21"/>
                    </w:rPr>
                    <w:t>昼间</w:t>
                  </w:r>
                </w:p>
              </w:tc>
              <w:tc>
                <w:tcPr>
                  <w:tcW w:w="1324" w:type="dxa"/>
                  <w:tcBorders>
                    <w:tl2br w:val="nil"/>
                    <w:tr2bl w:val="nil"/>
                  </w:tcBorders>
                  <w:tcMar>
                    <w:top w:w="15" w:type="dxa"/>
                    <w:left w:w="15" w:type="dxa"/>
                    <w:right w:w="15" w:type="dxa"/>
                  </w:tcMar>
                  <w:vAlign w:val="center"/>
                </w:tcPr>
                <w:p w14:paraId="6FE73105">
                  <w:pPr>
                    <w:widowControl/>
                    <w:spacing w:line="240" w:lineRule="auto"/>
                    <w:ind w:firstLine="0" w:firstLineChars="0"/>
                    <w:jc w:val="center"/>
                    <w:textAlignment w:val="center"/>
                    <w:rPr>
                      <w:sz w:val="21"/>
                      <w:szCs w:val="21"/>
                    </w:rPr>
                  </w:pPr>
                  <w:r>
                    <w:rPr>
                      <w:rFonts w:hint="eastAsia"/>
                      <w:sz w:val="21"/>
                      <w:szCs w:val="21"/>
                    </w:rPr>
                    <w:t>夜间</w:t>
                  </w:r>
                </w:p>
              </w:tc>
              <w:tc>
                <w:tcPr>
                  <w:tcW w:w="1477" w:type="dxa"/>
                  <w:tcBorders>
                    <w:tl2br w:val="nil"/>
                    <w:tr2bl w:val="nil"/>
                  </w:tcBorders>
                  <w:tcMar>
                    <w:top w:w="15" w:type="dxa"/>
                    <w:left w:w="15" w:type="dxa"/>
                    <w:right w:w="15" w:type="dxa"/>
                  </w:tcMar>
                  <w:vAlign w:val="center"/>
                </w:tcPr>
                <w:p w14:paraId="78723963">
                  <w:pPr>
                    <w:widowControl/>
                    <w:spacing w:line="240" w:lineRule="auto"/>
                    <w:ind w:firstLine="0" w:firstLineChars="0"/>
                    <w:jc w:val="center"/>
                    <w:textAlignment w:val="center"/>
                    <w:rPr>
                      <w:sz w:val="21"/>
                      <w:szCs w:val="21"/>
                    </w:rPr>
                  </w:pPr>
                  <w:r>
                    <w:rPr>
                      <w:rFonts w:hint="eastAsia"/>
                      <w:sz w:val="21"/>
                      <w:szCs w:val="21"/>
                    </w:rPr>
                    <w:t>昼间</w:t>
                  </w:r>
                </w:p>
              </w:tc>
              <w:tc>
                <w:tcPr>
                  <w:tcW w:w="1610" w:type="dxa"/>
                  <w:tcBorders>
                    <w:tl2br w:val="nil"/>
                    <w:tr2bl w:val="nil"/>
                  </w:tcBorders>
                  <w:tcMar>
                    <w:top w:w="15" w:type="dxa"/>
                    <w:left w:w="15" w:type="dxa"/>
                    <w:right w:w="15" w:type="dxa"/>
                  </w:tcMar>
                  <w:vAlign w:val="center"/>
                </w:tcPr>
                <w:p w14:paraId="5E5ACFE5">
                  <w:pPr>
                    <w:widowControl/>
                    <w:spacing w:line="240" w:lineRule="auto"/>
                    <w:ind w:firstLine="0" w:firstLineChars="0"/>
                    <w:jc w:val="center"/>
                    <w:textAlignment w:val="center"/>
                    <w:rPr>
                      <w:sz w:val="21"/>
                      <w:szCs w:val="21"/>
                    </w:rPr>
                  </w:pPr>
                  <w:r>
                    <w:rPr>
                      <w:rFonts w:hint="eastAsia"/>
                      <w:sz w:val="21"/>
                      <w:szCs w:val="21"/>
                    </w:rPr>
                    <w:t>夜间</w:t>
                  </w:r>
                </w:p>
              </w:tc>
            </w:tr>
            <w:tr w14:paraId="78C15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0" w:type="dxa"/>
                  <w:tcBorders>
                    <w:tl2br w:val="nil"/>
                    <w:tr2bl w:val="nil"/>
                  </w:tcBorders>
                  <w:tcMar>
                    <w:top w:w="15" w:type="dxa"/>
                    <w:left w:w="15" w:type="dxa"/>
                    <w:right w:w="15" w:type="dxa"/>
                  </w:tcMar>
                  <w:vAlign w:val="center"/>
                </w:tcPr>
                <w:p w14:paraId="6438292F">
                  <w:pPr>
                    <w:widowControl/>
                    <w:spacing w:line="240" w:lineRule="auto"/>
                    <w:ind w:firstLine="0" w:firstLineChars="0"/>
                    <w:jc w:val="center"/>
                    <w:textAlignment w:val="center"/>
                    <w:rPr>
                      <w:sz w:val="21"/>
                      <w:szCs w:val="21"/>
                    </w:rPr>
                  </w:pPr>
                  <w:r>
                    <w:rPr>
                      <w:sz w:val="21"/>
                      <w:szCs w:val="21"/>
                    </w:rPr>
                    <w:t>东厂界</w:t>
                  </w:r>
                </w:p>
              </w:tc>
              <w:tc>
                <w:tcPr>
                  <w:tcW w:w="1323" w:type="dxa"/>
                  <w:tcBorders>
                    <w:tl2br w:val="nil"/>
                    <w:tr2bl w:val="nil"/>
                  </w:tcBorders>
                  <w:tcMar>
                    <w:top w:w="15" w:type="dxa"/>
                    <w:left w:w="15" w:type="dxa"/>
                    <w:right w:w="15" w:type="dxa"/>
                  </w:tcMar>
                  <w:vAlign w:val="center"/>
                </w:tcPr>
                <w:p w14:paraId="3FCBC72E">
                  <w:pPr>
                    <w:spacing w:line="240" w:lineRule="auto"/>
                    <w:ind w:firstLine="0" w:firstLineChars="0"/>
                    <w:jc w:val="center"/>
                    <w:rPr>
                      <w:sz w:val="21"/>
                      <w:szCs w:val="21"/>
                    </w:rPr>
                  </w:pPr>
                  <w:r>
                    <w:rPr>
                      <w:rFonts w:hint="eastAsia"/>
                      <w:sz w:val="21"/>
                      <w:szCs w:val="21"/>
                    </w:rPr>
                    <w:t>54.87</w:t>
                  </w:r>
                </w:p>
              </w:tc>
              <w:tc>
                <w:tcPr>
                  <w:tcW w:w="1323" w:type="dxa"/>
                  <w:tcBorders>
                    <w:tl2br w:val="nil"/>
                    <w:tr2bl w:val="nil"/>
                  </w:tcBorders>
                  <w:tcMar>
                    <w:top w:w="15" w:type="dxa"/>
                    <w:left w:w="15" w:type="dxa"/>
                    <w:right w:w="15" w:type="dxa"/>
                  </w:tcMar>
                  <w:vAlign w:val="center"/>
                </w:tcPr>
                <w:p w14:paraId="1DFA3CC7">
                  <w:pPr>
                    <w:widowControl/>
                    <w:spacing w:line="240" w:lineRule="auto"/>
                    <w:ind w:firstLine="0" w:firstLineChars="0"/>
                    <w:jc w:val="center"/>
                    <w:textAlignment w:val="center"/>
                    <w:rPr>
                      <w:sz w:val="21"/>
                      <w:szCs w:val="21"/>
                    </w:rPr>
                  </w:pPr>
                  <w:r>
                    <w:rPr>
                      <w:rFonts w:hint="eastAsia"/>
                      <w:sz w:val="21"/>
                      <w:szCs w:val="21"/>
                    </w:rPr>
                    <w:t>70</w:t>
                  </w:r>
                </w:p>
              </w:tc>
              <w:tc>
                <w:tcPr>
                  <w:tcW w:w="1324" w:type="dxa"/>
                  <w:tcBorders>
                    <w:tl2br w:val="nil"/>
                    <w:tr2bl w:val="nil"/>
                  </w:tcBorders>
                  <w:tcMar>
                    <w:top w:w="15" w:type="dxa"/>
                    <w:left w:w="15" w:type="dxa"/>
                    <w:right w:w="15" w:type="dxa"/>
                  </w:tcMar>
                  <w:vAlign w:val="center"/>
                </w:tcPr>
                <w:p w14:paraId="663F1A5E">
                  <w:pPr>
                    <w:widowControl/>
                    <w:spacing w:line="240" w:lineRule="auto"/>
                    <w:ind w:firstLine="0" w:firstLineChars="0"/>
                    <w:jc w:val="center"/>
                    <w:textAlignment w:val="center"/>
                    <w:rPr>
                      <w:sz w:val="21"/>
                      <w:szCs w:val="21"/>
                    </w:rPr>
                  </w:pPr>
                  <w:r>
                    <w:rPr>
                      <w:rFonts w:hint="eastAsia"/>
                      <w:sz w:val="21"/>
                      <w:szCs w:val="21"/>
                    </w:rPr>
                    <w:t>55</w:t>
                  </w:r>
                </w:p>
              </w:tc>
              <w:tc>
                <w:tcPr>
                  <w:tcW w:w="1477" w:type="dxa"/>
                  <w:tcBorders>
                    <w:tl2br w:val="nil"/>
                    <w:tr2bl w:val="nil"/>
                  </w:tcBorders>
                  <w:tcMar>
                    <w:top w:w="15" w:type="dxa"/>
                    <w:left w:w="15" w:type="dxa"/>
                    <w:right w:w="15" w:type="dxa"/>
                  </w:tcMar>
                  <w:vAlign w:val="center"/>
                </w:tcPr>
                <w:p w14:paraId="7CD317D8">
                  <w:pPr>
                    <w:widowControl/>
                    <w:spacing w:line="240" w:lineRule="auto"/>
                    <w:ind w:firstLine="0" w:firstLineChars="0"/>
                    <w:jc w:val="center"/>
                    <w:textAlignment w:val="center"/>
                    <w:rPr>
                      <w:sz w:val="21"/>
                      <w:szCs w:val="21"/>
                    </w:rPr>
                  </w:pPr>
                  <w:r>
                    <w:rPr>
                      <w:rFonts w:hint="eastAsia"/>
                      <w:sz w:val="21"/>
                      <w:szCs w:val="21"/>
                    </w:rPr>
                    <w:t>达标</w:t>
                  </w:r>
                </w:p>
              </w:tc>
              <w:tc>
                <w:tcPr>
                  <w:tcW w:w="1610" w:type="dxa"/>
                  <w:tcBorders>
                    <w:tl2br w:val="nil"/>
                    <w:tr2bl w:val="nil"/>
                  </w:tcBorders>
                  <w:tcMar>
                    <w:top w:w="15" w:type="dxa"/>
                    <w:left w:w="15" w:type="dxa"/>
                    <w:right w:w="15" w:type="dxa"/>
                  </w:tcMar>
                  <w:vAlign w:val="center"/>
                </w:tcPr>
                <w:p w14:paraId="5A0A95D7">
                  <w:pPr>
                    <w:widowControl/>
                    <w:spacing w:line="240" w:lineRule="auto"/>
                    <w:ind w:firstLine="0" w:firstLineChars="0"/>
                    <w:jc w:val="center"/>
                    <w:textAlignment w:val="center"/>
                    <w:rPr>
                      <w:sz w:val="21"/>
                      <w:szCs w:val="21"/>
                    </w:rPr>
                  </w:pPr>
                  <w:r>
                    <w:rPr>
                      <w:rFonts w:hint="eastAsia"/>
                      <w:sz w:val="21"/>
                      <w:szCs w:val="21"/>
                    </w:rPr>
                    <w:t>达标</w:t>
                  </w:r>
                </w:p>
              </w:tc>
            </w:tr>
            <w:tr w14:paraId="166EA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0" w:type="dxa"/>
                  <w:tcBorders>
                    <w:tl2br w:val="nil"/>
                    <w:tr2bl w:val="nil"/>
                  </w:tcBorders>
                  <w:tcMar>
                    <w:top w:w="15" w:type="dxa"/>
                    <w:left w:w="15" w:type="dxa"/>
                    <w:right w:w="15" w:type="dxa"/>
                  </w:tcMar>
                  <w:vAlign w:val="center"/>
                </w:tcPr>
                <w:p w14:paraId="5ED8ECED">
                  <w:pPr>
                    <w:widowControl/>
                    <w:spacing w:line="240" w:lineRule="auto"/>
                    <w:ind w:firstLine="0" w:firstLineChars="0"/>
                    <w:jc w:val="center"/>
                    <w:textAlignment w:val="center"/>
                    <w:rPr>
                      <w:sz w:val="21"/>
                      <w:szCs w:val="21"/>
                    </w:rPr>
                  </w:pPr>
                  <w:r>
                    <w:rPr>
                      <w:sz w:val="21"/>
                      <w:szCs w:val="21"/>
                    </w:rPr>
                    <w:t>南厂界</w:t>
                  </w:r>
                </w:p>
              </w:tc>
              <w:tc>
                <w:tcPr>
                  <w:tcW w:w="1323" w:type="dxa"/>
                  <w:tcBorders>
                    <w:tl2br w:val="nil"/>
                    <w:tr2bl w:val="nil"/>
                  </w:tcBorders>
                  <w:tcMar>
                    <w:top w:w="15" w:type="dxa"/>
                    <w:left w:w="15" w:type="dxa"/>
                    <w:right w:w="15" w:type="dxa"/>
                  </w:tcMar>
                  <w:vAlign w:val="center"/>
                </w:tcPr>
                <w:p w14:paraId="35DC08B3">
                  <w:pPr>
                    <w:spacing w:line="240" w:lineRule="auto"/>
                    <w:ind w:firstLine="0" w:firstLineChars="0"/>
                    <w:jc w:val="center"/>
                    <w:rPr>
                      <w:sz w:val="21"/>
                      <w:szCs w:val="21"/>
                    </w:rPr>
                  </w:pPr>
                  <w:r>
                    <w:rPr>
                      <w:rFonts w:hint="eastAsia"/>
                      <w:sz w:val="21"/>
                      <w:szCs w:val="21"/>
                    </w:rPr>
                    <w:t>42.55</w:t>
                  </w:r>
                </w:p>
              </w:tc>
              <w:tc>
                <w:tcPr>
                  <w:tcW w:w="1323" w:type="dxa"/>
                  <w:tcBorders>
                    <w:tl2br w:val="nil"/>
                    <w:tr2bl w:val="nil"/>
                  </w:tcBorders>
                  <w:tcMar>
                    <w:top w:w="15" w:type="dxa"/>
                    <w:left w:w="15" w:type="dxa"/>
                    <w:right w:w="15" w:type="dxa"/>
                  </w:tcMar>
                  <w:vAlign w:val="center"/>
                </w:tcPr>
                <w:p w14:paraId="5210E520">
                  <w:pPr>
                    <w:widowControl/>
                    <w:spacing w:line="240" w:lineRule="auto"/>
                    <w:ind w:firstLine="0" w:firstLineChars="0"/>
                    <w:jc w:val="center"/>
                    <w:textAlignment w:val="center"/>
                    <w:rPr>
                      <w:sz w:val="21"/>
                      <w:szCs w:val="21"/>
                    </w:rPr>
                  </w:pPr>
                  <w:r>
                    <w:rPr>
                      <w:rFonts w:hint="eastAsia"/>
                      <w:sz w:val="21"/>
                      <w:szCs w:val="21"/>
                    </w:rPr>
                    <w:t>65</w:t>
                  </w:r>
                </w:p>
              </w:tc>
              <w:tc>
                <w:tcPr>
                  <w:tcW w:w="1324" w:type="dxa"/>
                  <w:tcBorders>
                    <w:tl2br w:val="nil"/>
                    <w:tr2bl w:val="nil"/>
                  </w:tcBorders>
                  <w:tcMar>
                    <w:top w:w="15" w:type="dxa"/>
                    <w:left w:w="15" w:type="dxa"/>
                    <w:right w:w="15" w:type="dxa"/>
                  </w:tcMar>
                  <w:vAlign w:val="center"/>
                </w:tcPr>
                <w:p w14:paraId="18FE675C">
                  <w:pPr>
                    <w:widowControl/>
                    <w:spacing w:line="240" w:lineRule="auto"/>
                    <w:ind w:firstLine="0" w:firstLineChars="0"/>
                    <w:jc w:val="center"/>
                    <w:textAlignment w:val="center"/>
                    <w:rPr>
                      <w:sz w:val="21"/>
                      <w:szCs w:val="21"/>
                    </w:rPr>
                  </w:pPr>
                  <w:r>
                    <w:rPr>
                      <w:rFonts w:hint="eastAsia"/>
                      <w:sz w:val="21"/>
                      <w:szCs w:val="21"/>
                    </w:rPr>
                    <w:t>55</w:t>
                  </w:r>
                </w:p>
              </w:tc>
              <w:tc>
                <w:tcPr>
                  <w:tcW w:w="1477" w:type="dxa"/>
                  <w:tcBorders>
                    <w:tl2br w:val="nil"/>
                    <w:tr2bl w:val="nil"/>
                  </w:tcBorders>
                  <w:tcMar>
                    <w:top w:w="15" w:type="dxa"/>
                    <w:left w:w="15" w:type="dxa"/>
                    <w:right w:w="15" w:type="dxa"/>
                  </w:tcMar>
                  <w:vAlign w:val="center"/>
                </w:tcPr>
                <w:p w14:paraId="05F633CA">
                  <w:pPr>
                    <w:widowControl/>
                    <w:spacing w:line="240" w:lineRule="auto"/>
                    <w:ind w:firstLine="0" w:firstLineChars="0"/>
                    <w:jc w:val="center"/>
                    <w:textAlignment w:val="center"/>
                    <w:rPr>
                      <w:sz w:val="21"/>
                      <w:szCs w:val="21"/>
                    </w:rPr>
                  </w:pPr>
                  <w:r>
                    <w:rPr>
                      <w:rFonts w:hint="eastAsia"/>
                      <w:sz w:val="21"/>
                      <w:szCs w:val="21"/>
                    </w:rPr>
                    <w:t>达标</w:t>
                  </w:r>
                </w:p>
              </w:tc>
              <w:tc>
                <w:tcPr>
                  <w:tcW w:w="1610" w:type="dxa"/>
                  <w:tcBorders>
                    <w:tl2br w:val="nil"/>
                    <w:tr2bl w:val="nil"/>
                  </w:tcBorders>
                  <w:tcMar>
                    <w:top w:w="15" w:type="dxa"/>
                    <w:left w:w="15" w:type="dxa"/>
                    <w:right w:w="15" w:type="dxa"/>
                  </w:tcMar>
                  <w:vAlign w:val="center"/>
                </w:tcPr>
                <w:p w14:paraId="23941EC0">
                  <w:pPr>
                    <w:widowControl/>
                    <w:spacing w:line="240" w:lineRule="auto"/>
                    <w:ind w:firstLine="0" w:firstLineChars="0"/>
                    <w:jc w:val="center"/>
                    <w:textAlignment w:val="center"/>
                    <w:rPr>
                      <w:sz w:val="21"/>
                      <w:szCs w:val="21"/>
                    </w:rPr>
                  </w:pPr>
                  <w:r>
                    <w:rPr>
                      <w:rFonts w:hint="eastAsia"/>
                      <w:sz w:val="21"/>
                      <w:szCs w:val="21"/>
                    </w:rPr>
                    <w:t>达标</w:t>
                  </w:r>
                </w:p>
              </w:tc>
            </w:tr>
            <w:tr w14:paraId="081A7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0" w:type="dxa"/>
                  <w:tcBorders>
                    <w:tl2br w:val="nil"/>
                    <w:tr2bl w:val="nil"/>
                  </w:tcBorders>
                  <w:tcMar>
                    <w:top w:w="15" w:type="dxa"/>
                    <w:left w:w="15" w:type="dxa"/>
                    <w:right w:w="15" w:type="dxa"/>
                  </w:tcMar>
                  <w:vAlign w:val="center"/>
                </w:tcPr>
                <w:p w14:paraId="349A1135">
                  <w:pPr>
                    <w:widowControl/>
                    <w:spacing w:line="240" w:lineRule="auto"/>
                    <w:ind w:firstLine="0" w:firstLineChars="0"/>
                    <w:jc w:val="center"/>
                    <w:textAlignment w:val="center"/>
                    <w:rPr>
                      <w:sz w:val="21"/>
                      <w:szCs w:val="21"/>
                    </w:rPr>
                  </w:pPr>
                  <w:r>
                    <w:rPr>
                      <w:sz w:val="21"/>
                      <w:szCs w:val="21"/>
                    </w:rPr>
                    <w:t>西厂界</w:t>
                  </w:r>
                </w:p>
              </w:tc>
              <w:tc>
                <w:tcPr>
                  <w:tcW w:w="1323" w:type="dxa"/>
                  <w:tcBorders>
                    <w:tl2br w:val="nil"/>
                    <w:tr2bl w:val="nil"/>
                  </w:tcBorders>
                  <w:tcMar>
                    <w:top w:w="15" w:type="dxa"/>
                    <w:left w:w="15" w:type="dxa"/>
                    <w:right w:w="15" w:type="dxa"/>
                  </w:tcMar>
                  <w:vAlign w:val="center"/>
                </w:tcPr>
                <w:p w14:paraId="5DDDEC69">
                  <w:pPr>
                    <w:spacing w:line="240" w:lineRule="auto"/>
                    <w:ind w:firstLine="0" w:firstLineChars="0"/>
                    <w:jc w:val="center"/>
                    <w:rPr>
                      <w:sz w:val="21"/>
                      <w:szCs w:val="21"/>
                    </w:rPr>
                  </w:pPr>
                  <w:r>
                    <w:rPr>
                      <w:rFonts w:hint="eastAsia"/>
                      <w:sz w:val="21"/>
                      <w:szCs w:val="21"/>
                    </w:rPr>
                    <w:t>48.46</w:t>
                  </w:r>
                </w:p>
              </w:tc>
              <w:tc>
                <w:tcPr>
                  <w:tcW w:w="1323" w:type="dxa"/>
                  <w:tcBorders>
                    <w:tl2br w:val="nil"/>
                    <w:tr2bl w:val="nil"/>
                  </w:tcBorders>
                  <w:tcMar>
                    <w:top w:w="15" w:type="dxa"/>
                    <w:left w:w="15" w:type="dxa"/>
                    <w:right w:w="15" w:type="dxa"/>
                  </w:tcMar>
                  <w:vAlign w:val="center"/>
                </w:tcPr>
                <w:p w14:paraId="76EAD951">
                  <w:pPr>
                    <w:widowControl/>
                    <w:spacing w:line="240" w:lineRule="auto"/>
                    <w:ind w:firstLine="0" w:firstLineChars="0"/>
                    <w:jc w:val="center"/>
                    <w:textAlignment w:val="center"/>
                    <w:rPr>
                      <w:sz w:val="21"/>
                      <w:szCs w:val="21"/>
                    </w:rPr>
                  </w:pPr>
                  <w:r>
                    <w:rPr>
                      <w:rFonts w:hint="eastAsia"/>
                      <w:sz w:val="21"/>
                      <w:szCs w:val="21"/>
                    </w:rPr>
                    <w:t>65</w:t>
                  </w:r>
                </w:p>
              </w:tc>
              <w:tc>
                <w:tcPr>
                  <w:tcW w:w="1324" w:type="dxa"/>
                  <w:tcBorders>
                    <w:tl2br w:val="nil"/>
                    <w:tr2bl w:val="nil"/>
                  </w:tcBorders>
                  <w:tcMar>
                    <w:top w:w="15" w:type="dxa"/>
                    <w:left w:w="15" w:type="dxa"/>
                    <w:right w:w="15" w:type="dxa"/>
                  </w:tcMar>
                  <w:vAlign w:val="center"/>
                </w:tcPr>
                <w:p w14:paraId="7B3A650C">
                  <w:pPr>
                    <w:widowControl/>
                    <w:spacing w:line="240" w:lineRule="auto"/>
                    <w:ind w:firstLine="0" w:firstLineChars="0"/>
                    <w:jc w:val="center"/>
                    <w:textAlignment w:val="center"/>
                    <w:rPr>
                      <w:sz w:val="21"/>
                      <w:szCs w:val="21"/>
                    </w:rPr>
                  </w:pPr>
                  <w:r>
                    <w:rPr>
                      <w:rFonts w:hint="eastAsia"/>
                      <w:sz w:val="21"/>
                      <w:szCs w:val="21"/>
                    </w:rPr>
                    <w:t>55</w:t>
                  </w:r>
                </w:p>
              </w:tc>
              <w:tc>
                <w:tcPr>
                  <w:tcW w:w="1477" w:type="dxa"/>
                  <w:tcBorders>
                    <w:tl2br w:val="nil"/>
                    <w:tr2bl w:val="nil"/>
                  </w:tcBorders>
                  <w:tcMar>
                    <w:top w:w="15" w:type="dxa"/>
                    <w:left w:w="15" w:type="dxa"/>
                    <w:right w:w="15" w:type="dxa"/>
                  </w:tcMar>
                  <w:vAlign w:val="center"/>
                </w:tcPr>
                <w:p w14:paraId="2A6821A1">
                  <w:pPr>
                    <w:widowControl/>
                    <w:spacing w:line="240" w:lineRule="auto"/>
                    <w:ind w:firstLine="0" w:firstLineChars="0"/>
                    <w:jc w:val="center"/>
                    <w:textAlignment w:val="center"/>
                    <w:rPr>
                      <w:sz w:val="21"/>
                      <w:szCs w:val="21"/>
                    </w:rPr>
                  </w:pPr>
                  <w:r>
                    <w:rPr>
                      <w:rFonts w:hint="eastAsia"/>
                      <w:sz w:val="21"/>
                      <w:szCs w:val="21"/>
                    </w:rPr>
                    <w:t>达标</w:t>
                  </w:r>
                </w:p>
              </w:tc>
              <w:tc>
                <w:tcPr>
                  <w:tcW w:w="1610" w:type="dxa"/>
                  <w:tcBorders>
                    <w:tl2br w:val="nil"/>
                    <w:tr2bl w:val="nil"/>
                  </w:tcBorders>
                  <w:tcMar>
                    <w:top w:w="15" w:type="dxa"/>
                    <w:left w:w="15" w:type="dxa"/>
                    <w:right w:w="15" w:type="dxa"/>
                  </w:tcMar>
                  <w:vAlign w:val="center"/>
                </w:tcPr>
                <w:p w14:paraId="057788CB">
                  <w:pPr>
                    <w:widowControl/>
                    <w:spacing w:line="240" w:lineRule="auto"/>
                    <w:ind w:firstLine="0" w:firstLineChars="0"/>
                    <w:jc w:val="center"/>
                    <w:textAlignment w:val="center"/>
                    <w:rPr>
                      <w:sz w:val="21"/>
                      <w:szCs w:val="21"/>
                    </w:rPr>
                  </w:pPr>
                  <w:r>
                    <w:rPr>
                      <w:rFonts w:hint="eastAsia"/>
                      <w:sz w:val="21"/>
                      <w:szCs w:val="21"/>
                    </w:rPr>
                    <w:t>达标</w:t>
                  </w:r>
                </w:p>
              </w:tc>
            </w:tr>
            <w:tr w14:paraId="03C78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0" w:type="dxa"/>
                  <w:tcBorders>
                    <w:tl2br w:val="nil"/>
                    <w:tr2bl w:val="nil"/>
                  </w:tcBorders>
                  <w:tcMar>
                    <w:top w:w="15" w:type="dxa"/>
                    <w:left w:w="15" w:type="dxa"/>
                    <w:right w:w="15" w:type="dxa"/>
                  </w:tcMar>
                  <w:vAlign w:val="center"/>
                </w:tcPr>
                <w:p w14:paraId="6328101D">
                  <w:pPr>
                    <w:widowControl/>
                    <w:spacing w:line="240" w:lineRule="auto"/>
                    <w:ind w:firstLine="0" w:firstLineChars="0"/>
                    <w:jc w:val="center"/>
                    <w:textAlignment w:val="center"/>
                    <w:rPr>
                      <w:sz w:val="21"/>
                      <w:szCs w:val="21"/>
                    </w:rPr>
                  </w:pPr>
                  <w:r>
                    <w:rPr>
                      <w:sz w:val="21"/>
                      <w:szCs w:val="21"/>
                    </w:rPr>
                    <w:t>北厂界</w:t>
                  </w:r>
                </w:p>
              </w:tc>
              <w:tc>
                <w:tcPr>
                  <w:tcW w:w="1323" w:type="dxa"/>
                  <w:tcBorders>
                    <w:tl2br w:val="nil"/>
                    <w:tr2bl w:val="nil"/>
                  </w:tcBorders>
                  <w:tcMar>
                    <w:top w:w="15" w:type="dxa"/>
                    <w:left w:w="15" w:type="dxa"/>
                    <w:right w:w="15" w:type="dxa"/>
                  </w:tcMar>
                  <w:vAlign w:val="center"/>
                </w:tcPr>
                <w:p w14:paraId="63144174">
                  <w:pPr>
                    <w:spacing w:line="240" w:lineRule="auto"/>
                    <w:ind w:firstLine="0" w:firstLineChars="0"/>
                    <w:jc w:val="center"/>
                    <w:rPr>
                      <w:sz w:val="21"/>
                      <w:szCs w:val="21"/>
                    </w:rPr>
                  </w:pPr>
                  <w:r>
                    <w:rPr>
                      <w:rFonts w:hint="eastAsia"/>
                      <w:sz w:val="21"/>
                      <w:szCs w:val="21"/>
                    </w:rPr>
                    <w:t>54.87</w:t>
                  </w:r>
                </w:p>
              </w:tc>
              <w:tc>
                <w:tcPr>
                  <w:tcW w:w="1323" w:type="dxa"/>
                  <w:tcBorders>
                    <w:tl2br w:val="nil"/>
                    <w:tr2bl w:val="nil"/>
                  </w:tcBorders>
                  <w:tcMar>
                    <w:top w:w="15" w:type="dxa"/>
                    <w:left w:w="15" w:type="dxa"/>
                    <w:right w:w="15" w:type="dxa"/>
                  </w:tcMar>
                  <w:vAlign w:val="center"/>
                </w:tcPr>
                <w:p w14:paraId="5EF0DD4D">
                  <w:pPr>
                    <w:widowControl/>
                    <w:spacing w:line="240" w:lineRule="auto"/>
                    <w:ind w:firstLine="0" w:firstLineChars="0"/>
                    <w:jc w:val="center"/>
                    <w:textAlignment w:val="center"/>
                    <w:rPr>
                      <w:sz w:val="21"/>
                      <w:szCs w:val="21"/>
                    </w:rPr>
                  </w:pPr>
                  <w:r>
                    <w:rPr>
                      <w:rFonts w:hint="eastAsia"/>
                      <w:sz w:val="21"/>
                      <w:szCs w:val="21"/>
                    </w:rPr>
                    <w:t>70</w:t>
                  </w:r>
                </w:p>
              </w:tc>
              <w:tc>
                <w:tcPr>
                  <w:tcW w:w="1324" w:type="dxa"/>
                  <w:tcBorders>
                    <w:tl2br w:val="nil"/>
                    <w:tr2bl w:val="nil"/>
                  </w:tcBorders>
                  <w:tcMar>
                    <w:top w:w="15" w:type="dxa"/>
                    <w:left w:w="15" w:type="dxa"/>
                    <w:right w:w="15" w:type="dxa"/>
                  </w:tcMar>
                  <w:vAlign w:val="center"/>
                </w:tcPr>
                <w:p w14:paraId="0E11004D">
                  <w:pPr>
                    <w:widowControl/>
                    <w:spacing w:line="240" w:lineRule="auto"/>
                    <w:ind w:firstLine="0" w:firstLineChars="0"/>
                    <w:jc w:val="center"/>
                    <w:textAlignment w:val="center"/>
                    <w:rPr>
                      <w:sz w:val="21"/>
                      <w:szCs w:val="21"/>
                    </w:rPr>
                  </w:pPr>
                  <w:r>
                    <w:rPr>
                      <w:rFonts w:hint="eastAsia"/>
                      <w:sz w:val="21"/>
                      <w:szCs w:val="21"/>
                    </w:rPr>
                    <w:t>55</w:t>
                  </w:r>
                </w:p>
              </w:tc>
              <w:tc>
                <w:tcPr>
                  <w:tcW w:w="1477" w:type="dxa"/>
                  <w:tcBorders>
                    <w:tl2br w:val="nil"/>
                    <w:tr2bl w:val="nil"/>
                  </w:tcBorders>
                  <w:tcMar>
                    <w:top w:w="15" w:type="dxa"/>
                    <w:left w:w="15" w:type="dxa"/>
                    <w:right w:w="15" w:type="dxa"/>
                  </w:tcMar>
                  <w:vAlign w:val="center"/>
                </w:tcPr>
                <w:p w14:paraId="4D79CEE1">
                  <w:pPr>
                    <w:widowControl/>
                    <w:spacing w:line="240" w:lineRule="auto"/>
                    <w:ind w:firstLine="0" w:firstLineChars="0"/>
                    <w:jc w:val="center"/>
                    <w:textAlignment w:val="center"/>
                    <w:rPr>
                      <w:sz w:val="21"/>
                      <w:szCs w:val="21"/>
                    </w:rPr>
                  </w:pPr>
                  <w:r>
                    <w:rPr>
                      <w:rFonts w:hint="eastAsia"/>
                      <w:sz w:val="21"/>
                      <w:szCs w:val="21"/>
                    </w:rPr>
                    <w:t>达标</w:t>
                  </w:r>
                </w:p>
              </w:tc>
              <w:tc>
                <w:tcPr>
                  <w:tcW w:w="1610" w:type="dxa"/>
                  <w:tcBorders>
                    <w:tl2br w:val="nil"/>
                    <w:tr2bl w:val="nil"/>
                  </w:tcBorders>
                  <w:tcMar>
                    <w:top w:w="15" w:type="dxa"/>
                    <w:left w:w="15" w:type="dxa"/>
                    <w:right w:w="15" w:type="dxa"/>
                  </w:tcMar>
                  <w:vAlign w:val="center"/>
                </w:tcPr>
                <w:p w14:paraId="700E8E70">
                  <w:pPr>
                    <w:widowControl/>
                    <w:spacing w:line="240" w:lineRule="auto"/>
                    <w:ind w:firstLine="0" w:firstLineChars="0"/>
                    <w:jc w:val="center"/>
                    <w:textAlignment w:val="center"/>
                    <w:rPr>
                      <w:sz w:val="21"/>
                      <w:szCs w:val="21"/>
                    </w:rPr>
                  </w:pPr>
                  <w:r>
                    <w:rPr>
                      <w:rFonts w:hint="eastAsia"/>
                      <w:sz w:val="21"/>
                      <w:szCs w:val="21"/>
                    </w:rPr>
                    <w:t>达标</w:t>
                  </w:r>
                </w:p>
              </w:tc>
            </w:tr>
          </w:tbl>
          <w:p w14:paraId="066923AC">
            <w:pPr>
              <w:ind w:firstLine="480"/>
            </w:pPr>
            <w:r>
              <w:rPr>
                <w:rFonts w:hint="eastAsia"/>
              </w:rPr>
              <w:t>2、达标情况分析</w:t>
            </w:r>
          </w:p>
          <w:p w14:paraId="0D961F76">
            <w:pPr>
              <w:ind w:firstLine="480"/>
            </w:pPr>
            <w:r>
              <w:rPr>
                <w:rFonts w:hint="eastAsia"/>
              </w:rPr>
              <w:t>本项目噪声源主要为生产设备及治理设备运行过程产生的噪声，在对设备采取</w:t>
            </w:r>
            <w:r>
              <w:rPr>
                <w:color w:val="000000" w:themeColor="text1"/>
                <w14:textFill>
                  <w14:solidFill>
                    <w14:schemeClr w14:val="tx1"/>
                  </w14:solidFill>
                </w14:textFill>
              </w:rPr>
              <w:t>基础</w:t>
            </w:r>
            <w:r>
              <w:rPr>
                <w:rFonts w:hint="eastAsia"/>
                <w:color w:val="000000" w:themeColor="text1"/>
                <w14:textFill>
                  <w14:solidFill>
                    <w14:schemeClr w14:val="tx1"/>
                  </w14:solidFill>
                </w14:textFill>
              </w:rPr>
              <w:t>减振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厂房隔声、距离衰减</w:t>
            </w:r>
            <w:r>
              <w:rPr>
                <w:rFonts w:hint="eastAsia"/>
              </w:rPr>
              <w:t>等降噪措施后</w:t>
            </w:r>
            <w:r>
              <w:rPr>
                <w:lang w:val="en-GB"/>
              </w:rPr>
              <w:t>，</w:t>
            </w:r>
            <w:r>
              <w:rPr>
                <w:rFonts w:hint="eastAsia"/>
              </w:rPr>
              <w:t>厂界</w:t>
            </w:r>
            <w:r>
              <w:t>噪声均</w:t>
            </w:r>
            <w:r>
              <w:rPr>
                <w:rFonts w:hint="eastAsia"/>
              </w:rPr>
              <w:t>满足</w:t>
            </w:r>
            <w:r>
              <w:t>《工业企业厂界环境噪声排放标准》（GB12348-2008）</w:t>
            </w:r>
            <w:r>
              <w:rPr>
                <w:rFonts w:hint="eastAsia"/>
              </w:rPr>
              <w:t>3类、4类标准限值要求。</w:t>
            </w:r>
          </w:p>
          <w:p w14:paraId="64411420">
            <w:pPr>
              <w:ind w:firstLine="480"/>
            </w:pPr>
            <w:r>
              <w:rPr>
                <w:rFonts w:hint="eastAsia"/>
              </w:rPr>
              <w:t>3、监测计划</w:t>
            </w:r>
          </w:p>
          <w:p w14:paraId="707A9E67">
            <w:pPr>
              <w:ind w:firstLine="480"/>
              <w:rPr>
                <w:sz w:val="21"/>
                <w:szCs w:val="21"/>
              </w:rPr>
            </w:pPr>
            <w:r>
              <w:rPr>
                <w:snapToGrid w:val="0"/>
                <w:kern w:val="0"/>
              </w:rPr>
              <w:t>根据本建设项目性质与实际情况，</w:t>
            </w:r>
            <w:r>
              <w:t>按照《排污单位自行监测技术指南 总则》</w:t>
            </w:r>
            <w:r>
              <w:rPr>
                <w:rFonts w:hint="eastAsia"/>
                <w:kern w:val="1"/>
              </w:rPr>
              <w:t>要求，企业投入运营后噪声监测情况见下表。</w:t>
            </w:r>
          </w:p>
          <w:p w14:paraId="177CD479">
            <w:pPr>
              <w:pStyle w:val="36"/>
            </w:pPr>
            <w:r>
              <w:rPr>
                <w:sz w:val="21"/>
                <w:szCs w:val="21"/>
              </w:rPr>
              <w:t>表</w:t>
            </w:r>
            <w:r>
              <w:rPr>
                <w:rFonts w:hint="eastAsia"/>
                <w:sz w:val="21"/>
                <w:szCs w:val="21"/>
              </w:rPr>
              <w:t xml:space="preserve">4-15  </w:t>
            </w:r>
            <w:r>
              <w:rPr>
                <w:sz w:val="21"/>
                <w:szCs w:val="21"/>
              </w:rPr>
              <w:t>项目厂界噪声监测计划表</w:t>
            </w:r>
          </w:p>
          <w:tbl>
            <w:tblPr>
              <w:tblStyle w:val="22"/>
              <w:tblW w:w="82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665"/>
              <w:gridCol w:w="1230"/>
              <w:gridCol w:w="3947"/>
            </w:tblGrid>
            <w:tr w14:paraId="52485A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tcBorders>
                    <w:tl2br w:val="nil"/>
                    <w:tr2bl w:val="nil"/>
                  </w:tcBorders>
                  <w:tcMar>
                    <w:top w:w="15" w:type="dxa"/>
                    <w:left w:w="15" w:type="dxa"/>
                    <w:bottom w:w="15" w:type="dxa"/>
                    <w:right w:w="15" w:type="dxa"/>
                  </w:tcMar>
                  <w:vAlign w:val="center"/>
                </w:tcPr>
                <w:p w14:paraId="00750AC7">
                  <w:pPr>
                    <w:pStyle w:val="31"/>
                    <w:rPr>
                      <w:sz w:val="21"/>
                    </w:rPr>
                  </w:pPr>
                  <w:r>
                    <w:rPr>
                      <w:sz w:val="21"/>
                    </w:rPr>
                    <w:t>监测点位</w:t>
                  </w:r>
                </w:p>
              </w:tc>
              <w:tc>
                <w:tcPr>
                  <w:tcW w:w="1665" w:type="dxa"/>
                  <w:tcBorders>
                    <w:tl2br w:val="nil"/>
                    <w:tr2bl w:val="nil"/>
                  </w:tcBorders>
                  <w:tcMar>
                    <w:top w:w="15" w:type="dxa"/>
                    <w:left w:w="15" w:type="dxa"/>
                    <w:bottom w:w="15" w:type="dxa"/>
                    <w:right w:w="15" w:type="dxa"/>
                  </w:tcMar>
                  <w:vAlign w:val="center"/>
                </w:tcPr>
                <w:p w14:paraId="335EF445">
                  <w:pPr>
                    <w:pStyle w:val="31"/>
                    <w:rPr>
                      <w:sz w:val="21"/>
                    </w:rPr>
                  </w:pPr>
                  <w:r>
                    <w:rPr>
                      <w:sz w:val="21"/>
                    </w:rPr>
                    <w:t>监测指标</w:t>
                  </w:r>
                </w:p>
              </w:tc>
              <w:tc>
                <w:tcPr>
                  <w:tcW w:w="1230" w:type="dxa"/>
                  <w:tcBorders>
                    <w:tl2br w:val="nil"/>
                    <w:tr2bl w:val="nil"/>
                  </w:tcBorders>
                  <w:tcMar>
                    <w:top w:w="15" w:type="dxa"/>
                    <w:left w:w="15" w:type="dxa"/>
                    <w:bottom w:w="15" w:type="dxa"/>
                    <w:right w:w="15" w:type="dxa"/>
                  </w:tcMar>
                  <w:vAlign w:val="center"/>
                </w:tcPr>
                <w:p w14:paraId="250BD83D">
                  <w:pPr>
                    <w:pStyle w:val="31"/>
                    <w:rPr>
                      <w:sz w:val="21"/>
                    </w:rPr>
                  </w:pPr>
                  <w:r>
                    <w:rPr>
                      <w:sz w:val="21"/>
                    </w:rPr>
                    <w:t>监测频次</w:t>
                  </w:r>
                </w:p>
              </w:tc>
              <w:tc>
                <w:tcPr>
                  <w:tcW w:w="3947" w:type="dxa"/>
                  <w:tcBorders>
                    <w:tl2br w:val="nil"/>
                    <w:tr2bl w:val="nil"/>
                  </w:tcBorders>
                  <w:tcMar>
                    <w:top w:w="15" w:type="dxa"/>
                    <w:left w:w="15" w:type="dxa"/>
                    <w:bottom w:w="15" w:type="dxa"/>
                    <w:right w:w="15" w:type="dxa"/>
                  </w:tcMar>
                  <w:vAlign w:val="center"/>
                </w:tcPr>
                <w:p w14:paraId="3B0E9A76">
                  <w:pPr>
                    <w:pStyle w:val="31"/>
                    <w:rPr>
                      <w:sz w:val="21"/>
                    </w:rPr>
                  </w:pPr>
                  <w:r>
                    <w:rPr>
                      <w:sz w:val="21"/>
                    </w:rPr>
                    <w:t>执行排放标准</w:t>
                  </w:r>
                </w:p>
              </w:tc>
            </w:tr>
            <w:tr w14:paraId="6E2FD8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4" w:type="dxa"/>
                  <w:tcBorders>
                    <w:tl2br w:val="nil"/>
                    <w:tr2bl w:val="nil"/>
                  </w:tcBorders>
                  <w:tcMar>
                    <w:top w:w="15" w:type="dxa"/>
                    <w:left w:w="15" w:type="dxa"/>
                    <w:bottom w:w="15" w:type="dxa"/>
                    <w:right w:w="15" w:type="dxa"/>
                  </w:tcMar>
                  <w:vAlign w:val="center"/>
                </w:tcPr>
                <w:p w14:paraId="4D9C2C1A">
                  <w:pPr>
                    <w:pStyle w:val="31"/>
                    <w:rPr>
                      <w:sz w:val="21"/>
                    </w:rPr>
                  </w:pPr>
                  <w:r>
                    <w:rPr>
                      <w:rFonts w:hint="eastAsia"/>
                      <w:sz w:val="21"/>
                    </w:rPr>
                    <w:t>厂</w:t>
                  </w:r>
                  <w:r>
                    <w:rPr>
                      <w:sz w:val="21"/>
                    </w:rPr>
                    <w:t>界外1m处</w:t>
                  </w:r>
                </w:p>
              </w:tc>
              <w:tc>
                <w:tcPr>
                  <w:tcW w:w="1665" w:type="dxa"/>
                  <w:tcBorders>
                    <w:tl2br w:val="nil"/>
                    <w:tr2bl w:val="nil"/>
                  </w:tcBorders>
                  <w:tcMar>
                    <w:top w:w="15" w:type="dxa"/>
                    <w:left w:w="15" w:type="dxa"/>
                    <w:bottom w:w="15" w:type="dxa"/>
                    <w:right w:w="15" w:type="dxa"/>
                  </w:tcMar>
                  <w:vAlign w:val="center"/>
                </w:tcPr>
                <w:p w14:paraId="773B1BEF">
                  <w:pPr>
                    <w:pStyle w:val="31"/>
                    <w:rPr>
                      <w:sz w:val="21"/>
                    </w:rPr>
                  </w:pPr>
                  <w:r>
                    <w:rPr>
                      <w:sz w:val="21"/>
                    </w:rPr>
                    <w:t>等效连续A声级</w:t>
                  </w:r>
                </w:p>
              </w:tc>
              <w:tc>
                <w:tcPr>
                  <w:tcW w:w="1230" w:type="dxa"/>
                  <w:tcBorders>
                    <w:tl2br w:val="nil"/>
                    <w:tr2bl w:val="nil"/>
                  </w:tcBorders>
                  <w:tcMar>
                    <w:top w:w="15" w:type="dxa"/>
                    <w:left w:w="15" w:type="dxa"/>
                    <w:bottom w:w="15" w:type="dxa"/>
                    <w:right w:w="15" w:type="dxa"/>
                  </w:tcMar>
                  <w:vAlign w:val="center"/>
                </w:tcPr>
                <w:p w14:paraId="5DD62159">
                  <w:pPr>
                    <w:pStyle w:val="31"/>
                    <w:rPr>
                      <w:sz w:val="21"/>
                    </w:rPr>
                  </w:pPr>
                  <w:r>
                    <w:rPr>
                      <w:sz w:val="21"/>
                    </w:rPr>
                    <w:t>1次</w:t>
                  </w:r>
                  <w:r>
                    <w:rPr>
                      <w:rFonts w:hint="eastAsia"/>
                      <w:sz w:val="21"/>
                    </w:rPr>
                    <w:t>/季度</w:t>
                  </w:r>
                </w:p>
              </w:tc>
              <w:tc>
                <w:tcPr>
                  <w:tcW w:w="3947" w:type="dxa"/>
                  <w:tcBorders>
                    <w:tl2br w:val="nil"/>
                    <w:tr2bl w:val="nil"/>
                  </w:tcBorders>
                  <w:tcMar>
                    <w:top w:w="15" w:type="dxa"/>
                    <w:left w:w="15" w:type="dxa"/>
                    <w:bottom w:w="15" w:type="dxa"/>
                    <w:right w:w="15" w:type="dxa"/>
                  </w:tcMar>
                  <w:vAlign w:val="center"/>
                </w:tcPr>
                <w:p w14:paraId="7E6C21D0">
                  <w:pPr>
                    <w:pStyle w:val="31"/>
                    <w:rPr>
                      <w:sz w:val="21"/>
                    </w:rPr>
                  </w:pPr>
                  <w:r>
                    <w:rPr>
                      <w:rFonts w:hint="eastAsia"/>
                      <w:sz w:val="21"/>
                    </w:rPr>
                    <w:t>东、西、南、北厂界满足《工业企业厂界环境噪声排放标准》（GB12348-2008）3类、4类标准</w:t>
                  </w:r>
                </w:p>
              </w:tc>
            </w:tr>
          </w:tbl>
          <w:p w14:paraId="6611273E">
            <w:pPr>
              <w:adjustRightInd w:val="0"/>
              <w:snapToGrid w:val="0"/>
              <w:ind w:firstLine="0" w:firstLineChars="0"/>
              <w:rPr>
                <w:b/>
                <w:bCs/>
              </w:rPr>
            </w:pPr>
            <w:r>
              <w:rPr>
                <w:rFonts w:hint="eastAsia"/>
                <w:b/>
                <w:bCs/>
              </w:rPr>
              <w:t>四、固体废物</w:t>
            </w:r>
          </w:p>
          <w:p w14:paraId="15AC5E78">
            <w:pPr>
              <w:ind w:firstLine="480"/>
              <w:rPr>
                <w:snapToGrid w:val="0"/>
                <w:kern w:val="0"/>
              </w:rPr>
            </w:pPr>
            <w:r>
              <w:rPr>
                <w:rFonts w:hint="eastAsia"/>
                <w:snapToGrid w:val="0"/>
                <w:kern w:val="0"/>
              </w:rPr>
              <w:t>本项目产生的固废主要为一般工业固体废弃物、危险废物。</w:t>
            </w:r>
          </w:p>
          <w:p w14:paraId="331BA048">
            <w:pPr>
              <w:ind w:firstLine="480"/>
              <w:rPr>
                <w:snapToGrid w:val="0"/>
                <w:kern w:val="0"/>
              </w:rPr>
            </w:pPr>
            <w:r>
              <w:rPr>
                <w:rFonts w:hint="eastAsia"/>
                <w:snapToGrid w:val="0"/>
                <w:kern w:val="0"/>
              </w:rPr>
              <w:t>1、一般工业固废</w:t>
            </w:r>
            <w:r>
              <w:rPr>
                <w:snapToGrid w:val="0"/>
                <w:kern w:val="0"/>
              </w:rPr>
              <w:t>汇总表见表</w:t>
            </w:r>
            <w:r>
              <w:rPr>
                <w:rFonts w:hint="eastAsia"/>
                <w:snapToGrid w:val="0"/>
                <w:kern w:val="0"/>
              </w:rPr>
              <w:t>4-16</w:t>
            </w:r>
            <w:r>
              <w:rPr>
                <w:snapToGrid w:val="0"/>
                <w:kern w:val="0"/>
              </w:rPr>
              <w:t>。</w:t>
            </w:r>
          </w:p>
          <w:p w14:paraId="6253C712">
            <w:pPr>
              <w:widowControl/>
              <w:spacing w:line="400" w:lineRule="exact"/>
              <w:ind w:firstLine="422"/>
              <w:jc w:val="center"/>
              <w:rPr>
                <w:b/>
                <w:bCs/>
                <w:sz w:val="21"/>
                <w:szCs w:val="21"/>
              </w:rPr>
            </w:pPr>
            <w:r>
              <w:rPr>
                <w:b/>
                <w:bCs/>
                <w:sz w:val="21"/>
                <w:szCs w:val="21"/>
              </w:rPr>
              <w:t>表</w:t>
            </w:r>
            <w:r>
              <w:rPr>
                <w:rFonts w:hint="eastAsia"/>
                <w:b/>
                <w:bCs/>
                <w:sz w:val="21"/>
                <w:szCs w:val="21"/>
              </w:rPr>
              <w:t>4-16</w:t>
            </w:r>
            <w:r>
              <w:rPr>
                <w:b/>
                <w:bCs/>
                <w:sz w:val="21"/>
                <w:szCs w:val="21"/>
              </w:rPr>
              <w:t xml:space="preserve">  项目</w:t>
            </w:r>
            <w:r>
              <w:rPr>
                <w:rFonts w:hint="eastAsia"/>
                <w:b/>
                <w:bCs/>
                <w:sz w:val="21"/>
                <w:szCs w:val="21"/>
              </w:rPr>
              <w:t>一般工业固废</w:t>
            </w:r>
            <w:r>
              <w:rPr>
                <w:b/>
                <w:bCs/>
                <w:sz w:val="21"/>
                <w:szCs w:val="21"/>
              </w:rPr>
              <w:t>汇总表</w:t>
            </w:r>
          </w:p>
          <w:tbl>
            <w:tblPr>
              <w:tblStyle w:val="22"/>
              <w:tblW w:w="83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52"/>
              <w:gridCol w:w="1560"/>
              <w:gridCol w:w="705"/>
              <w:gridCol w:w="1200"/>
              <w:gridCol w:w="1170"/>
              <w:gridCol w:w="2074"/>
            </w:tblGrid>
            <w:tr w14:paraId="541B6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10" w:type="dxa"/>
                  <w:tcBorders>
                    <w:tl2br w:val="nil"/>
                    <w:tr2bl w:val="nil"/>
                  </w:tcBorders>
                  <w:vAlign w:val="center"/>
                </w:tcPr>
                <w:p w14:paraId="02EB4F1C">
                  <w:pPr>
                    <w:pStyle w:val="31"/>
                    <w:rPr>
                      <w:sz w:val="21"/>
                    </w:rPr>
                  </w:pPr>
                  <w:r>
                    <w:rPr>
                      <w:sz w:val="21"/>
                    </w:rPr>
                    <w:t>序号</w:t>
                  </w:r>
                </w:p>
              </w:tc>
              <w:tc>
                <w:tcPr>
                  <w:tcW w:w="1152" w:type="dxa"/>
                  <w:tcBorders>
                    <w:tl2br w:val="nil"/>
                    <w:tr2bl w:val="nil"/>
                  </w:tcBorders>
                  <w:vAlign w:val="center"/>
                </w:tcPr>
                <w:p w14:paraId="726F8536">
                  <w:pPr>
                    <w:pStyle w:val="31"/>
                    <w:rPr>
                      <w:sz w:val="21"/>
                    </w:rPr>
                  </w:pPr>
                  <w:r>
                    <w:rPr>
                      <w:rFonts w:hint="eastAsia"/>
                      <w:sz w:val="21"/>
                    </w:rPr>
                    <w:t>产生环节</w:t>
                  </w:r>
                </w:p>
              </w:tc>
              <w:tc>
                <w:tcPr>
                  <w:tcW w:w="1560" w:type="dxa"/>
                  <w:tcBorders>
                    <w:tl2br w:val="nil"/>
                    <w:tr2bl w:val="nil"/>
                  </w:tcBorders>
                  <w:vAlign w:val="center"/>
                </w:tcPr>
                <w:p w14:paraId="44381B53">
                  <w:pPr>
                    <w:pStyle w:val="31"/>
                    <w:rPr>
                      <w:sz w:val="21"/>
                    </w:rPr>
                  </w:pPr>
                  <w:r>
                    <w:rPr>
                      <w:rFonts w:hint="eastAsia"/>
                      <w:sz w:val="21"/>
                    </w:rPr>
                    <w:t>一般固废</w:t>
                  </w:r>
                  <w:r>
                    <w:rPr>
                      <w:sz w:val="21"/>
                    </w:rPr>
                    <w:t>名称</w:t>
                  </w:r>
                </w:p>
              </w:tc>
              <w:tc>
                <w:tcPr>
                  <w:tcW w:w="705" w:type="dxa"/>
                  <w:tcBorders>
                    <w:tl2br w:val="nil"/>
                    <w:tr2bl w:val="nil"/>
                  </w:tcBorders>
                  <w:vAlign w:val="center"/>
                </w:tcPr>
                <w:p w14:paraId="64CF70D3">
                  <w:pPr>
                    <w:pStyle w:val="31"/>
                    <w:rPr>
                      <w:sz w:val="21"/>
                    </w:rPr>
                  </w:pPr>
                  <w:r>
                    <w:rPr>
                      <w:rFonts w:hint="eastAsia"/>
                      <w:sz w:val="21"/>
                    </w:rPr>
                    <w:t>形态</w:t>
                  </w:r>
                </w:p>
              </w:tc>
              <w:tc>
                <w:tcPr>
                  <w:tcW w:w="1200" w:type="dxa"/>
                  <w:tcBorders>
                    <w:tl2br w:val="nil"/>
                    <w:tr2bl w:val="nil"/>
                  </w:tcBorders>
                  <w:vAlign w:val="center"/>
                </w:tcPr>
                <w:p w14:paraId="76AA5E2D">
                  <w:pPr>
                    <w:pStyle w:val="31"/>
                    <w:rPr>
                      <w:sz w:val="21"/>
                    </w:rPr>
                  </w:pPr>
                  <w:r>
                    <w:rPr>
                      <w:rFonts w:hint="eastAsia"/>
                      <w:sz w:val="21"/>
                    </w:rPr>
                    <w:t>代码</w:t>
                  </w:r>
                </w:p>
              </w:tc>
              <w:tc>
                <w:tcPr>
                  <w:tcW w:w="1170" w:type="dxa"/>
                  <w:tcBorders>
                    <w:tl2br w:val="nil"/>
                    <w:tr2bl w:val="nil"/>
                  </w:tcBorders>
                  <w:vAlign w:val="center"/>
                </w:tcPr>
                <w:p w14:paraId="1959C23F">
                  <w:pPr>
                    <w:pStyle w:val="31"/>
                    <w:rPr>
                      <w:sz w:val="21"/>
                    </w:rPr>
                  </w:pPr>
                  <w:r>
                    <w:rPr>
                      <w:sz w:val="21"/>
                    </w:rPr>
                    <w:t>产生量</w:t>
                  </w:r>
                </w:p>
              </w:tc>
              <w:tc>
                <w:tcPr>
                  <w:tcW w:w="2074" w:type="dxa"/>
                  <w:tcBorders>
                    <w:tl2br w:val="nil"/>
                    <w:tr2bl w:val="nil"/>
                  </w:tcBorders>
                  <w:vAlign w:val="center"/>
                </w:tcPr>
                <w:p w14:paraId="204557D0">
                  <w:pPr>
                    <w:pStyle w:val="31"/>
                    <w:rPr>
                      <w:sz w:val="21"/>
                    </w:rPr>
                  </w:pPr>
                  <w:r>
                    <w:rPr>
                      <w:rFonts w:hint="eastAsia"/>
                      <w:sz w:val="21"/>
                    </w:rPr>
                    <w:t>处置方式和去向</w:t>
                  </w:r>
                </w:p>
              </w:tc>
            </w:tr>
            <w:tr w14:paraId="32BF2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13B973DC">
                  <w:pPr>
                    <w:pStyle w:val="31"/>
                    <w:rPr>
                      <w:sz w:val="21"/>
                    </w:rPr>
                  </w:pPr>
                  <w:r>
                    <w:rPr>
                      <w:rFonts w:hint="eastAsia"/>
                      <w:sz w:val="21"/>
                    </w:rPr>
                    <w:t>1</w:t>
                  </w:r>
                </w:p>
              </w:tc>
              <w:tc>
                <w:tcPr>
                  <w:tcW w:w="1152" w:type="dxa"/>
                  <w:vMerge w:val="restart"/>
                  <w:tcBorders>
                    <w:tl2br w:val="nil"/>
                    <w:tr2bl w:val="nil"/>
                  </w:tcBorders>
                  <w:vAlign w:val="center"/>
                </w:tcPr>
                <w:p w14:paraId="3B97E6D8">
                  <w:pPr>
                    <w:pStyle w:val="31"/>
                    <w:rPr>
                      <w:sz w:val="21"/>
                    </w:rPr>
                  </w:pPr>
                  <w:r>
                    <w:rPr>
                      <w:rFonts w:hint="eastAsia"/>
                      <w:sz w:val="21"/>
                    </w:rPr>
                    <w:t>生产过程</w:t>
                  </w:r>
                </w:p>
              </w:tc>
              <w:tc>
                <w:tcPr>
                  <w:tcW w:w="1560" w:type="dxa"/>
                  <w:tcBorders>
                    <w:tl2br w:val="nil"/>
                    <w:tr2bl w:val="nil"/>
                  </w:tcBorders>
                  <w:vAlign w:val="center"/>
                </w:tcPr>
                <w:p w14:paraId="715C7E99">
                  <w:pPr>
                    <w:widowControl/>
                    <w:spacing w:line="240" w:lineRule="auto"/>
                    <w:ind w:firstLine="0" w:firstLineChars="0"/>
                    <w:jc w:val="center"/>
                    <w:rPr>
                      <w:sz w:val="21"/>
                      <w:szCs w:val="21"/>
                      <w:highlight w:val="none"/>
                    </w:rPr>
                  </w:pPr>
                  <w:r>
                    <w:rPr>
                      <w:rFonts w:hint="eastAsia"/>
                      <w:sz w:val="21"/>
                      <w:szCs w:val="21"/>
                      <w:highlight w:val="none"/>
                    </w:rPr>
                    <w:t>废金属沉淀物</w:t>
                  </w:r>
                </w:p>
              </w:tc>
              <w:tc>
                <w:tcPr>
                  <w:tcW w:w="705" w:type="dxa"/>
                  <w:tcBorders>
                    <w:tl2br w:val="nil"/>
                    <w:tr2bl w:val="nil"/>
                  </w:tcBorders>
                  <w:vAlign w:val="center"/>
                </w:tcPr>
                <w:p w14:paraId="4D3B2498">
                  <w:pPr>
                    <w:pStyle w:val="31"/>
                    <w:rPr>
                      <w:sz w:val="21"/>
                    </w:rPr>
                  </w:pPr>
                  <w:r>
                    <w:rPr>
                      <w:rFonts w:hint="eastAsia"/>
                      <w:sz w:val="21"/>
                    </w:rPr>
                    <w:t>固态</w:t>
                  </w:r>
                </w:p>
              </w:tc>
              <w:tc>
                <w:tcPr>
                  <w:tcW w:w="1200" w:type="dxa"/>
                  <w:tcBorders>
                    <w:tl2br w:val="nil"/>
                    <w:tr2bl w:val="nil"/>
                  </w:tcBorders>
                  <w:vAlign w:val="center"/>
                </w:tcPr>
                <w:p w14:paraId="360F5947">
                  <w:pPr>
                    <w:pStyle w:val="31"/>
                    <w:rPr>
                      <w:sz w:val="21"/>
                    </w:rPr>
                  </w:pPr>
                  <w:r>
                    <w:rPr>
                      <w:rFonts w:hint="eastAsia"/>
                      <w:sz w:val="21"/>
                    </w:rPr>
                    <w:t>900-999-99</w:t>
                  </w:r>
                </w:p>
              </w:tc>
              <w:tc>
                <w:tcPr>
                  <w:tcW w:w="1170" w:type="dxa"/>
                  <w:tcBorders>
                    <w:tl2br w:val="nil"/>
                    <w:tr2bl w:val="nil"/>
                  </w:tcBorders>
                  <w:vAlign w:val="center"/>
                </w:tcPr>
                <w:p w14:paraId="6F0E8AF9">
                  <w:pPr>
                    <w:pStyle w:val="31"/>
                    <w:rPr>
                      <w:sz w:val="21"/>
                    </w:rPr>
                  </w:pPr>
                  <w:r>
                    <w:rPr>
                      <w:rFonts w:hint="eastAsia"/>
                      <w:sz w:val="21"/>
                    </w:rPr>
                    <w:t>1t/a</w:t>
                  </w:r>
                </w:p>
              </w:tc>
              <w:tc>
                <w:tcPr>
                  <w:tcW w:w="2074" w:type="dxa"/>
                  <w:vMerge w:val="restart"/>
                  <w:tcBorders>
                    <w:tl2br w:val="nil"/>
                    <w:tr2bl w:val="nil"/>
                  </w:tcBorders>
                  <w:vAlign w:val="center"/>
                </w:tcPr>
                <w:p w14:paraId="79771309">
                  <w:pPr>
                    <w:spacing w:line="240" w:lineRule="auto"/>
                    <w:ind w:firstLine="0" w:firstLineChars="0"/>
                    <w:jc w:val="center"/>
                    <w:rPr>
                      <w:sz w:val="21"/>
                      <w:szCs w:val="21"/>
                    </w:rPr>
                  </w:pPr>
                  <w:r>
                    <w:rPr>
                      <w:sz w:val="21"/>
                      <w:szCs w:val="21"/>
                    </w:rPr>
                    <w:t>外售钢铁企业作为生产原料</w:t>
                  </w:r>
                </w:p>
              </w:tc>
            </w:tr>
            <w:tr w14:paraId="09594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65059EE9">
                  <w:pPr>
                    <w:pStyle w:val="31"/>
                    <w:rPr>
                      <w:sz w:val="21"/>
                    </w:rPr>
                  </w:pPr>
                  <w:r>
                    <w:rPr>
                      <w:rFonts w:hint="eastAsia"/>
                      <w:sz w:val="21"/>
                    </w:rPr>
                    <w:t>2</w:t>
                  </w:r>
                </w:p>
              </w:tc>
              <w:tc>
                <w:tcPr>
                  <w:tcW w:w="1152" w:type="dxa"/>
                  <w:vMerge w:val="continue"/>
                  <w:tcBorders>
                    <w:tl2br w:val="nil"/>
                    <w:tr2bl w:val="nil"/>
                  </w:tcBorders>
                  <w:vAlign w:val="center"/>
                </w:tcPr>
                <w:p w14:paraId="475C9644">
                  <w:pPr>
                    <w:pStyle w:val="31"/>
                    <w:rPr>
                      <w:sz w:val="21"/>
                    </w:rPr>
                  </w:pPr>
                </w:p>
              </w:tc>
              <w:tc>
                <w:tcPr>
                  <w:tcW w:w="1560" w:type="dxa"/>
                  <w:tcBorders>
                    <w:tl2br w:val="nil"/>
                    <w:tr2bl w:val="nil"/>
                  </w:tcBorders>
                  <w:vAlign w:val="center"/>
                </w:tcPr>
                <w:p w14:paraId="3B6B77CD">
                  <w:pPr>
                    <w:widowControl/>
                    <w:spacing w:line="240" w:lineRule="auto"/>
                    <w:ind w:firstLine="0" w:firstLineChars="0"/>
                    <w:jc w:val="center"/>
                    <w:rPr>
                      <w:sz w:val="21"/>
                      <w:szCs w:val="21"/>
                      <w:highlight w:val="none"/>
                    </w:rPr>
                  </w:pPr>
                  <w:r>
                    <w:rPr>
                      <w:rFonts w:hint="eastAsia"/>
                      <w:sz w:val="21"/>
                      <w:szCs w:val="21"/>
                      <w:highlight w:val="none"/>
                    </w:rPr>
                    <w:t>废铁屑</w:t>
                  </w:r>
                </w:p>
              </w:tc>
              <w:tc>
                <w:tcPr>
                  <w:tcW w:w="705" w:type="dxa"/>
                  <w:tcBorders>
                    <w:tl2br w:val="nil"/>
                    <w:tr2bl w:val="nil"/>
                  </w:tcBorders>
                  <w:vAlign w:val="center"/>
                </w:tcPr>
                <w:p w14:paraId="49DBA2A0">
                  <w:pPr>
                    <w:pStyle w:val="31"/>
                    <w:rPr>
                      <w:sz w:val="21"/>
                    </w:rPr>
                  </w:pPr>
                  <w:r>
                    <w:rPr>
                      <w:rFonts w:hint="eastAsia"/>
                      <w:sz w:val="21"/>
                    </w:rPr>
                    <w:t>固态</w:t>
                  </w:r>
                </w:p>
              </w:tc>
              <w:tc>
                <w:tcPr>
                  <w:tcW w:w="1200" w:type="dxa"/>
                  <w:tcBorders>
                    <w:tl2br w:val="nil"/>
                    <w:tr2bl w:val="nil"/>
                  </w:tcBorders>
                  <w:vAlign w:val="center"/>
                </w:tcPr>
                <w:p w14:paraId="425E71CE">
                  <w:pPr>
                    <w:pStyle w:val="31"/>
                    <w:rPr>
                      <w:sz w:val="21"/>
                    </w:rPr>
                  </w:pPr>
                  <w:r>
                    <w:rPr>
                      <w:rFonts w:hint="eastAsia"/>
                      <w:sz w:val="21"/>
                    </w:rPr>
                    <w:t>900-999-99</w:t>
                  </w:r>
                </w:p>
              </w:tc>
              <w:tc>
                <w:tcPr>
                  <w:tcW w:w="1170" w:type="dxa"/>
                  <w:tcBorders>
                    <w:tl2br w:val="nil"/>
                    <w:tr2bl w:val="nil"/>
                  </w:tcBorders>
                  <w:vAlign w:val="center"/>
                </w:tcPr>
                <w:p w14:paraId="42B9B5DE">
                  <w:pPr>
                    <w:pStyle w:val="31"/>
                    <w:rPr>
                      <w:sz w:val="21"/>
                    </w:rPr>
                  </w:pPr>
                  <w:r>
                    <w:rPr>
                      <w:rFonts w:hint="eastAsia"/>
                      <w:sz w:val="21"/>
                    </w:rPr>
                    <w:t>500t/a</w:t>
                  </w:r>
                </w:p>
              </w:tc>
              <w:tc>
                <w:tcPr>
                  <w:tcW w:w="2074" w:type="dxa"/>
                  <w:vMerge w:val="continue"/>
                  <w:tcBorders>
                    <w:tl2br w:val="nil"/>
                    <w:tr2bl w:val="nil"/>
                  </w:tcBorders>
                  <w:vAlign w:val="center"/>
                </w:tcPr>
                <w:p w14:paraId="0A4ED371">
                  <w:pPr>
                    <w:spacing w:line="240" w:lineRule="auto"/>
                    <w:ind w:firstLine="0" w:firstLineChars="0"/>
                    <w:jc w:val="center"/>
                    <w:rPr>
                      <w:sz w:val="21"/>
                      <w:szCs w:val="21"/>
                    </w:rPr>
                  </w:pPr>
                </w:p>
              </w:tc>
            </w:tr>
            <w:tr w14:paraId="5C31F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01D18D75">
                  <w:pPr>
                    <w:pStyle w:val="31"/>
                    <w:rPr>
                      <w:sz w:val="21"/>
                    </w:rPr>
                  </w:pPr>
                  <w:r>
                    <w:rPr>
                      <w:rFonts w:hint="eastAsia"/>
                      <w:sz w:val="21"/>
                    </w:rPr>
                    <w:t>3</w:t>
                  </w:r>
                </w:p>
              </w:tc>
              <w:tc>
                <w:tcPr>
                  <w:tcW w:w="1152" w:type="dxa"/>
                  <w:vMerge w:val="continue"/>
                  <w:tcBorders>
                    <w:tl2br w:val="nil"/>
                    <w:tr2bl w:val="nil"/>
                  </w:tcBorders>
                  <w:vAlign w:val="center"/>
                </w:tcPr>
                <w:p w14:paraId="024A386E">
                  <w:pPr>
                    <w:pStyle w:val="31"/>
                    <w:rPr>
                      <w:sz w:val="21"/>
                    </w:rPr>
                  </w:pPr>
                </w:p>
              </w:tc>
              <w:tc>
                <w:tcPr>
                  <w:tcW w:w="1560" w:type="dxa"/>
                  <w:tcBorders>
                    <w:tl2br w:val="nil"/>
                    <w:tr2bl w:val="nil"/>
                  </w:tcBorders>
                  <w:vAlign w:val="center"/>
                </w:tcPr>
                <w:p w14:paraId="6A35AA7A">
                  <w:pPr>
                    <w:widowControl/>
                    <w:spacing w:line="240" w:lineRule="auto"/>
                    <w:ind w:firstLine="0" w:firstLineChars="0"/>
                    <w:jc w:val="center"/>
                    <w:rPr>
                      <w:sz w:val="21"/>
                      <w:szCs w:val="21"/>
                      <w:highlight w:val="none"/>
                    </w:rPr>
                  </w:pPr>
                  <w:r>
                    <w:rPr>
                      <w:rFonts w:hint="eastAsia"/>
                      <w:sz w:val="21"/>
                      <w:szCs w:val="21"/>
                      <w:highlight w:val="none"/>
                    </w:rPr>
                    <w:t>不合格工件</w:t>
                  </w:r>
                </w:p>
              </w:tc>
              <w:tc>
                <w:tcPr>
                  <w:tcW w:w="705" w:type="dxa"/>
                  <w:tcBorders>
                    <w:tl2br w:val="nil"/>
                    <w:tr2bl w:val="nil"/>
                  </w:tcBorders>
                  <w:vAlign w:val="center"/>
                </w:tcPr>
                <w:p w14:paraId="71163C33">
                  <w:pPr>
                    <w:pStyle w:val="31"/>
                    <w:rPr>
                      <w:sz w:val="21"/>
                    </w:rPr>
                  </w:pPr>
                  <w:r>
                    <w:rPr>
                      <w:rFonts w:hint="eastAsia"/>
                      <w:sz w:val="21"/>
                    </w:rPr>
                    <w:t>固态</w:t>
                  </w:r>
                </w:p>
              </w:tc>
              <w:tc>
                <w:tcPr>
                  <w:tcW w:w="1200" w:type="dxa"/>
                  <w:tcBorders>
                    <w:tl2br w:val="nil"/>
                    <w:tr2bl w:val="nil"/>
                  </w:tcBorders>
                  <w:vAlign w:val="center"/>
                </w:tcPr>
                <w:p w14:paraId="00C0AE7D">
                  <w:pPr>
                    <w:pStyle w:val="31"/>
                    <w:rPr>
                      <w:sz w:val="21"/>
                    </w:rPr>
                  </w:pPr>
                  <w:r>
                    <w:rPr>
                      <w:rFonts w:hint="eastAsia"/>
                      <w:sz w:val="21"/>
                    </w:rPr>
                    <w:t>900-999-99</w:t>
                  </w:r>
                </w:p>
              </w:tc>
              <w:tc>
                <w:tcPr>
                  <w:tcW w:w="1170" w:type="dxa"/>
                  <w:tcBorders>
                    <w:tl2br w:val="nil"/>
                    <w:tr2bl w:val="nil"/>
                  </w:tcBorders>
                  <w:vAlign w:val="center"/>
                </w:tcPr>
                <w:p w14:paraId="5B0E9145">
                  <w:pPr>
                    <w:pStyle w:val="31"/>
                    <w:rPr>
                      <w:sz w:val="21"/>
                    </w:rPr>
                  </w:pPr>
                  <w:r>
                    <w:rPr>
                      <w:rFonts w:hint="eastAsia"/>
                      <w:sz w:val="21"/>
                    </w:rPr>
                    <w:t>10t/a</w:t>
                  </w:r>
                </w:p>
              </w:tc>
              <w:tc>
                <w:tcPr>
                  <w:tcW w:w="2074" w:type="dxa"/>
                  <w:vMerge w:val="continue"/>
                  <w:tcBorders>
                    <w:tl2br w:val="nil"/>
                    <w:tr2bl w:val="nil"/>
                  </w:tcBorders>
                  <w:vAlign w:val="center"/>
                </w:tcPr>
                <w:p w14:paraId="6409159F">
                  <w:pPr>
                    <w:pStyle w:val="31"/>
                    <w:rPr>
                      <w:sz w:val="21"/>
                    </w:rPr>
                  </w:pPr>
                </w:p>
              </w:tc>
            </w:tr>
            <w:tr w14:paraId="6594D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6E8F8EC5">
                  <w:pPr>
                    <w:pStyle w:val="31"/>
                    <w:rPr>
                      <w:sz w:val="21"/>
                    </w:rPr>
                  </w:pPr>
                  <w:r>
                    <w:rPr>
                      <w:rFonts w:hint="eastAsia"/>
                      <w:sz w:val="21"/>
                    </w:rPr>
                    <w:t>4</w:t>
                  </w:r>
                </w:p>
              </w:tc>
              <w:tc>
                <w:tcPr>
                  <w:tcW w:w="1152" w:type="dxa"/>
                  <w:vMerge w:val="continue"/>
                  <w:tcBorders>
                    <w:tl2br w:val="nil"/>
                    <w:tr2bl w:val="nil"/>
                  </w:tcBorders>
                  <w:vAlign w:val="center"/>
                </w:tcPr>
                <w:p w14:paraId="6633970C">
                  <w:pPr>
                    <w:pStyle w:val="31"/>
                    <w:rPr>
                      <w:sz w:val="21"/>
                    </w:rPr>
                  </w:pPr>
                </w:p>
              </w:tc>
              <w:tc>
                <w:tcPr>
                  <w:tcW w:w="1560" w:type="dxa"/>
                  <w:tcBorders>
                    <w:tl2br w:val="nil"/>
                    <w:tr2bl w:val="nil"/>
                  </w:tcBorders>
                  <w:vAlign w:val="center"/>
                </w:tcPr>
                <w:p w14:paraId="7F0B1F0B">
                  <w:pPr>
                    <w:widowControl/>
                    <w:spacing w:line="240" w:lineRule="auto"/>
                    <w:ind w:firstLine="0" w:firstLineChars="0"/>
                    <w:jc w:val="center"/>
                    <w:rPr>
                      <w:sz w:val="21"/>
                      <w:szCs w:val="21"/>
                      <w:highlight w:val="none"/>
                    </w:rPr>
                  </w:pPr>
                  <w:r>
                    <w:rPr>
                      <w:rFonts w:hint="eastAsia"/>
                      <w:sz w:val="21"/>
                      <w:szCs w:val="21"/>
                      <w:highlight w:val="none"/>
                    </w:rPr>
                    <w:t>下脚料</w:t>
                  </w:r>
                </w:p>
              </w:tc>
              <w:tc>
                <w:tcPr>
                  <w:tcW w:w="705" w:type="dxa"/>
                  <w:tcBorders>
                    <w:tl2br w:val="nil"/>
                    <w:tr2bl w:val="nil"/>
                  </w:tcBorders>
                  <w:vAlign w:val="center"/>
                </w:tcPr>
                <w:p w14:paraId="5D78ABEB">
                  <w:pPr>
                    <w:pStyle w:val="31"/>
                    <w:rPr>
                      <w:sz w:val="21"/>
                    </w:rPr>
                  </w:pPr>
                  <w:r>
                    <w:rPr>
                      <w:rFonts w:hint="eastAsia"/>
                      <w:sz w:val="21"/>
                    </w:rPr>
                    <w:t>固态</w:t>
                  </w:r>
                </w:p>
              </w:tc>
              <w:tc>
                <w:tcPr>
                  <w:tcW w:w="1200" w:type="dxa"/>
                  <w:tcBorders>
                    <w:tl2br w:val="nil"/>
                    <w:tr2bl w:val="nil"/>
                  </w:tcBorders>
                  <w:vAlign w:val="center"/>
                </w:tcPr>
                <w:p w14:paraId="6A15EC66">
                  <w:pPr>
                    <w:pStyle w:val="31"/>
                    <w:rPr>
                      <w:sz w:val="21"/>
                    </w:rPr>
                  </w:pPr>
                  <w:r>
                    <w:rPr>
                      <w:rFonts w:hint="eastAsia"/>
                      <w:sz w:val="21"/>
                    </w:rPr>
                    <w:t>900-999-99</w:t>
                  </w:r>
                </w:p>
              </w:tc>
              <w:tc>
                <w:tcPr>
                  <w:tcW w:w="1170" w:type="dxa"/>
                  <w:tcBorders>
                    <w:tl2br w:val="nil"/>
                    <w:tr2bl w:val="nil"/>
                  </w:tcBorders>
                  <w:vAlign w:val="center"/>
                </w:tcPr>
                <w:p w14:paraId="01BB1151">
                  <w:pPr>
                    <w:pStyle w:val="31"/>
                    <w:rPr>
                      <w:sz w:val="21"/>
                    </w:rPr>
                  </w:pPr>
                  <w:r>
                    <w:rPr>
                      <w:rFonts w:hint="eastAsia"/>
                      <w:sz w:val="21"/>
                    </w:rPr>
                    <w:t>10t/a</w:t>
                  </w:r>
                </w:p>
              </w:tc>
              <w:tc>
                <w:tcPr>
                  <w:tcW w:w="2074" w:type="dxa"/>
                  <w:vMerge w:val="continue"/>
                  <w:tcBorders>
                    <w:tl2br w:val="nil"/>
                    <w:tr2bl w:val="nil"/>
                  </w:tcBorders>
                  <w:vAlign w:val="center"/>
                </w:tcPr>
                <w:p w14:paraId="5A364D63">
                  <w:pPr>
                    <w:pStyle w:val="31"/>
                    <w:rPr>
                      <w:sz w:val="21"/>
                    </w:rPr>
                  </w:pPr>
                </w:p>
              </w:tc>
            </w:tr>
            <w:tr w14:paraId="21C7B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28D48B1E">
                  <w:pPr>
                    <w:pStyle w:val="31"/>
                    <w:rPr>
                      <w:sz w:val="21"/>
                    </w:rPr>
                  </w:pPr>
                  <w:r>
                    <w:rPr>
                      <w:rFonts w:hint="eastAsia"/>
                      <w:sz w:val="21"/>
                    </w:rPr>
                    <w:t>5</w:t>
                  </w:r>
                </w:p>
              </w:tc>
              <w:tc>
                <w:tcPr>
                  <w:tcW w:w="1152" w:type="dxa"/>
                  <w:vMerge w:val="continue"/>
                  <w:tcBorders>
                    <w:tl2br w:val="nil"/>
                    <w:tr2bl w:val="nil"/>
                  </w:tcBorders>
                  <w:vAlign w:val="center"/>
                </w:tcPr>
                <w:p w14:paraId="24DCC045">
                  <w:pPr>
                    <w:pStyle w:val="31"/>
                    <w:rPr>
                      <w:sz w:val="21"/>
                    </w:rPr>
                  </w:pPr>
                </w:p>
              </w:tc>
              <w:tc>
                <w:tcPr>
                  <w:tcW w:w="1560" w:type="dxa"/>
                  <w:tcBorders>
                    <w:tl2br w:val="nil"/>
                    <w:tr2bl w:val="nil"/>
                  </w:tcBorders>
                  <w:vAlign w:val="center"/>
                </w:tcPr>
                <w:p w14:paraId="7DD3F772">
                  <w:pPr>
                    <w:widowControl/>
                    <w:spacing w:line="240" w:lineRule="auto"/>
                    <w:ind w:firstLine="0" w:firstLineChars="0"/>
                    <w:jc w:val="center"/>
                    <w:rPr>
                      <w:sz w:val="21"/>
                      <w:szCs w:val="21"/>
                    </w:rPr>
                  </w:pPr>
                  <w:r>
                    <w:rPr>
                      <w:color w:val="000000"/>
                      <w:kern w:val="0"/>
                      <w:sz w:val="21"/>
                      <w:szCs w:val="21"/>
                    </w:rPr>
                    <w:t>除尘灰</w:t>
                  </w:r>
                </w:p>
              </w:tc>
              <w:tc>
                <w:tcPr>
                  <w:tcW w:w="705" w:type="dxa"/>
                  <w:tcBorders>
                    <w:tl2br w:val="nil"/>
                    <w:tr2bl w:val="nil"/>
                  </w:tcBorders>
                  <w:vAlign w:val="center"/>
                </w:tcPr>
                <w:p w14:paraId="6B2B4966">
                  <w:pPr>
                    <w:pStyle w:val="31"/>
                    <w:rPr>
                      <w:sz w:val="21"/>
                    </w:rPr>
                  </w:pPr>
                  <w:r>
                    <w:rPr>
                      <w:rFonts w:hint="eastAsia"/>
                      <w:sz w:val="21"/>
                    </w:rPr>
                    <w:t>固态</w:t>
                  </w:r>
                </w:p>
              </w:tc>
              <w:tc>
                <w:tcPr>
                  <w:tcW w:w="1200" w:type="dxa"/>
                  <w:tcBorders>
                    <w:tl2br w:val="nil"/>
                    <w:tr2bl w:val="nil"/>
                  </w:tcBorders>
                  <w:vAlign w:val="center"/>
                </w:tcPr>
                <w:p w14:paraId="6D10A5B2">
                  <w:pPr>
                    <w:pStyle w:val="31"/>
                    <w:rPr>
                      <w:sz w:val="21"/>
                    </w:rPr>
                  </w:pPr>
                  <w:r>
                    <w:rPr>
                      <w:rFonts w:hint="eastAsia"/>
                      <w:sz w:val="21"/>
                    </w:rPr>
                    <w:t>900-999-66</w:t>
                  </w:r>
                </w:p>
              </w:tc>
              <w:tc>
                <w:tcPr>
                  <w:tcW w:w="1170" w:type="dxa"/>
                  <w:tcBorders>
                    <w:tl2br w:val="nil"/>
                    <w:tr2bl w:val="nil"/>
                  </w:tcBorders>
                  <w:vAlign w:val="center"/>
                </w:tcPr>
                <w:p w14:paraId="69BBF8F2">
                  <w:pPr>
                    <w:pStyle w:val="31"/>
                    <w:rPr>
                      <w:sz w:val="21"/>
                    </w:rPr>
                  </w:pPr>
                  <w:r>
                    <w:rPr>
                      <w:rFonts w:hint="eastAsia"/>
                      <w:sz w:val="21"/>
                    </w:rPr>
                    <w:t>0.2t/a</w:t>
                  </w:r>
                </w:p>
              </w:tc>
              <w:tc>
                <w:tcPr>
                  <w:tcW w:w="2074" w:type="dxa"/>
                  <w:vMerge w:val="continue"/>
                  <w:tcBorders>
                    <w:tl2br w:val="nil"/>
                    <w:tr2bl w:val="nil"/>
                  </w:tcBorders>
                  <w:vAlign w:val="center"/>
                </w:tcPr>
                <w:p w14:paraId="7938CB4F">
                  <w:pPr>
                    <w:spacing w:line="240" w:lineRule="auto"/>
                    <w:ind w:firstLine="0" w:firstLineChars="0"/>
                    <w:jc w:val="center"/>
                    <w:rPr>
                      <w:sz w:val="21"/>
                      <w:szCs w:val="21"/>
                    </w:rPr>
                  </w:pPr>
                </w:p>
              </w:tc>
            </w:tr>
            <w:tr w14:paraId="442E1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0142444A">
                  <w:pPr>
                    <w:pStyle w:val="31"/>
                    <w:rPr>
                      <w:sz w:val="21"/>
                    </w:rPr>
                  </w:pPr>
                  <w:r>
                    <w:rPr>
                      <w:rFonts w:hint="eastAsia"/>
                      <w:sz w:val="21"/>
                    </w:rPr>
                    <w:t>6</w:t>
                  </w:r>
                </w:p>
              </w:tc>
              <w:tc>
                <w:tcPr>
                  <w:tcW w:w="1152" w:type="dxa"/>
                  <w:vMerge w:val="continue"/>
                  <w:tcBorders>
                    <w:tl2br w:val="nil"/>
                    <w:tr2bl w:val="nil"/>
                  </w:tcBorders>
                  <w:vAlign w:val="center"/>
                </w:tcPr>
                <w:p w14:paraId="3406E571">
                  <w:pPr>
                    <w:pStyle w:val="31"/>
                    <w:rPr>
                      <w:sz w:val="21"/>
                    </w:rPr>
                  </w:pPr>
                </w:p>
              </w:tc>
              <w:tc>
                <w:tcPr>
                  <w:tcW w:w="1560" w:type="dxa"/>
                  <w:tcBorders>
                    <w:tl2br w:val="nil"/>
                    <w:tr2bl w:val="nil"/>
                  </w:tcBorders>
                  <w:vAlign w:val="center"/>
                </w:tcPr>
                <w:p w14:paraId="3C0CE14A">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废布袋</w:t>
                  </w:r>
                </w:p>
              </w:tc>
              <w:tc>
                <w:tcPr>
                  <w:tcW w:w="705" w:type="dxa"/>
                  <w:tcBorders>
                    <w:tl2br w:val="nil"/>
                    <w:tr2bl w:val="nil"/>
                  </w:tcBorders>
                  <w:vAlign w:val="center"/>
                </w:tcPr>
                <w:p w14:paraId="158C5D67">
                  <w:pPr>
                    <w:pStyle w:val="31"/>
                    <w:rPr>
                      <w:sz w:val="21"/>
                      <w:highlight w:val="none"/>
                    </w:rPr>
                  </w:pPr>
                  <w:r>
                    <w:rPr>
                      <w:rFonts w:hint="eastAsia"/>
                      <w:sz w:val="21"/>
                      <w:highlight w:val="none"/>
                    </w:rPr>
                    <w:t>固态</w:t>
                  </w:r>
                </w:p>
              </w:tc>
              <w:tc>
                <w:tcPr>
                  <w:tcW w:w="1200" w:type="dxa"/>
                  <w:tcBorders>
                    <w:tl2br w:val="nil"/>
                    <w:tr2bl w:val="nil"/>
                  </w:tcBorders>
                  <w:vAlign w:val="center"/>
                </w:tcPr>
                <w:p w14:paraId="69E79809">
                  <w:pPr>
                    <w:pStyle w:val="31"/>
                    <w:rPr>
                      <w:sz w:val="21"/>
                      <w:highlight w:val="none"/>
                    </w:rPr>
                  </w:pPr>
                  <w:r>
                    <w:rPr>
                      <w:rFonts w:hint="eastAsia"/>
                      <w:sz w:val="21"/>
                      <w:highlight w:val="none"/>
                    </w:rPr>
                    <w:t>900-999-99</w:t>
                  </w:r>
                </w:p>
              </w:tc>
              <w:tc>
                <w:tcPr>
                  <w:tcW w:w="1170" w:type="dxa"/>
                  <w:tcBorders>
                    <w:tl2br w:val="nil"/>
                    <w:tr2bl w:val="nil"/>
                  </w:tcBorders>
                  <w:vAlign w:val="center"/>
                </w:tcPr>
                <w:p w14:paraId="6E833FF8">
                  <w:pPr>
                    <w:pStyle w:val="31"/>
                    <w:rPr>
                      <w:sz w:val="21"/>
                      <w:highlight w:val="none"/>
                    </w:rPr>
                  </w:pPr>
                  <w:r>
                    <w:rPr>
                      <w:rFonts w:hint="eastAsia"/>
                      <w:sz w:val="21"/>
                      <w:highlight w:val="none"/>
                    </w:rPr>
                    <w:t>0.05t/a</w:t>
                  </w:r>
                </w:p>
              </w:tc>
              <w:tc>
                <w:tcPr>
                  <w:tcW w:w="2074" w:type="dxa"/>
                  <w:vMerge w:val="restart"/>
                  <w:tcBorders>
                    <w:tl2br w:val="nil"/>
                    <w:tr2bl w:val="nil"/>
                  </w:tcBorders>
                  <w:vAlign w:val="center"/>
                </w:tcPr>
                <w:p w14:paraId="5A9F3B3E">
                  <w:pPr>
                    <w:spacing w:line="240" w:lineRule="auto"/>
                    <w:ind w:firstLine="0" w:firstLineChars="0"/>
                    <w:jc w:val="center"/>
                    <w:rPr>
                      <w:color w:val="000000"/>
                      <w:kern w:val="0"/>
                      <w:sz w:val="21"/>
                      <w:szCs w:val="21"/>
                    </w:rPr>
                  </w:pPr>
                  <w:r>
                    <w:rPr>
                      <w:color w:val="000000"/>
                      <w:kern w:val="0"/>
                      <w:sz w:val="21"/>
                      <w:szCs w:val="21"/>
                    </w:rPr>
                    <w:t>外售废旧物资收购站</w:t>
                  </w:r>
                </w:p>
              </w:tc>
            </w:tr>
            <w:tr w14:paraId="6ECBF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549C5F70">
                  <w:pPr>
                    <w:pStyle w:val="31"/>
                    <w:rPr>
                      <w:sz w:val="21"/>
                    </w:rPr>
                  </w:pPr>
                  <w:r>
                    <w:rPr>
                      <w:rFonts w:hint="eastAsia"/>
                      <w:sz w:val="21"/>
                    </w:rPr>
                    <w:t>7</w:t>
                  </w:r>
                </w:p>
              </w:tc>
              <w:tc>
                <w:tcPr>
                  <w:tcW w:w="1152" w:type="dxa"/>
                  <w:vMerge w:val="continue"/>
                  <w:tcBorders>
                    <w:tl2br w:val="nil"/>
                    <w:tr2bl w:val="nil"/>
                  </w:tcBorders>
                  <w:vAlign w:val="center"/>
                </w:tcPr>
                <w:p w14:paraId="5FFE7A6F">
                  <w:pPr>
                    <w:pStyle w:val="31"/>
                    <w:rPr>
                      <w:sz w:val="21"/>
                    </w:rPr>
                  </w:pPr>
                </w:p>
              </w:tc>
              <w:tc>
                <w:tcPr>
                  <w:tcW w:w="1560" w:type="dxa"/>
                  <w:tcBorders>
                    <w:tl2br w:val="nil"/>
                    <w:tr2bl w:val="nil"/>
                  </w:tcBorders>
                  <w:vAlign w:val="center"/>
                </w:tcPr>
                <w:p w14:paraId="44AB516E">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废包装箱</w:t>
                  </w:r>
                </w:p>
              </w:tc>
              <w:tc>
                <w:tcPr>
                  <w:tcW w:w="705" w:type="dxa"/>
                  <w:tcBorders>
                    <w:tl2br w:val="nil"/>
                    <w:tr2bl w:val="nil"/>
                  </w:tcBorders>
                  <w:vAlign w:val="center"/>
                </w:tcPr>
                <w:p w14:paraId="59ED0C3F">
                  <w:pPr>
                    <w:pStyle w:val="31"/>
                    <w:rPr>
                      <w:sz w:val="21"/>
                      <w:highlight w:val="none"/>
                    </w:rPr>
                  </w:pPr>
                  <w:r>
                    <w:rPr>
                      <w:rFonts w:hint="eastAsia"/>
                      <w:sz w:val="21"/>
                      <w:highlight w:val="none"/>
                    </w:rPr>
                    <w:t>固态</w:t>
                  </w:r>
                </w:p>
              </w:tc>
              <w:tc>
                <w:tcPr>
                  <w:tcW w:w="1200" w:type="dxa"/>
                  <w:tcBorders>
                    <w:tl2br w:val="nil"/>
                    <w:tr2bl w:val="nil"/>
                  </w:tcBorders>
                  <w:vAlign w:val="center"/>
                </w:tcPr>
                <w:p w14:paraId="47AD6EF4">
                  <w:pPr>
                    <w:pStyle w:val="31"/>
                    <w:rPr>
                      <w:sz w:val="21"/>
                      <w:highlight w:val="none"/>
                    </w:rPr>
                  </w:pPr>
                  <w:r>
                    <w:rPr>
                      <w:rFonts w:hint="eastAsia"/>
                      <w:sz w:val="21"/>
                      <w:highlight w:val="none"/>
                    </w:rPr>
                    <w:t>900-999-99</w:t>
                  </w:r>
                </w:p>
              </w:tc>
              <w:tc>
                <w:tcPr>
                  <w:tcW w:w="1170" w:type="dxa"/>
                  <w:tcBorders>
                    <w:tl2br w:val="nil"/>
                    <w:tr2bl w:val="nil"/>
                  </w:tcBorders>
                  <w:vAlign w:val="center"/>
                </w:tcPr>
                <w:p w14:paraId="7B0276B7">
                  <w:pPr>
                    <w:pStyle w:val="31"/>
                    <w:rPr>
                      <w:sz w:val="21"/>
                      <w:highlight w:val="none"/>
                    </w:rPr>
                  </w:pPr>
                  <w:r>
                    <w:rPr>
                      <w:rFonts w:hint="eastAsia"/>
                      <w:sz w:val="21"/>
                      <w:highlight w:val="none"/>
                    </w:rPr>
                    <w:t>2t/a</w:t>
                  </w:r>
                </w:p>
              </w:tc>
              <w:tc>
                <w:tcPr>
                  <w:tcW w:w="2074" w:type="dxa"/>
                  <w:vMerge w:val="continue"/>
                  <w:tcBorders>
                    <w:tl2br w:val="nil"/>
                    <w:tr2bl w:val="nil"/>
                  </w:tcBorders>
                  <w:vAlign w:val="center"/>
                </w:tcPr>
                <w:p w14:paraId="6DFCF1BD">
                  <w:pPr>
                    <w:spacing w:line="240" w:lineRule="auto"/>
                    <w:ind w:firstLine="0" w:firstLineChars="0"/>
                    <w:jc w:val="center"/>
                    <w:rPr>
                      <w:color w:val="000000"/>
                      <w:kern w:val="0"/>
                      <w:sz w:val="21"/>
                      <w:szCs w:val="21"/>
                    </w:rPr>
                  </w:pPr>
                </w:p>
              </w:tc>
            </w:tr>
            <w:tr w14:paraId="78C73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4E78D36E">
                  <w:pPr>
                    <w:pStyle w:val="31"/>
                    <w:rPr>
                      <w:rFonts w:hint="eastAsia" w:eastAsia="宋体"/>
                      <w:sz w:val="21"/>
                      <w:lang w:val="en-US" w:eastAsia="zh-CN"/>
                    </w:rPr>
                  </w:pPr>
                  <w:r>
                    <w:rPr>
                      <w:rFonts w:hint="eastAsia"/>
                      <w:sz w:val="21"/>
                      <w:lang w:val="en-US" w:eastAsia="zh-CN"/>
                    </w:rPr>
                    <w:t>8</w:t>
                  </w:r>
                </w:p>
              </w:tc>
              <w:tc>
                <w:tcPr>
                  <w:tcW w:w="1152" w:type="dxa"/>
                  <w:tcBorders>
                    <w:tl2br w:val="nil"/>
                    <w:tr2bl w:val="nil"/>
                  </w:tcBorders>
                  <w:vAlign w:val="center"/>
                </w:tcPr>
                <w:p w14:paraId="27973E27">
                  <w:pPr>
                    <w:pStyle w:val="31"/>
                    <w:rPr>
                      <w:sz w:val="21"/>
                    </w:rPr>
                  </w:pPr>
                  <w:r>
                    <w:rPr>
                      <w:rFonts w:hint="eastAsia"/>
                      <w:sz w:val="21"/>
                    </w:rPr>
                    <w:t>蓄热式电锅炉</w:t>
                  </w:r>
                </w:p>
              </w:tc>
              <w:tc>
                <w:tcPr>
                  <w:tcW w:w="1560" w:type="dxa"/>
                  <w:tcBorders>
                    <w:tl2br w:val="nil"/>
                    <w:tr2bl w:val="nil"/>
                  </w:tcBorders>
                  <w:vAlign w:val="center"/>
                </w:tcPr>
                <w:p w14:paraId="4B602498">
                  <w:pPr>
                    <w:widowControl/>
                    <w:spacing w:line="240" w:lineRule="auto"/>
                    <w:ind w:firstLine="0" w:firstLineChars="0"/>
                    <w:jc w:val="center"/>
                    <w:rPr>
                      <w:color w:val="000000"/>
                      <w:kern w:val="0"/>
                      <w:sz w:val="21"/>
                      <w:szCs w:val="21"/>
                    </w:rPr>
                  </w:pPr>
                  <w:r>
                    <w:rPr>
                      <w:rFonts w:hint="eastAsia"/>
                      <w:color w:val="000000"/>
                      <w:kern w:val="0"/>
                      <w:sz w:val="21"/>
                      <w:szCs w:val="21"/>
                    </w:rPr>
                    <w:t>废树脂</w:t>
                  </w:r>
                </w:p>
              </w:tc>
              <w:tc>
                <w:tcPr>
                  <w:tcW w:w="705" w:type="dxa"/>
                  <w:tcBorders>
                    <w:tl2br w:val="nil"/>
                    <w:tr2bl w:val="nil"/>
                  </w:tcBorders>
                  <w:vAlign w:val="center"/>
                </w:tcPr>
                <w:p w14:paraId="2AAAE3D5">
                  <w:pPr>
                    <w:pStyle w:val="31"/>
                    <w:rPr>
                      <w:sz w:val="21"/>
                    </w:rPr>
                  </w:pPr>
                  <w:r>
                    <w:rPr>
                      <w:rFonts w:hint="eastAsia"/>
                      <w:sz w:val="21"/>
                    </w:rPr>
                    <w:t>固态</w:t>
                  </w:r>
                </w:p>
              </w:tc>
              <w:tc>
                <w:tcPr>
                  <w:tcW w:w="1200" w:type="dxa"/>
                  <w:tcBorders>
                    <w:tl2br w:val="nil"/>
                    <w:tr2bl w:val="nil"/>
                  </w:tcBorders>
                  <w:vAlign w:val="center"/>
                </w:tcPr>
                <w:p w14:paraId="53DFD01E">
                  <w:pPr>
                    <w:pStyle w:val="31"/>
                    <w:rPr>
                      <w:sz w:val="21"/>
                    </w:rPr>
                  </w:pPr>
                  <w:r>
                    <w:rPr>
                      <w:rFonts w:hint="eastAsia"/>
                      <w:sz w:val="21"/>
                    </w:rPr>
                    <w:t>900-999-99</w:t>
                  </w:r>
                </w:p>
              </w:tc>
              <w:tc>
                <w:tcPr>
                  <w:tcW w:w="1170" w:type="dxa"/>
                  <w:tcBorders>
                    <w:tl2br w:val="nil"/>
                    <w:tr2bl w:val="nil"/>
                  </w:tcBorders>
                  <w:vAlign w:val="center"/>
                </w:tcPr>
                <w:p w14:paraId="48C404F2">
                  <w:pPr>
                    <w:pStyle w:val="31"/>
                    <w:rPr>
                      <w:sz w:val="21"/>
                    </w:rPr>
                  </w:pPr>
                  <w:r>
                    <w:rPr>
                      <w:rFonts w:hint="eastAsia"/>
                      <w:sz w:val="21"/>
                    </w:rPr>
                    <w:t>0.2t/a</w:t>
                  </w:r>
                </w:p>
              </w:tc>
              <w:tc>
                <w:tcPr>
                  <w:tcW w:w="2074" w:type="dxa"/>
                  <w:tcBorders>
                    <w:tl2br w:val="nil"/>
                    <w:tr2bl w:val="nil"/>
                  </w:tcBorders>
                  <w:vAlign w:val="center"/>
                </w:tcPr>
                <w:p w14:paraId="6D550231">
                  <w:pPr>
                    <w:spacing w:line="240" w:lineRule="auto"/>
                    <w:ind w:firstLine="0" w:firstLineChars="0"/>
                    <w:jc w:val="center"/>
                    <w:rPr>
                      <w:color w:val="000000"/>
                      <w:kern w:val="0"/>
                      <w:sz w:val="21"/>
                      <w:szCs w:val="21"/>
                    </w:rPr>
                  </w:pPr>
                  <w:r>
                    <w:rPr>
                      <w:rFonts w:hint="eastAsia"/>
                      <w:sz w:val="21"/>
                      <w:szCs w:val="21"/>
                    </w:rPr>
                    <w:t>一般固废，外售回收单位</w:t>
                  </w:r>
                </w:p>
              </w:tc>
            </w:tr>
            <w:tr w14:paraId="25622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l2br w:val="nil"/>
                    <w:tr2bl w:val="nil"/>
                  </w:tcBorders>
                  <w:vAlign w:val="center"/>
                </w:tcPr>
                <w:p w14:paraId="317891BB">
                  <w:pPr>
                    <w:pStyle w:val="31"/>
                    <w:rPr>
                      <w:rFonts w:hint="eastAsia" w:eastAsia="宋体"/>
                      <w:sz w:val="21"/>
                      <w:lang w:eastAsia="zh-CN"/>
                    </w:rPr>
                  </w:pPr>
                  <w:r>
                    <w:rPr>
                      <w:rFonts w:hint="eastAsia"/>
                      <w:sz w:val="21"/>
                      <w:lang w:val="en-US" w:eastAsia="zh-CN"/>
                    </w:rPr>
                    <w:t>9</w:t>
                  </w:r>
                </w:p>
              </w:tc>
              <w:tc>
                <w:tcPr>
                  <w:tcW w:w="1152" w:type="dxa"/>
                  <w:tcBorders>
                    <w:tl2br w:val="nil"/>
                    <w:tr2bl w:val="nil"/>
                  </w:tcBorders>
                  <w:vAlign w:val="center"/>
                </w:tcPr>
                <w:p w14:paraId="25993E6B">
                  <w:pPr>
                    <w:pStyle w:val="31"/>
                    <w:rPr>
                      <w:sz w:val="21"/>
                    </w:rPr>
                  </w:pPr>
                  <w:r>
                    <w:rPr>
                      <w:rFonts w:hint="eastAsia"/>
                      <w:sz w:val="21"/>
                    </w:rPr>
                    <w:t>职工生活</w:t>
                  </w:r>
                </w:p>
              </w:tc>
              <w:tc>
                <w:tcPr>
                  <w:tcW w:w="1560" w:type="dxa"/>
                  <w:tcBorders>
                    <w:tl2br w:val="nil"/>
                    <w:tr2bl w:val="nil"/>
                  </w:tcBorders>
                  <w:vAlign w:val="center"/>
                </w:tcPr>
                <w:p w14:paraId="70E923F1">
                  <w:pPr>
                    <w:widowControl/>
                    <w:spacing w:line="240" w:lineRule="auto"/>
                    <w:ind w:firstLine="0" w:firstLineChars="0"/>
                    <w:jc w:val="center"/>
                    <w:rPr>
                      <w:sz w:val="21"/>
                      <w:szCs w:val="21"/>
                    </w:rPr>
                  </w:pPr>
                  <w:r>
                    <w:rPr>
                      <w:color w:val="000000"/>
                      <w:kern w:val="0"/>
                      <w:sz w:val="21"/>
                      <w:szCs w:val="21"/>
                    </w:rPr>
                    <w:t>生活垃圾</w:t>
                  </w:r>
                </w:p>
              </w:tc>
              <w:tc>
                <w:tcPr>
                  <w:tcW w:w="705" w:type="dxa"/>
                  <w:tcBorders>
                    <w:tl2br w:val="nil"/>
                    <w:tr2bl w:val="nil"/>
                  </w:tcBorders>
                  <w:vAlign w:val="center"/>
                </w:tcPr>
                <w:p w14:paraId="61F1CB1D">
                  <w:pPr>
                    <w:pStyle w:val="31"/>
                    <w:rPr>
                      <w:sz w:val="21"/>
                    </w:rPr>
                  </w:pPr>
                  <w:r>
                    <w:rPr>
                      <w:rFonts w:hint="eastAsia"/>
                      <w:sz w:val="21"/>
                    </w:rPr>
                    <w:t>固态</w:t>
                  </w:r>
                </w:p>
              </w:tc>
              <w:tc>
                <w:tcPr>
                  <w:tcW w:w="1200" w:type="dxa"/>
                  <w:tcBorders>
                    <w:tl2br w:val="nil"/>
                    <w:tr2bl w:val="nil"/>
                  </w:tcBorders>
                  <w:vAlign w:val="center"/>
                </w:tcPr>
                <w:p w14:paraId="0E17F3A0">
                  <w:pPr>
                    <w:pStyle w:val="31"/>
                    <w:rPr>
                      <w:sz w:val="21"/>
                    </w:rPr>
                  </w:pPr>
                  <w:r>
                    <w:rPr>
                      <w:rFonts w:hint="eastAsia"/>
                      <w:sz w:val="21"/>
                    </w:rPr>
                    <w:t>900-999-99</w:t>
                  </w:r>
                </w:p>
              </w:tc>
              <w:tc>
                <w:tcPr>
                  <w:tcW w:w="1170" w:type="dxa"/>
                  <w:tcBorders>
                    <w:tl2br w:val="nil"/>
                    <w:tr2bl w:val="nil"/>
                  </w:tcBorders>
                  <w:vAlign w:val="center"/>
                </w:tcPr>
                <w:p w14:paraId="4E7C2061">
                  <w:pPr>
                    <w:pStyle w:val="31"/>
                    <w:rPr>
                      <w:sz w:val="21"/>
                    </w:rPr>
                  </w:pPr>
                  <w:r>
                    <w:rPr>
                      <w:rFonts w:hint="eastAsia"/>
                      <w:sz w:val="21"/>
                    </w:rPr>
                    <w:t>10</w:t>
                  </w:r>
                  <w:r>
                    <w:rPr>
                      <w:sz w:val="21"/>
                    </w:rPr>
                    <w:t>t/a</w:t>
                  </w:r>
                </w:p>
              </w:tc>
              <w:tc>
                <w:tcPr>
                  <w:tcW w:w="2074" w:type="dxa"/>
                  <w:tcBorders>
                    <w:tl2br w:val="nil"/>
                    <w:tr2bl w:val="nil"/>
                  </w:tcBorders>
                  <w:vAlign w:val="center"/>
                </w:tcPr>
                <w:p w14:paraId="461CC7BA">
                  <w:pPr>
                    <w:spacing w:line="240" w:lineRule="auto"/>
                    <w:ind w:firstLine="0" w:firstLineChars="0"/>
                    <w:jc w:val="center"/>
                    <w:rPr>
                      <w:sz w:val="21"/>
                      <w:szCs w:val="21"/>
                    </w:rPr>
                  </w:pPr>
                  <w:r>
                    <w:rPr>
                      <w:color w:val="000000"/>
                      <w:kern w:val="0"/>
                      <w:sz w:val="21"/>
                      <w:szCs w:val="21"/>
                    </w:rPr>
                    <w:t>送当地环卫部门指定的地点处置</w:t>
                  </w:r>
                </w:p>
              </w:tc>
            </w:tr>
          </w:tbl>
          <w:p w14:paraId="09AB582D">
            <w:pPr>
              <w:ind w:firstLine="480"/>
              <w:rPr>
                <w:color w:val="000000" w:themeColor="text1"/>
                <w14:textFill>
                  <w14:solidFill>
                    <w14:schemeClr w14:val="tx1"/>
                  </w14:solidFill>
                </w14:textFill>
              </w:rPr>
            </w:pPr>
            <w:r>
              <w:rPr>
                <w:rFonts w:hint="eastAsia"/>
              </w:rPr>
              <w:t>2、险废物</w:t>
            </w:r>
            <w:r>
              <w:t>汇总表见表</w:t>
            </w:r>
            <w:r>
              <w:rPr>
                <w:rFonts w:hint="eastAsia"/>
              </w:rPr>
              <w:t>4-17</w:t>
            </w:r>
          </w:p>
          <w:p w14:paraId="2470A780">
            <w:pPr>
              <w:pStyle w:val="36"/>
              <w:rPr>
                <w:bCs/>
                <w:sz w:val="21"/>
                <w:szCs w:val="21"/>
              </w:rPr>
            </w:pPr>
            <w:r>
              <w:rPr>
                <w:rFonts w:hint="eastAsia"/>
                <w:sz w:val="21"/>
                <w:szCs w:val="21"/>
              </w:rPr>
              <w:t>表4-17   本项目</w:t>
            </w:r>
            <w:r>
              <w:rPr>
                <w:bCs/>
                <w:sz w:val="21"/>
                <w:szCs w:val="21"/>
              </w:rPr>
              <w:t>危险废物汇总表</w:t>
            </w:r>
          </w:p>
          <w:tbl>
            <w:tblPr>
              <w:tblStyle w:val="22"/>
              <w:tblW w:w="8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45"/>
              <w:gridCol w:w="885"/>
              <w:gridCol w:w="690"/>
              <w:gridCol w:w="900"/>
              <w:gridCol w:w="390"/>
              <w:gridCol w:w="645"/>
              <w:gridCol w:w="660"/>
              <w:gridCol w:w="2542"/>
            </w:tblGrid>
            <w:tr w14:paraId="18B4D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0F1C078D">
                  <w:pPr>
                    <w:pStyle w:val="31"/>
                    <w:rPr>
                      <w:sz w:val="21"/>
                    </w:rPr>
                  </w:pPr>
                  <w:r>
                    <w:rPr>
                      <w:sz w:val="21"/>
                    </w:rPr>
                    <w:t>危险废物名称</w:t>
                  </w:r>
                </w:p>
              </w:tc>
              <w:tc>
                <w:tcPr>
                  <w:tcW w:w="645" w:type="dxa"/>
                  <w:tcBorders>
                    <w:tl2br w:val="nil"/>
                    <w:tr2bl w:val="nil"/>
                  </w:tcBorders>
                  <w:vAlign w:val="center"/>
                </w:tcPr>
                <w:p w14:paraId="1F1A0C5D">
                  <w:pPr>
                    <w:pStyle w:val="31"/>
                    <w:rPr>
                      <w:sz w:val="21"/>
                    </w:rPr>
                  </w:pPr>
                  <w:r>
                    <w:rPr>
                      <w:sz w:val="21"/>
                    </w:rPr>
                    <w:t>危险废物类别</w:t>
                  </w:r>
                </w:p>
              </w:tc>
              <w:tc>
                <w:tcPr>
                  <w:tcW w:w="885" w:type="dxa"/>
                  <w:tcBorders>
                    <w:tl2br w:val="nil"/>
                    <w:tr2bl w:val="nil"/>
                  </w:tcBorders>
                  <w:vAlign w:val="center"/>
                </w:tcPr>
                <w:p w14:paraId="5593729C">
                  <w:pPr>
                    <w:pStyle w:val="31"/>
                    <w:rPr>
                      <w:sz w:val="21"/>
                    </w:rPr>
                  </w:pPr>
                  <w:r>
                    <w:rPr>
                      <w:sz w:val="21"/>
                    </w:rPr>
                    <w:t>危险废物代码</w:t>
                  </w:r>
                </w:p>
              </w:tc>
              <w:tc>
                <w:tcPr>
                  <w:tcW w:w="690" w:type="dxa"/>
                  <w:tcBorders>
                    <w:tl2br w:val="nil"/>
                    <w:tr2bl w:val="nil"/>
                  </w:tcBorders>
                  <w:vAlign w:val="center"/>
                </w:tcPr>
                <w:p w14:paraId="16ADC971">
                  <w:pPr>
                    <w:pStyle w:val="31"/>
                    <w:rPr>
                      <w:sz w:val="21"/>
                    </w:rPr>
                  </w:pPr>
                  <w:r>
                    <w:rPr>
                      <w:sz w:val="21"/>
                    </w:rPr>
                    <w:t>产生量</w:t>
                  </w:r>
                </w:p>
              </w:tc>
              <w:tc>
                <w:tcPr>
                  <w:tcW w:w="900" w:type="dxa"/>
                  <w:tcBorders>
                    <w:tl2br w:val="nil"/>
                    <w:tr2bl w:val="nil"/>
                  </w:tcBorders>
                  <w:vAlign w:val="center"/>
                </w:tcPr>
                <w:p w14:paraId="6C4BFB51">
                  <w:pPr>
                    <w:pStyle w:val="31"/>
                    <w:rPr>
                      <w:sz w:val="21"/>
                    </w:rPr>
                  </w:pPr>
                  <w:r>
                    <w:rPr>
                      <w:sz w:val="21"/>
                    </w:rPr>
                    <w:t>产生工序及装置</w:t>
                  </w:r>
                </w:p>
              </w:tc>
              <w:tc>
                <w:tcPr>
                  <w:tcW w:w="390" w:type="dxa"/>
                  <w:tcBorders>
                    <w:tl2br w:val="nil"/>
                    <w:tr2bl w:val="nil"/>
                  </w:tcBorders>
                  <w:vAlign w:val="center"/>
                </w:tcPr>
                <w:p w14:paraId="587D2FA2">
                  <w:pPr>
                    <w:pStyle w:val="31"/>
                    <w:rPr>
                      <w:sz w:val="21"/>
                    </w:rPr>
                  </w:pPr>
                  <w:r>
                    <w:rPr>
                      <w:sz w:val="21"/>
                    </w:rPr>
                    <w:t>形态</w:t>
                  </w:r>
                </w:p>
              </w:tc>
              <w:tc>
                <w:tcPr>
                  <w:tcW w:w="645" w:type="dxa"/>
                  <w:tcBorders>
                    <w:tl2br w:val="nil"/>
                    <w:tr2bl w:val="nil"/>
                  </w:tcBorders>
                  <w:vAlign w:val="center"/>
                </w:tcPr>
                <w:p w14:paraId="2499D878">
                  <w:pPr>
                    <w:pStyle w:val="31"/>
                    <w:rPr>
                      <w:sz w:val="21"/>
                    </w:rPr>
                  </w:pPr>
                  <w:r>
                    <w:rPr>
                      <w:sz w:val="21"/>
                    </w:rPr>
                    <w:t>有害成分</w:t>
                  </w:r>
                </w:p>
              </w:tc>
              <w:tc>
                <w:tcPr>
                  <w:tcW w:w="660" w:type="dxa"/>
                  <w:tcBorders>
                    <w:tl2br w:val="nil"/>
                    <w:tr2bl w:val="nil"/>
                  </w:tcBorders>
                  <w:vAlign w:val="center"/>
                </w:tcPr>
                <w:p w14:paraId="79BBBCE4">
                  <w:pPr>
                    <w:pStyle w:val="31"/>
                    <w:rPr>
                      <w:sz w:val="21"/>
                    </w:rPr>
                  </w:pPr>
                  <w:r>
                    <w:rPr>
                      <w:rFonts w:hint="eastAsia"/>
                      <w:sz w:val="21"/>
                    </w:rPr>
                    <w:t>危险</w:t>
                  </w:r>
                </w:p>
                <w:p w14:paraId="44F8E0EF">
                  <w:pPr>
                    <w:pStyle w:val="31"/>
                    <w:rPr>
                      <w:sz w:val="21"/>
                    </w:rPr>
                  </w:pPr>
                  <w:r>
                    <w:rPr>
                      <w:rFonts w:hint="eastAsia"/>
                      <w:sz w:val="21"/>
                    </w:rPr>
                    <w:t>特性</w:t>
                  </w:r>
                </w:p>
              </w:tc>
              <w:tc>
                <w:tcPr>
                  <w:tcW w:w="2542" w:type="dxa"/>
                  <w:tcBorders>
                    <w:tl2br w:val="nil"/>
                    <w:tr2bl w:val="nil"/>
                  </w:tcBorders>
                  <w:vAlign w:val="center"/>
                </w:tcPr>
                <w:p w14:paraId="5AD56367">
                  <w:pPr>
                    <w:pStyle w:val="31"/>
                    <w:rPr>
                      <w:sz w:val="21"/>
                    </w:rPr>
                  </w:pPr>
                  <w:r>
                    <w:rPr>
                      <w:sz w:val="21"/>
                    </w:rPr>
                    <w:t>污染防治措施</w:t>
                  </w:r>
                </w:p>
              </w:tc>
            </w:tr>
            <w:tr w14:paraId="4EF32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5AF3B583">
                  <w:pPr>
                    <w:pStyle w:val="31"/>
                    <w:rPr>
                      <w:sz w:val="21"/>
                    </w:rPr>
                  </w:pPr>
                  <w:r>
                    <w:rPr>
                      <w:sz w:val="21"/>
                    </w:rPr>
                    <w:t>废</w:t>
                  </w:r>
                  <w:r>
                    <w:rPr>
                      <w:rFonts w:hint="eastAsia"/>
                      <w:sz w:val="21"/>
                    </w:rPr>
                    <w:t>润滑油</w:t>
                  </w:r>
                </w:p>
              </w:tc>
              <w:tc>
                <w:tcPr>
                  <w:tcW w:w="645" w:type="dxa"/>
                  <w:tcBorders>
                    <w:tl2br w:val="nil"/>
                    <w:tr2bl w:val="nil"/>
                  </w:tcBorders>
                  <w:vAlign w:val="center"/>
                </w:tcPr>
                <w:p w14:paraId="2CA034CF">
                  <w:pPr>
                    <w:pStyle w:val="31"/>
                    <w:rPr>
                      <w:sz w:val="21"/>
                    </w:rPr>
                  </w:pPr>
                  <w:r>
                    <w:rPr>
                      <w:sz w:val="21"/>
                    </w:rPr>
                    <w:t>HW08</w:t>
                  </w:r>
                </w:p>
              </w:tc>
              <w:tc>
                <w:tcPr>
                  <w:tcW w:w="885" w:type="dxa"/>
                  <w:tcBorders>
                    <w:tl2br w:val="nil"/>
                    <w:tr2bl w:val="nil"/>
                  </w:tcBorders>
                  <w:vAlign w:val="center"/>
                </w:tcPr>
                <w:p w14:paraId="57716616">
                  <w:pPr>
                    <w:pStyle w:val="31"/>
                    <w:rPr>
                      <w:sz w:val="21"/>
                      <w:highlight w:val="none"/>
                    </w:rPr>
                  </w:pPr>
                  <w:r>
                    <w:rPr>
                      <w:rFonts w:hint="eastAsia"/>
                      <w:sz w:val="21"/>
                      <w:highlight w:val="none"/>
                    </w:rPr>
                    <w:t>900-214-08</w:t>
                  </w:r>
                </w:p>
              </w:tc>
              <w:tc>
                <w:tcPr>
                  <w:tcW w:w="690" w:type="dxa"/>
                  <w:tcBorders>
                    <w:tl2br w:val="nil"/>
                    <w:tr2bl w:val="nil"/>
                  </w:tcBorders>
                  <w:vAlign w:val="center"/>
                </w:tcPr>
                <w:p w14:paraId="7339C8B4">
                  <w:pPr>
                    <w:pStyle w:val="31"/>
                    <w:rPr>
                      <w:sz w:val="21"/>
                      <w:highlight w:val="none"/>
                    </w:rPr>
                  </w:pPr>
                  <w:r>
                    <w:rPr>
                      <w:rFonts w:hint="eastAsia"/>
                      <w:sz w:val="21"/>
                      <w:highlight w:val="none"/>
                    </w:rPr>
                    <w:t>0.5</w:t>
                  </w:r>
                  <w:r>
                    <w:rPr>
                      <w:sz w:val="21"/>
                      <w:highlight w:val="none"/>
                    </w:rPr>
                    <w:t>t/a</w:t>
                  </w:r>
                </w:p>
              </w:tc>
              <w:tc>
                <w:tcPr>
                  <w:tcW w:w="900" w:type="dxa"/>
                  <w:tcBorders>
                    <w:tl2br w:val="nil"/>
                    <w:tr2bl w:val="nil"/>
                  </w:tcBorders>
                  <w:vAlign w:val="center"/>
                </w:tcPr>
                <w:p w14:paraId="24D9B197">
                  <w:pPr>
                    <w:pStyle w:val="31"/>
                    <w:rPr>
                      <w:sz w:val="21"/>
                      <w:highlight w:val="none"/>
                    </w:rPr>
                  </w:pPr>
                  <w:r>
                    <w:rPr>
                      <w:sz w:val="21"/>
                      <w:highlight w:val="none"/>
                    </w:rPr>
                    <w:t>设备维修</w:t>
                  </w:r>
                </w:p>
              </w:tc>
              <w:tc>
                <w:tcPr>
                  <w:tcW w:w="390" w:type="dxa"/>
                  <w:tcBorders>
                    <w:tl2br w:val="nil"/>
                    <w:tr2bl w:val="nil"/>
                  </w:tcBorders>
                  <w:vAlign w:val="center"/>
                </w:tcPr>
                <w:p w14:paraId="051F4702">
                  <w:pPr>
                    <w:pStyle w:val="31"/>
                    <w:rPr>
                      <w:sz w:val="21"/>
                      <w:highlight w:val="none"/>
                    </w:rPr>
                  </w:pPr>
                  <w:r>
                    <w:rPr>
                      <w:sz w:val="21"/>
                      <w:highlight w:val="none"/>
                    </w:rPr>
                    <w:t>液态</w:t>
                  </w:r>
                </w:p>
              </w:tc>
              <w:tc>
                <w:tcPr>
                  <w:tcW w:w="645" w:type="dxa"/>
                  <w:vMerge w:val="restart"/>
                  <w:tcBorders>
                    <w:tl2br w:val="nil"/>
                    <w:tr2bl w:val="nil"/>
                  </w:tcBorders>
                  <w:vAlign w:val="center"/>
                </w:tcPr>
                <w:p w14:paraId="4DD1A4B5">
                  <w:pPr>
                    <w:pStyle w:val="31"/>
                    <w:rPr>
                      <w:sz w:val="21"/>
                      <w:highlight w:val="none"/>
                    </w:rPr>
                  </w:pPr>
                  <w:r>
                    <w:rPr>
                      <w:sz w:val="21"/>
                      <w:highlight w:val="none"/>
                    </w:rPr>
                    <w:t>苯系物、多环芳烃</w:t>
                  </w:r>
                </w:p>
              </w:tc>
              <w:tc>
                <w:tcPr>
                  <w:tcW w:w="660" w:type="dxa"/>
                  <w:tcBorders>
                    <w:tl2br w:val="nil"/>
                    <w:tr2bl w:val="nil"/>
                  </w:tcBorders>
                  <w:vAlign w:val="center"/>
                </w:tcPr>
                <w:p w14:paraId="7A906C48">
                  <w:pPr>
                    <w:pStyle w:val="31"/>
                    <w:rPr>
                      <w:sz w:val="21"/>
                      <w:highlight w:val="none"/>
                    </w:rPr>
                  </w:pPr>
                  <w:r>
                    <w:rPr>
                      <w:rFonts w:hint="eastAsia"/>
                      <w:sz w:val="21"/>
                      <w:highlight w:val="none"/>
                    </w:rPr>
                    <w:t>T，I</w:t>
                  </w:r>
                </w:p>
              </w:tc>
              <w:tc>
                <w:tcPr>
                  <w:tcW w:w="2542" w:type="dxa"/>
                  <w:tcBorders>
                    <w:tl2br w:val="nil"/>
                    <w:tr2bl w:val="nil"/>
                  </w:tcBorders>
                  <w:vAlign w:val="center"/>
                </w:tcPr>
                <w:p w14:paraId="7C0DB72B">
                  <w:pPr>
                    <w:pStyle w:val="31"/>
                    <w:rPr>
                      <w:sz w:val="21"/>
                      <w:highlight w:val="none"/>
                    </w:rPr>
                  </w:pPr>
                  <w:r>
                    <w:rPr>
                      <w:sz w:val="21"/>
                      <w:highlight w:val="none"/>
                    </w:rPr>
                    <w:t>采用专用容器密封储存，暂存于危废暂存间内，定期交有资质单位统一处理</w:t>
                  </w:r>
                </w:p>
              </w:tc>
            </w:tr>
            <w:tr w14:paraId="371EE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43179317">
                  <w:pPr>
                    <w:pStyle w:val="31"/>
                    <w:rPr>
                      <w:sz w:val="21"/>
                    </w:rPr>
                  </w:pPr>
                  <w:r>
                    <w:rPr>
                      <w:sz w:val="21"/>
                    </w:rPr>
                    <w:t>废油桶</w:t>
                  </w:r>
                </w:p>
              </w:tc>
              <w:tc>
                <w:tcPr>
                  <w:tcW w:w="645" w:type="dxa"/>
                  <w:tcBorders>
                    <w:tl2br w:val="nil"/>
                    <w:tr2bl w:val="nil"/>
                  </w:tcBorders>
                  <w:vAlign w:val="center"/>
                </w:tcPr>
                <w:p w14:paraId="65072A41">
                  <w:pPr>
                    <w:pStyle w:val="31"/>
                    <w:rPr>
                      <w:sz w:val="21"/>
                    </w:rPr>
                  </w:pPr>
                  <w:r>
                    <w:rPr>
                      <w:sz w:val="21"/>
                    </w:rPr>
                    <w:t>HW</w:t>
                  </w:r>
                  <w:r>
                    <w:rPr>
                      <w:rFonts w:hint="eastAsia"/>
                      <w:sz w:val="21"/>
                    </w:rPr>
                    <w:t>08</w:t>
                  </w:r>
                </w:p>
              </w:tc>
              <w:tc>
                <w:tcPr>
                  <w:tcW w:w="885" w:type="dxa"/>
                  <w:tcBorders>
                    <w:tl2br w:val="nil"/>
                    <w:tr2bl w:val="nil"/>
                  </w:tcBorders>
                  <w:vAlign w:val="center"/>
                </w:tcPr>
                <w:p w14:paraId="03F845E7">
                  <w:pPr>
                    <w:pStyle w:val="31"/>
                    <w:rPr>
                      <w:sz w:val="21"/>
                      <w:highlight w:val="none"/>
                    </w:rPr>
                  </w:pPr>
                  <w:r>
                    <w:rPr>
                      <w:sz w:val="21"/>
                      <w:highlight w:val="none"/>
                    </w:rPr>
                    <w:t>900-2</w:t>
                  </w:r>
                  <w:r>
                    <w:rPr>
                      <w:rFonts w:hint="eastAsia"/>
                      <w:sz w:val="21"/>
                      <w:highlight w:val="none"/>
                    </w:rPr>
                    <w:t>49</w:t>
                  </w:r>
                  <w:r>
                    <w:rPr>
                      <w:sz w:val="21"/>
                      <w:highlight w:val="none"/>
                    </w:rPr>
                    <w:t>-08</w:t>
                  </w:r>
                </w:p>
              </w:tc>
              <w:tc>
                <w:tcPr>
                  <w:tcW w:w="690" w:type="dxa"/>
                  <w:tcBorders>
                    <w:tl2br w:val="nil"/>
                    <w:tr2bl w:val="nil"/>
                  </w:tcBorders>
                  <w:vAlign w:val="center"/>
                </w:tcPr>
                <w:p w14:paraId="2B2EBB42">
                  <w:pPr>
                    <w:pStyle w:val="31"/>
                    <w:rPr>
                      <w:sz w:val="21"/>
                      <w:highlight w:val="none"/>
                    </w:rPr>
                  </w:pPr>
                  <w:r>
                    <w:rPr>
                      <w:rFonts w:hint="eastAsia"/>
                      <w:sz w:val="21"/>
                      <w:highlight w:val="none"/>
                    </w:rPr>
                    <w:t>0.1t/a</w:t>
                  </w:r>
                </w:p>
              </w:tc>
              <w:tc>
                <w:tcPr>
                  <w:tcW w:w="900" w:type="dxa"/>
                  <w:tcBorders>
                    <w:tl2br w:val="nil"/>
                    <w:tr2bl w:val="nil"/>
                  </w:tcBorders>
                  <w:vAlign w:val="center"/>
                </w:tcPr>
                <w:p w14:paraId="1D01F901">
                  <w:pPr>
                    <w:pStyle w:val="31"/>
                    <w:rPr>
                      <w:sz w:val="21"/>
                      <w:highlight w:val="none"/>
                    </w:rPr>
                  </w:pPr>
                  <w:r>
                    <w:rPr>
                      <w:rFonts w:hint="eastAsia"/>
                      <w:sz w:val="21"/>
                      <w:highlight w:val="none"/>
                    </w:rPr>
                    <w:t>生产过程/</w:t>
                  </w:r>
                  <w:r>
                    <w:rPr>
                      <w:sz w:val="21"/>
                      <w:highlight w:val="none"/>
                    </w:rPr>
                    <w:t>设备维修</w:t>
                  </w:r>
                </w:p>
              </w:tc>
              <w:tc>
                <w:tcPr>
                  <w:tcW w:w="390" w:type="dxa"/>
                  <w:tcBorders>
                    <w:tl2br w:val="nil"/>
                    <w:tr2bl w:val="nil"/>
                  </w:tcBorders>
                  <w:vAlign w:val="center"/>
                </w:tcPr>
                <w:p w14:paraId="0D0D652B">
                  <w:pPr>
                    <w:pStyle w:val="31"/>
                    <w:rPr>
                      <w:sz w:val="21"/>
                      <w:highlight w:val="none"/>
                    </w:rPr>
                  </w:pPr>
                  <w:r>
                    <w:rPr>
                      <w:rFonts w:hint="eastAsia"/>
                      <w:sz w:val="21"/>
                      <w:highlight w:val="none"/>
                    </w:rPr>
                    <w:t>固态</w:t>
                  </w:r>
                </w:p>
              </w:tc>
              <w:tc>
                <w:tcPr>
                  <w:tcW w:w="645" w:type="dxa"/>
                  <w:vMerge w:val="continue"/>
                  <w:tcBorders>
                    <w:tl2br w:val="nil"/>
                    <w:tr2bl w:val="nil"/>
                  </w:tcBorders>
                  <w:vAlign w:val="center"/>
                </w:tcPr>
                <w:p w14:paraId="416FE945">
                  <w:pPr>
                    <w:pStyle w:val="31"/>
                    <w:rPr>
                      <w:sz w:val="21"/>
                      <w:highlight w:val="none"/>
                    </w:rPr>
                  </w:pPr>
                </w:p>
              </w:tc>
              <w:tc>
                <w:tcPr>
                  <w:tcW w:w="660" w:type="dxa"/>
                  <w:tcBorders>
                    <w:tl2br w:val="nil"/>
                    <w:tr2bl w:val="nil"/>
                  </w:tcBorders>
                  <w:vAlign w:val="center"/>
                </w:tcPr>
                <w:p w14:paraId="634AF247">
                  <w:pPr>
                    <w:pStyle w:val="31"/>
                    <w:rPr>
                      <w:sz w:val="21"/>
                      <w:highlight w:val="none"/>
                    </w:rPr>
                  </w:pPr>
                  <w:r>
                    <w:rPr>
                      <w:rFonts w:hint="eastAsia"/>
                      <w:sz w:val="21"/>
                      <w:highlight w:val="none"/>
                    </w:rPr>
                    <w:t>T，I</w:t>
                  </w:r>
                </w:p>
              </w:tc>
              <w:tc>
                <w:tcPr>
                  <w:tcW w:w="2542" w:type="dxa"/>
                  <w:tcBorders>
                    <w:tl2br w:val="nil"/>
                    <w:tr2bl w:val="nil"/>
                  </w:tcBorders>
                  <w:vAlign w:val="center"/>
                </w:tcPr>
                <w:p w14:paraId="0913C6B4">
                  <w:pPr>
                    <w:pStyle w:val="31"/>
                    <w:rPr>
                      <w:sz w:val="21"/>
                      <w:highlight w:val="none"/>
                    </w:rPr>
                  </w:pPr>
                  <w:r>
                    <w:rPr>
                      <w:rFonts w:hint="eastAsia"/>
                      <w:sz w:val="21"/>
                      <w:highlight w:val="none"/>
                    </w:rPr>
                    <w:t>封口处于打开状态、静置无滴漏且经打包压块后用于金属冶炼</w:t>
                  </w:r>
                </w:p>
              </w:tc>
            </w:tr>
            <w:tr w14:paraId="7ABB2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2A6D5C91">
                  <w:pPr>
                    <w:pStyle w:val="31"/>
                    <w:rPr>
                      <w:sz w:val="21"/>
                    </w:rPr>
                  </w:pPr>
                  <w:r>
                    <w:rPr>
                      <w:rFonts w:hint="eastAsia"/>
                      <w:color w:val="000000"/>
                      <w:kern w:val="0"/>
                      <w:sz w:val="21"/>
                    </w:rPr>
                    <w:t>废液压油</w:t>
                  </w:r>
                </w:p>
              </w:tc>
              <w:tc>
                <w:tcPr>
                  <w:tcW w:w="645" w:type="dxa"/>
                  <w:tcBorders>
                    <w:tl2br w:val="nil"/>
                    <w:tr2bl w:val="nil"/>
                  </w:tcBorders>
                  <w:vAlign w:val="center"/>
                </w:tcPr>
                <w:p w14:paraId="4880F4AE">
                  <w:pPr>
                    <w:pStyle w:val="31"/>
                    <w:rPr>
                      <w:sz w:val="21"/>
                    </w:rPr>
                  </w:pPr>
                  <w:r>
                    <w:rPr>
                      <w:sz w:val="21"/>
                    </w:rPr>
                    <w:t>HW</w:t>
                  </w:r>
                  <w:r>
                    <w:rPr>
                      <w:rFonts w:hint="eastAsia"/>
                      <w:sz w:val="21"/>
                    </w:rPr>
                    <w:t>08</w:t>
                  </w:r>
                </w:p>
              </w:tc>
              <w:tc>
                <w:tcPr>
                  <w:tcW w:w="885" w:type="dxa"/>
                  <w:tcBorders>
                    <w:tl2br w:val="nil"/>
                    <w:tr2bl w:val="nil"/>
                  </w:tcBorders>
                  <w:vAlign w:val="center"/>
                </w:tcPr>
                <w:p w14:paraId="4FF79408">
                  <w:pPr>
                    <w:pStyle w:val="31"/>
                    <w:rPr>
                      <w:sz w:val="21"/>
                    </w:rPr>
                  </w:pPr>
                  <w:r>
                    <w:rPr>
                      <w:rFonts w:hint="eastAsia"/>
                      <w:sz w:val="21"/>
                    </w:rPr>
                    <w:t>900-218-08</w:t>
                  </w:r>
                </w:p>
              </w:tc>
              <w:tc>
                <w:tcPr>
                  <w:tcW w:w="690" w:type="dxa"/>
                  <w:tcBorders>
                    <w:tl2br w:val="nil"/>
                    <w:tr2bl w:val="nil"/>
                  </w:tcBorders>
                  <w:vAlign w:val="center"/>
                </w:tcPr>
                <w:p w14:paraId="4E6AE322">
                  <w:pPr>
                    <w:pStyle w:val="31"/>
                    <w:rPr>
                      <w:sz w:val="21"/>
                    </w:rPr>
                  </w:pPr>
                  <w:r>
                    <w:rPr>
                      <w:rFonts w:hint="eastAsia"/>
                      <w:sz w:val="21"/>
                    </w:rPr>
                    <w:t>0.9</w:t>
                  </w:r>
                  <w:r>
                    <w:rPr>
                      <w:sz w:val="21"/>
                    </w:rPr>
                    <w:t>t/a</w:t>
                  </w:r>
                </w:p>
              </w:tc>
              <w:tc>
                <w:tcPr>
                  <w:tcW w:w="900" w:type="dxa"/>
                  <w:tcBorders>
                    <w:tl2br w:val="nil"/>
                    <w:tr2bl w:val="nil"/>
                  </w:tcBorders>
                  <w:vAlign w:val="center"/>
                </w:tcPr>
                <w:p w14:paraId="34D7D7DE">
                  <w:pPr>
                    <w:pStyle w:val="31"/>
                    <w:rPr>
                      <w:sz w:val="21"/>
                    </w:rPr>
                  </w:pPr>
                  <w:r>
                    <w:rPr>
                      <w:rFonts w:hint="eastAsia"/>
                      <w:sz w:val="21"/>
                    </w:rPr>
                    <w:t>出齿工序</w:t>
                  </w:r>
                </w:p>
              </w:tc>
              <w:tc>
                <w:tcPr>
                  <w:tcW w:w="390" w:type="dxa"/>
                  <w:tcBorders>
                    <w:tl2br w:val="nil"/>
                    <w:tr2bl w:val="nil"/>
                  </w:tcBorders>
                  <w:vAlign w:val="center"/>
                </w:tcPr>
                <w:p w14:paraId="53913827">
                  <w:pPr>
                    <w:pStyle w:val="31"/>
                    <w:rPr>
                      <w:sz w:val="21"/>
                    </w:rPr>
                  </w:pPr>
                  <w:r>
                    <w:rPr>
                      <w:sz w:val="21"/>
                    </w:rPr>
                    <w:t>液态</w:t>
                  </w:r>
                </w:p>
              </w:tc>
              <w:tc>
                <w:tcPr>
                  <w:tcW w:w="645" w:type="dxa"/>
                  <w:vMerge w:val="continue"/>
                  <w:tcBorders>
                    <w:tl2br w:val="nil"/>
                    <w:tr2bl w:val="nil"/>
                  </w:tcBorders>
                  <w:vAlign w:val="center"/>
                </w:tcPr>
                <w:p w14:paraId="29095F98">
                  <w:pPr>
                    <w:pStyle w:val="31"/>
                    <w:rPr>
                      <w:sz w:val="21"/>
                    </w:rPr>
                  </w:pPr>
                </w:p>
              </w:tc>
              <w:tc>
                <w:tcPr>
                  <w:tcW w:w="660" w:type="dxa"/>
                  <w:tcBorders>
                    <w:tl2br w:val="nil"/>
                    <w:tr2bl w:val="nil"/>
                  </w:tcBorders>
                  <w:vAlign w:val="center"/>
                </w:tcPr>
                <w:p w14:paraId="7E789571">
                  <w:pPr>
                    <w:pStyle w:val="31"/>
                    <w:rPr>
                      <w:sz w:val="21"/>
                    </w:rPr>
                  </w:pPr>
                  <w:r>
                    <w:rPr>
                      <w:rFonts w:hint="eastAsia"/>
                      <w:sz w:val="21"/>
                    </w:rPr>
                    <w:t>T，I</w:t>
                  </w:r>
                </w:p>
              </w:tc>
              <w:tc>
                <w:tcPr>
                  <w:tcW w:w="2542" w:type="dxa"/>
                  <w:vMerge w:val="restart"/>
                  <w:tcBorders>
                    <w:tl2br w:val="nil"/>
                    <w:tr2bl w:val="nil"/>
                  </w:tcBorders>
                  <w:vAlign w:val="center"/>
                </w:tcPr>
                <w:p w14:paraId="63209C76">
                  <w:pPr>
                    <w:pStyle w:val="31"/>
                    <w:rPr>
                      <w:sz w:val="21"/>
                    </w:rPr>
                  </w:pPr>
                  <w:r>
                    <w:rPr>
                      <w:sz w:val="21"/>
                    </w:rPr>
                    <w:t>采用专用容器密封储存，暂存于危废暂存间内，定期交有资质单位统一处理</w:t>
                  </w:r>
                </w:p>
              </w:tc>
            </w:tr>
            <w:tr w14:paraId="65BCB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2675E292">
                  <w:pPr>
                    <w:pStyle w:val="31"/>
                    <w:rPr>
                      <w:rFonts w:hint="eastAsia" w:eastAsia="宋体"/>
                      <w:sz w:val="21"/>
                      <w:lang w:eastAsia="zh-CN"/>
                    </w:rPr>
                  </w:pPr>
                  <w:r>
                    <w:rPr>
                      <w:rFonts w:hint="eastAsia"/>
                      <w:sz w:val="21"/>
                    </w:rPr>
                    <w:t>废</w:t>
                  </w:r>
                  <w:r>
                    <w:rPr>
                      <w:rFonts w:hint="eastAsia"/>
                      <w:sz w:val="21"/>
                      <w:lang w:eastAsia="zh-CN"/>
                    </w:rPr>
                    <w:t>淬火油</w:t>
                  </w:r>
                </w:p>
              </w:tc>
              <w:tc>
                <w:tcPr>
                  <w:tcW w:w="645" w:type="dxa"/>
                  <w:tcBorders>
                    <w:tl2br w:val="nil"/>
                    <w:tr2bl w:val="nil"/>
                  </w:tcBorders>
                  <w:vAlign w:val="center"/>
                </w:tcPr>
                <w:p w14:paraId="176FF4BB">
                  <w:pPr>
                    <w:pStyle w:val="31"/>
                    <w:rPr>
                      <w:sz w:val="21"/>
                    </w:rPr>
                  </w:pPr>
                  <w:r>
                    <w:rPr>
                      <w:sz w:val="21"/>
                    </w:rPr>
                    <w:t>HW</w:t>
                  </w:r>
                  <w:r>
                    <w:rPr>
                      <w:rFonts w:hint="eastAsia"/>
                      <w:sz w:val="21"/>
                    </w:rPr>
                    <w:t>08</w:t>
                  </w:r>
                </w:p>
              </w:tc>
              <w:tc>
                <w:tcPr>
                  <w:tcW w:w="885" w:type="dxa"/>
                  <w:tcBorders>
                    <w:tl2br w:val="nil"/>
                    <w:tr2bl w:val="nil"/>
                  </w:tcBorders>
                  <w:vAlign w:val="center"/>
                </w:tcPr>
                <w:p w14:paraId="6E8A7704">
                  <w:pPr>
                    <w:pStyle w:val="31"/>
                    <w:rPr>
                      <w:sz w:val="21"/>
                      <w:highlight w:val="none"/>
                    </w:rPr>
                  </w:pPr>
                  <w:r>
                    <w:rPr>
                      <w:rFonts w:hint="eastAsia"/>
                      <w:sz w:val="21"/>
                      <w:highlight w:val="none"/>
                    </w:rPr>
                    <w:t>900-203-08</w:t>
                  </w:r>
                </w:p>
              </w:tc>
              <w:tc>
                <w:tcPr>
                  <w:tcW w:w="690" w:type="dxa"/>
                  <w:tcBorders>
                    <w:tl2br w:val="nil"/>
                    <w:tr2bl w:val="nil"/>
                  </w:tcBorders>
                  <w:vAlign w:val="center"/>
                </w:tcPr>
                <w:p w14:paraId="2B9856E5">
                  <w:pPr>
                    <w:pStyle w:val="31"/>
                    <w:rPr>
                      <w:sz w:val="21"/>
                      <w:highlight w:val="none"/>
                    </w:rPr>
                  </w:pPr>
                  <w:r>
                    <w:rPr>
                      <w:rFonts w:hint="eastAsia"/>
                      <w:sz w:val="21"/>
                      <w:highlight w:val="none"/>
                    </w:rPr>
                    <w:t>0.8</w:t>
                  </w:r>
                  <w:r>
                    <w:rPr>
                      <w:sz w:val="21"/>
                      <w:highlight w:val="none"/>
                    </w:rPr>
                    <w:t>t/a</w:t>
                  </w:r>
                </w:p>
              </w:tc>
              <w:tc>
                <w:tcPr>
                  <w:tcW w:w="900" w:type="dxa"/>
                  <w:tcBorders>
                    <w:tl2br w:val="nil"/>
                    <w:tr2bl w:val="nil"/>
                  </w:tcBorders>
                  <w:vAlign w:val="center"/>
                </w:tcPr>
                <w:p w14:paraId="4EBD6378">
                  <w:pPr>
                    <w:pStyle w:val="31"/>
                    <w:rPr>
                      <w:sz w:val="21"/>
                      <w:highlight w:val="none"/>
                    </w:rPr>
                  </w:pPr>
                  <w:r>
                    <w:rPr>
                      <w:rFonts w:hint="eastAsia"/>
                      <w:sz w:val="21"/>
                      <w:highlight w:val="none"/>
                    </w:rPr>
                    <w:t>淬火槽内</w:t>
                  </w:r>
                  <w:r>
                    <w:rPr>
                      <w:rFonts w:hint="eastAsia"/>
                      <w:sz w:val="21"/>
                      <w:highlight w:val="none"/>
                      <w:lang w:eastAsia="zh-CN"/>
                    </w:rPr>
                    <w:t>淬火油</w:t>
                  </w:r>
                  <w:r>
                    <w:rPr>
                      <w:rFonts w:hint="eastAsia"/>
                      <w:sz w:val="21"/>
                      <w:highlight w:val="none"/>
                    </w:rPr>
                    <w:t>定期更换</w:t>
                  </w:r>
                </w:p>
              </w:tc>
              <w:tc>
                <w:tcPr>
                  <w:tcW w:w="390" w:type="dxa"/>
                  <w:tcBorders>
                    <w:tl2br w:val="nil"/>
                    <w:tr2bl w:val="nil"/>
                  </w:tcBorders>
                  <w:vAlign w:val="center"/>
                </w:tcPr>
                <w:p w14:paraId="2F78DD29">
                  <w:pPr>
                    <w:pStyle w:val="31"/>
                    <w:rPr>
                      <w:sz w:val="21"/>
                      <w:highlight w:val="none"/>
                    </w:rPr>
                  </w:pPr>
                  <w:r>
                    <w:rPr>
                      <w:sz w:val="21"/>
                      <w:highlight w:val="none"/>
                    </w:rPr>
                    <w:t>液态</w:t>
                  </w:r>
                </w:p>
              </w:tc>
              <w:tc>
                <w:tcPr>
                  <w:tcW w:w="645" w:type="dxa"/>
                  <w:vMerge w:val="continue"/>
                  <w:tcBorders>
                    <w:tl2br w:val="nil"/>
                    <w:tr2bl w:val="nil"/>
                  </w:tcBorders>
                  <w:vAlign w:val="center"/>
                </w:tcPr>
                <w:p w14:paraId="1031D4A4">
                  <w:pPr>
                    <w:pStyle w:val="31"/>
                    <w:rPr>
                      <w:sz w:val="21"/>
                      <w:highlight w:val="none"/>
                    </w:rPr>
                  </w:pPr>
                </w:p>
              </w:tc>
              <w:tc>
                <w:tcPr>
                  <w:tcW w:w="660" w:type="dxa"/>
                  <w:tcBorders>
                    <w:tl2br w:val="nil"/>
                    <w:tr2bl w:val="nil"/>
                  </w:tcBorders>
                  <w:vAlign w:val="center"/>
                </w:tcPr>
                <w:p w14:paraId="24AE225F">
                  <w:pPr>
                    <w:pStyle w:val="31"/>
                    <w:rPr>
                      <w:sz w:val="21"/>
                      <w:highlight w:val="none"/>
                    </w:rPr>
                  </w:pPr>
                  <w:r>
                    <w:rPr>
                      <w:rFonts w:hint="eastAsia"/>
                      <w:sz w:val="21"/>
                      <w:highlight w:val="none"/>
                    </w:rPr>
                    <w:t>T</w:t>
                  </w:r>
                </w:p>
              </w:tc>
              <w:tc>
                <w:tcPr>
                  <w:tcW w:w="2542" w:type="dxa"/>
                  <w:vMerge w:val="continue"/>
                  <w:tcBorders>
                    <w:tl2br w:val="nil"/>
                    <w:tr2bl w:val="nil"/>
                  </w:tcBorders>
                  <w:vAlign w:val="center"/>
                </w:tcPr>
                <w:p w14:paraId="306216FF">
                  <w:pPr>
                    <w:pStyle w:val="31"/>
                    <w:rPr>
                      <w:sz w:val="21"/>
                      <w:highlight w:val="none"/>
                    </w:rPr>
                  </w:pPr>
                </w:p>
              </w:tc>
            </w:tr>
            <w:tr w14:paraId="08176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00BE4A63">
                  <w:pPr>
                    <w:pStyle w:val="31"/>
                    <w:rPr>
                      <w:sz w:val="21"/>
                    </w:rPr>
                  </w:pPr>
                  <w:r>
                    <w:rPr>
                      <w:rFonts w:hint="eastAsia"/>
                      <w:color w:val="000000"/>
                      <w:kern w:val="0"/>
                      <w:sz w:val="21"/>
                    </w:rPr>
                    <w:t>废切削液</w:t>
                  </w:r>
                </w:p>
              </w:tc>
              <w:tc>
                <w:tcPr>
                  <w:tcW w:w="645" w:type="dxa"/>
                  <w:tcBorders>
                    <w:tl2br w:val="nil"/>
                    <w:tr2bl w:val="nil"/>
                  </w:tcBorders>
                  <w:vAlign w:val="center"/>
                </w:tcPr>
                <w:p w14:paraId="2B95279F">
                  <w:pPr>
                    <w:pStyle w:val="31"/>
                    <w:rPr>
                      <w:sz w:val="21"/>
                    </w:rPr>
                  </w:pPr>
                  <w:r>
                    <w:rPr>
                      <w:rFonts w:hint="eastAsia"/>
                      <w:sz w:val="21"/>
                    </w:rPr>
                    <w:t>HW09</w:t>
                  </w:r>
                </w:p>
              </w:tc>
              <w:tc>
                <w:tcPr>
                  <w:tcW w:w="885" w:type="dxa"/>
                  <w:tcBorders>
                    <w:tl2br w:val="nil"/>
                    <w:tr2bl w:val="nil"/>
                  </w:tcBorders>
                  <w:vAlign w:val="center"/>
                </w:tcPr>
                <w:p w14:paraId="1FB00B1F">
                  <w:pPr>
                    <w:pStyle w:val="31"/>
                    <w:rPr>
                      <w:sz w:val="21"/>
                    </w:rPr>
                  </w:pPr>
                  <w:r>
                    <w:rPr>
                      <w:rFonts w:hint="eastAsia"/>
                      <w:sz w:val="21"/>
                    </w:rPr>
                    <w:t>900-006-09</w:t>
                  </w:r>
                </w:p>
              </w:tc>
              <w:tc>
                <w:tcPr>
                  <w:tcW w:w="690" w:type="dxa"/>
                  <w:tcBorders>
                    <w:tl2br w:val="nil"/>
                    <w:tr2bl w:val="nil"/>
                  </w:tcBorders>
                  <w:vAlign w:val="center"/>
                </w:tcPr>
                <w:p w14:paraId="022D3EA1">
                  <w:pPr>
                    <w:pStyle w:val="31"/>
                    <w:rPr>
                      <w:sz w:val="21"/>
                    </w:rPr>
                  </w:pPr>
                  <w:r>
                    <w:rPr>
                      <w:rFonts w:hint="eastAsia"/>
                      <w:sz w:val="21"/>
                    </w:rPr>
                    <w:t>0.7</w:t>
                  </w:r>
                  <w:r>
                    <w:rPr>
                      <w:sz w:val="21"/>
                    </w:rPr>
                    <w:t>t/a</w:t>
                  </w:r>
                </w:p>
              </w:tc>
              <w:tc>
                <w:tcPr>
                  <w:tcW w:w="900" w:type="dxa"/>
                  <w:tcBorders>
                    <w:tl2br w:val="nil"/>
                    <w:tr2bl w:val="nil"/>
                  </w:tcBorders>
                  <w:vAlign w:val="center"/>
                </w:tcPr>
                <w:p w14:paraId="160A0D5E">
                  <w:pPr>
                    <w:pStyle w:val="31"/>
                    <w:rPr>
                      <w:sz w:val="21"/>
                    </w:rPr>
                  </w:pPr>
                  <w:r>
                    <w:rPr>
                      <w:rFonts w:hint="eastAsia"/>
                      <w:sz w:val="21"/>
                    </w:rPr>
                    <w:t>热前加工和热后车磨</w:t>
                  </w:r>
                </w:p>
              </w:tc>
              <w:tc>
                <w:tcPr>
                  <w:tcW w:w="390" w:type="dxa"/>
                  <w:tcBorders>
                    <w:tl2br w:val="nil"/>
                    <w:tr2bl w:val="nil"/>
                  </w:tcBorders>
                  <w:vAlign w:val="center"/>
                </w:tcPr>
                <w:p w14:paraId="086C2E0D">
                  <w:pPr>
                    <w:pStyle w:val="31"/>
                    <w:rPr>
                      <w:sz w:val="21"/>
                    </w:rPr>
                  </w:pPr>
                  <w:r>
                    <w:rPr>
                      <w:sz w:val="21"/>
                    </w:rPr>
                    <w:t>液态</w:t>
                  </w:r>
                </w:p>
              </w:tc>
              <w:tc>
                <w:tcPr>
                  <w:tcW w:w="645" w:type="dxa"/>
                  <w:vMerge w:val="continue"/>
                  <w:tcBorders>
                    <w:tl2br w:val="nil"/>
                    <w:tr2bl w:val="nil"/>
                  </w:tcBorders>
                  <w:vAlign w:val="center"/>
                </w:tcPr>
                <w:p w14:paraId="34B61A20">
                  <w:pPr>
                    <w:pStyle w:val="31"/>
                    <w:rPr>
                      <w:sz w:val="21"/>
                    </w:rPr>
                  </w:pPr>
                </w:p>
              </w:tc>
              <w:tc>
                <w:tcPr>
                  <w:tcW w:w="660" w:type="dxa"/>
                  <w:tcBorders>
                    <w:tl2br w:val="nil"/>
                    <w:tr2bl w:val="nil"/>
                  </w:tcBorders>
                  <w:vAlign w:val="center"/>
                </w:tcPr>
                <w:p w14:paraId="5C18A959">
                  <w:pPr>
                    <w:pStyle w:val="31"/>
                    <w:rPr>
                      <w:sz w:val="21"/>
                    </w:rPr>
                  </w:pPr>
                  <w:r>
                    <w:rPr>
                      <w:rFonts w:hint="eastAsia"/>
                      <w:sz w:val="21"/>
                    </w:rPr>
                    <w:t>T，I</w:t>
                  </w:r>
                </w:p>
              </w:tc>
              <w:tc>
                <w:tcPr>
                  <w:tcW w:w="2542" w:type="dxa"/>
                  <w:vMerge w:val="continue"/>
                  <w:tcBorders>
                    <w:tl2br w:val="nil"/>
                    <w:tr2bl w:val="nil"/>
                  </w:tcBorders>
                  <w:vAlign w:val="center"/>
                </w:tcPr>
                <w:p w14:paraId="505AA588">
                  <w:pPr>
                    <w:pStyle w:val="31"/>
                    <w:rPr>
                      <w:kern w:val="0"/>
                      <w:sz w:val="21"/>
                    </w:rPr>
                  </w:pPr>
                </w:p>
              </w:tc>
            </w:tr>
            <w:tr w14:paraId="080BD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5857D6E2">
                  <w:pPr>
                    <w:pStyle w:val="31"/>
                    <w:rPr>
                      <w:sz w:val="21"/>
                    </w:rPr>
                  </w:pPr>
                  <w:r>
                    <w:rPr>
                      <w:rFonts w:hint="eastAsia"/>
                      <w:color w:val="000000"/>
                      <w:kern w:val="0"/>
                      <w:sz w:val="21"/>
                    </w:rPr>
                    <w:t>含油铁屑</w:t>
                  </w:r>
                </w:p>
              </w:tc>
              <w:tc>
                <w:tcPr>
                  <w:tcW w:w="645" w:type="dxa"/>
                  <w:tcBorders>
                    <w:tl2br w:val="nil"/>
                    <w:tr2bl w:val="nil"/>
                  </w:tcBorders>
                  <w:vAlign w:val="center"/>
                </w:tcPr>
                <w:p w14:paraId="0EC1C490">
                  <w:pPr>
                    <w:spacing w:line="240" w:lineRule="auto"/>
                    <w:ind w:firstLine="0" w:firstLineChars="0"/>
                    <w:jc w:val="center"/>
                    <w:rPr>
                      <w:sz w:val="21"/>
                      <w:szCs w:val="21"/>
                    </w:rPr>
                  </w:pPr>
                  <w:r>
                    <w:rPr>
                      <w:rFonts w:hint="eastAsia"/>
                      <w:sz w:val="21"/>
                      <w:szCs w:val="21"/>
                    </w:rPr>
                    <w:t>HW09</w:t>
                  </w:r>
                </w:p>
              </w:tc>
              <w:tc>
                <w:tcPr>
                  <w:tcW w:w="885" w:type="dxa"/>
                  <w:tcBorders>
                    <w:tl2br w:val="nil"/>
                    <w:tr2bl w:val="nil"/>
                  </w:tcBorders>
                  <w:vAlign w:val="center"/>
                </w:tcPr>
                <w:p w14:paraId="08234927">
                  <w:pPr>
                    <w:spacing w:line="240" w:lineRule="auto"/>
                    <w:ind w:firstLine="0" w:firstLineChars="0"/>
                    <w:jc w:val="center"/>
                    <w:rPr>
                      <w:sz w:val="21"/>
                      <w:szCs w:val="21"/>
                    </w:rPr>
                  </w:pPr>
                  <w:r>
                    <w:rPr>
                      <w:sz w:val="21"/>
                      <w:szCs w:val="21"/>
                    </w:rPr>
                    <w:t>900-006-09</w:t>
                  </w:r>
                </w:p>
              </w:tc>
              <w:tc>
                <w:tcPr>
                  <w:tcW w:w="690" w:type="dxa"/>
                  <w:tcBorders>
                    <w:tl2br w:val="nil"/>
                    <w:tr2bl w:val="nil"/>
                  </w:tcBorders>
                  <w:vAlign w:val="center"/>
                </w:tcPr>
                <w:p w14:paraId="2A5594E7">
                  <w:pPr>
                    <w:pStyle w:val="31"/>
                    <w:rPr>
                      <w:sz w:val="21"/>
                    </w:rPr>
                  </w:pPr>
                  <w:r>
                    <w:rPr>
                      <w:rFonts w:hint="eastAsia"/>
                      <w:sz w:val="21"/>
                    </w:rPr>
                    <w:t>2</w:t>
                  </w:r>
                  <w:r>
                    <w:rPr>
                      <w:sz w:val="21"/>
                    </w:rPr>
                    <w:t>t/a</w:t>
                  </w:r>
                </w:p>
              </w:tc>
              <w:tc>
                <w:tcPr>
                  <w:tcW w:w="900" w:type="dxa"/>
                  <w:tcBorders>
                    <w:tl2br w:val="nil"/>
                    <w:tr2bl w:val="nil"/>
                  </w:tcBorders>
                  <w:vAlign w:val="center"/>
                </w:tcPr>
                <w:p w14:paraId="694C5076">
                  <w:pPr>
                    <w:pStyle w:val="31"/>
                    <w:rPr>
                      <w:sz w:val="21"/>
                    </w:rPr>
                  </w:pPr>
                  <w:r>
                    <w:rPr>
                      <w:rFonts w:hint="eastAsia"/>
                      <w:sz w:val="21"/>
                    </w:rPr>
                    <w:t>热前加工和热后车磨</w:t>
                  </w:r>
                </w:p>
              </w:tc>
              <w:tc>
                <w:tcPr>
                  <w:tcW w:w="390" w:type="dxa"/>
                  <w:tcBorders>
                    <w:tl2br w:val="nil"/>
                    <w:tr2bl w:val="nil"/>
                  </w:tcBorders>
                  <w:vAlign w:val="center"/>
                </w:tcPr>
                <w:p w14:paraId="62519741">
                  <w:pPr>
                    <w:pStyle w:val="31"/>
                    <w:rPr>
                      <w:sz w:val="21"/>
                    </w:rPr>
                  </w:pPr>
                  <w:r>
                    <w:rPr>
                      <w:rFonts w:hint="eastAsia"/>
                      <w:sz w:val="21"/>
                    </w:rPr>
                    <w:t>固态</w:t>
                  </w:r>
                </w:p>
              </w:tc>
              <w:tc>
                <w:tcPr>
                  <w:tcW w:w="645" w:type="dxa"/>
                  <w:vMerge w:val="continue"/>
                  <w:tcBorders>
                    <w:tl2br w:val="nil"/>
                    <w:tr2bl w:val="nil"/>
                  </w:tcBorders>
                  <w:vAlign w:val="center"/>
                </w:tcPr>
                <w:p w14:paraId="42B36C41">
                  <w:pPr>
                    <w:pStyle w:val="31"/>
                    <w:rPr>
                      <w:sz w:val="21"/>
                    </w:rPr>
                  </w:pPr>
                </w:p>
              </w:tc>
              <w:tc>
                <w:tcPr>
                  <w:tcW w:w="660" w:type="dxa"/>
                  <w:tcBorders>
                    <w:tl2br w:val="nil"/>
                    <w:tr2bl w:val="nil"/>
                  </w:tcBorders>
                  <w:vAlign w:val="center"/>
                </w:tcPr>
                <w:p w14:paraId="7CA22505">
                  <w:pPr>
                    <w:pStyle w:val="31"/>
                    <w:rPr>
                      <w:sz w:val="21"/>
                    </w:rPr>
                  </w:pPr>
                  <w:r>
                    <w:rPr>
                      <w:rFonts w:hint="eastAsia"/>
                      <w:sz w:val="21"/>
                    </w:rPr>
                    <w:t>T，I</w:t>
                  </w:r>
                </w:p>
              </w:tc>
              <w:tc>
                <w:tcPr>
                  <w:tcW w:w="2542" w:type="dxa"/>
                  <w:vMerge w:val="restart"/>
                  <w:tcBorders>
                    <w:tl2br w:val="nil"/>
                    <w:tr2bl w:val="nil"/>
                  </w:tcBorders>
                  <w:vAlign w:val="center"/>
                </w:tcPr>
                <w:p w14:paraId="08BCAE71">
                  <w:pPr>
                    <w:pStyle w:val="31"/>
                    <w:rPr>
                      <w:sz w:val="21"/>
                    </w:rPr>
                  </w:pPr>
                  <w:r>
                    <w:rPr>
                      <w:kern w:val="0"/>
                      <w:sz w:val="21"/>
                    </w:rPr>
                    <w:t>经甩干机甩干达到静置无滴漏后打包</w:t>
                  </w:r>
                  <w:r>
                    <w:rPr>
                      <w:rFonts w:hint="eastAsia"/>
                      <w:kern w:val="0"/>
                      <w:sz w:val="21"/>
                    </w:rPr>
                    <w:t>（</w:t>
                  </w:r>
                  <w:r>
                    <w:rPr>
                      <w:kern w:val="0"/>
                      <w:sz w:val="21"/>
                    </w:rPr>
                    <w:t>压块</w:t>
                  </w:r>
                  <w:r>
                    <w:rPr>
                      <w:rFonts w:hint="eastAsia"/>
                      <w:kern w:val="0"/>
                      <w:sz w:val="21"/>
                    </w:rPr>
                    <w:t>）</w:t>
                  </w:r>
                  <w:r>
                    <w:rPr>
                      <w:kern w:val="0"/>
                      <w:sz w:val="21"/>
                    </w:rPr>
                    <w:t>暂存于</w:t>
                  </w:r>
                  <w:r>
                    <w:rPr>
                      <w:rFonts w:hint="eastAsia"/>
                      <w:kern w:val="0"/>
                      <w:sz w:val="21"/>
                    </w:rPr>
                    <w:t>危废暂存间</w:t>
                  </w:r>
                  <w:r>
                    <w:rPr>
                      <w:kern w:val="0"/>
                      <w:sz w:val="21"/>
                    </w:rPr>
                    <w:t>，定期外售钢铁企业作为冶炼原料，甩干过程产生的废液与废润滑油等一并处置</w:t>
                  </w:r>
                </w:p>
              </w:tc>
            </w:tr>
            <w:tr w14:paraId="70934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dxa"/>
                  <w:tcBorders>
                    <w:tl2br w:val="nil"/>
                    <w:tr2bl w:val="nil"/>
                  </w:tcBorders>
                  <w:vAlign w:val="center"/>
                </w:tcPr>
                <w:p w14:paraId="6E1E36F9">
                  <w:pPr>
                    <w:pStyle w:val="31"/>
                    <w:rPr>
                      <w:sz w:val="21"/>
                    </w:rPr>
                  </w:pPr>
                  <w:r>
                    <w:rPr>
                      <w:rFonts w:hint="eastAsia"/>
                      <w:sz w:val="21"/>
                    </w:rPr>
                    <w:t>含油金属沉淀物</w:t>
                  </w:r>
                </w:p>
              </w:tc>
              <w:tc>
                <w:tcPr>
                  <w:tcW w:w="645" w:type="dxa"/>
                  <w:tcBorders>
                    <w:tl2br w:val="nil"/>
                    <w:tr2bl w:val="nil"/>
                  </w:tcBorders>
                  <w:vAlign w:val="center"/>
                </w:tcPr>
                <w:p w14:paraId="28DD70D9">
                  <w:pPr>
                    <w:spacing w:line="240" w:lineRule="auto"/>
                    <w:ind w:firstLine="0" w:firstLineChars="0"/>
                    <w:jc w:val="center"/>
                    <w:rPr>
                      <w:sz w:val="21"/>
                      <w:szCs w:val="21"/>
                    </w:rPr>
                  </w:pPr>
                  <w:r>
                    <w:rPr>
                      <w:rFonts w:hint="eastAsia"/>
                      <w:sz w:val="21"/>
                      <w:szCs w:val="21"/>
                    </w:rPr>
                    <w:t>HW09</w:t>
                  </w:r>
                </w:p>
              </w:tc>
              <w:tc>
                <w:tcPr>
                  <w:tcW w:w="885" w:type="dxa"/>
                  <w:tcBorders>
                    <w:tl2br w:val="nil"/>
                    <w:tr2bl w:val="nil"/>
                  </w:tcBorders>
                  <w:vAlign w:val="center"/>
                </w:tcPr>
                <w:p w14:paraId="4BE67F23">
                  <w:pPr>
                    <w:spacing w:line="240" w:lineRule="auto"/>
                    <w:ind w:firstLine="0" w:firstLineChars="0"/>
                    <w:jc w:val="center"/>
                    <w:rPr>
                      <w:sz w:val="21"/>
                      <w:szCs w:val="21"/>
                    </w:rPr>
                  </w:pPr>
                  <w:r>
                    <w:rPr>
                      <w:rFonts w:hint="eastAsia"/>
                      <w:sz w:val="21"/>
                      <w:szCs w:val="21"/>
                    </w:rPr>
                    <w:t>900-006-09</w:t>
                  </w:r>
                </w:p>
              </w:tc>
              <w:tc>
                <w:tcPr>
                  <w:tcW w:w="690" w:type="dxa"/>
                  <w:tcBorders>
                    <w:tl2br w:val="nil"/>
                    <w:tr2bl w:val="nil"/>
                  </w:tcBorders>
                  <w:vAlign w:val="center"/>
                </w:tcPr>
                <w:p w14:paraId="057D6A3D">
                  <w:pPr>
                    <w:pStyle w:val="31"/>
                    <w:rPr>
                      <w:sz w:val="21"/>
                    </w:rPr>
                  </w:pPr>
                  <w:r>
                    <w:rPr>
                      <w:rFonts w:hint="eastAsia"/>
                      <w:sz w:val="21"/>
                    </w:rPr>
                    <w:t>1</w:t>
                  </w:r>
                  <w:r>
                    <w:rPr>
                      <w:sz w:val="21"/>
                    </w:rPr>
                    <w:t>t/a</w:t>
                  </w:r>
                </w:p>
              </w:tc>
              <w:tc>
                <w:tcPr>
                  <w:tcW w:w="900" w:type="dxa"/>
                  <w:vMerge w:val="restart"/>
                  <w:tcBorders>
                    <w:tl2br w:val="nil"/>
                    <w:tr2bl w:val="nil"/>
                  </w:tcBorders>
                  <w:vAlign w:val="center"/>
                </w:tcPr>
                <w:p w14:paraId="3589F633">
                  <w:pPr>
                    <w:pStyle w:val="31"/>
                    <w:rPr>
                      <w:sz w:val="21"/>
                    </w:rPr>
                  </w:pPr>
                  <w:r>
                    <w:rPr>
                      <w:rFonts w:hint="eastAsia"/>
                      <w:sz w:val="21"/>
                    </w:rPr>
                    <w:t>热处理清洗过程</w:t>
                  </w:r>
                </w:p>
              </w:tc>
              <w:tc>
                <w:tcPr>
                  <w:tcW w:w="390" w:type="dxa"/>
                  <w:tcBorders>
                    <w:tl2br w:val="nil"/>
                    <w:tr2bl w:val="nil"/>
                  </w:tcBorders>
                  <w:vAlign w:val="center"/>
                </w:tcPr>
                <w:p w14:paraId="04CD76FC">
                  <w:pPr>
                    <w:pStyle w:val="31"/>
                    <w:rPr>
                      <w:sz w:val="21"/>
                    </w:rPr>
                  </w:pPr>
                  <w:r>
                    <w:rPr>
                      <w:rFonts w:hint="eastAsia"/>
                      <w:sz w:val="21"/>
                    </w:rPr>
                    <w:t>固态</w:t>
                  </w:r>
                </w:p>
              </w:tc>
              <w:tc>
                <w:tcPr>
                  <w:tcW w:w="645" w:type="dxa"/>
                  <w:vMerge w:val="continue"/>
                  <w:tcBorders>
                    <w:tl2br w:val="nil"/>
                    <w:tr2bl w:val="nil"/>
                  </w:tcBorders>
                  <w:vAlign w:val="center"/>
                </w:tcPr>
                <w:p w14:paraId="6F9877FB">
                  <w:pPr>
                    <w:pStyle w:val="31"/>
                    <w:rPr>
                      <w:sz w:val="21"/>
                    </w:rPr>
                  </w:pPr>
                </w:p>
              </w:tc>
              <w:tc>
                <w:tcPr>
                  <w:tcW w:w="660" w:type="dxa"/>
                  <w:tcBorders>
                    <w:tl2br w:val="nil"/>
                    <w:tr2bl w:val="nil"/>
                  </w:tcBorders>
                  <w:vAlign w:val="center"/>
                </w:tcPr>
                <w:p w14:paraId="217728FD">
                  <w:pPr>
                    <w:pStyle w:val="31"/>
                    <w:rPr>
                      <w:sz w:val="21"/>
                    </w:rPr>
                  </w:pPr>
                  <w:r>
                    <w:rPr>
                      <w:rFonts w:hint="eastAsia"/>
                      <w:sz w:val="21"/>
                    </w:rPr>
                    <w:t>T，I</w:t>
                  </w:r>
                </w:p>
              </w:tc>
              <w:tc>
                <w:tcPr>
                  <w:tcW w:w="2542" w:type="dxa"/>
                  <w:vMerge w:val="continue"/>
                  <w:tcBorders>
                    <w:tl2br w:val="nil"/>
                    <w:tr2bl w:val="nil"/>
                  </w:tcBorders>
                  <w:vAlign w:val="center"/>
                </w:tcPr>
                <w:p w14:paraId="2E0EF119">
                  <w:pPr>
                    <w:pStyle w:val="31"/>
                    <w:rPr>
                      <w:kern w:val="0"/>
                      <w:sz w:val="21"/>
                    </w:rPr>
                  </w:pPr>
                </w:p>
              </w:tc>
            </w:tr>
            <w:tr w14:paraId="7D067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9" w:type="dxa"/>
                  <w:tcBorders>
                    <w:tl2br w:val="nil"/>
                    <w:tr2bl w:val="nil"/>
                  </w:tcBorders>
                  <w:vAlign w:val="center"/>
                </w:tcPr>
                <w:p w14:paraId="2B1CFE5C">
                  <w:pPr>
                    <w:pStyle w:val="31"/>
                    <w:rPr>
                      <w:color w:val="000000"/>
                      <w:kern w:val="0"/>
                      <w:sz w:val="21"/>
                    </w:rPr>
                  </w:pPr>
                  <w:r>
                    <w:rPr>
                      <w:rFonts w:hint="eastAsia"/>
                      <w:color w:val="000000"/>
                      <w:kern w:val="0"/>
                      <w:sz w:val="21"/>
                      <w:highlight w:val="none"/>
                    </w:rPr>
                    <w:t>油污</w:t>
                  </w:r>
                </w:p>
              </w:tc>
              <w:tc>
                <w:tcPr>
                  <w:tcW w:w="645" w:type="dxa"/>
                  <w:tcBorders>
                    <w:tl2br w:val="nil"/>
                    <w:tr2bl w:val="nil"/>
                  </w:tcBorders>
                  <w:vAlign w:val="center"/>
                </w:tcPr>
                <w:p w14:paraId="030B018A">
                  <w:pPr>
                    <w:spacing w:line="240" w:lineRule="auto"/>
                    <w:ind w:firstLine="0" w:firstLineChars="0"/>
                    <w:jc w:val="center"/>
                    <w:rPr>
                      <w:sz w:val="21"/>
                      <w:szCs w:val="21"/>
                    </w:rPr>
                  </w:pPr>
                  <w:r>
                    <w:rPr>
                      <w:rFonts w:hint="eastAsia"/>
                      <w:sz w:val="21"/>
                      <w:szCs w:val="21"/>
                    </w:rPr>
                    <w:t>HW09</w:t>
                  </w:r>
                </w:p>
              </w:tc>
              <w:tc>
                <w:tcPr>
                  <w:tcW w:w="885" w:type="dxa"/>
                  <w:tcBorders>
                    <w:tl2br w:val="nil"/>
                    <w:tr2bl w:val="nil"/>
                  </w:tcBorders>
                  <w:vAlign w:val="center"/>
                </w:tcPr>
                <w:p w14:paraId="676431AD">
                  <w:pPr>
                    <w:spacing w:line="240" w:lineRule="auto"/>
                    <w:ind w:firstLine="0" w:firstLineChars="0"/>
                    <w:jc w:val="center"/>
                    <w:rPr>
                      <w:sz w:val="21"/>
                      <w:szCs w:val="21"/>
                    </w:rPr>
                  </w:pPr>
                  <w:r>
                    <w:rPr>
                      <w:sz w:val="21"/>
                      <w:szCs w:val="21"/>
                    </w:rPr>
                    <w:t>900-006-09</w:t>
                  </w:r>
                </w:p>
              </w:tc>
              <w:tc>
                <w:tcPr>
                  <w:tcW w:w="690" w:type="dxa"/>
                  <w:tcBorders>
                    <w:tl2br w:val="nil"/>
                    <w:tr2bl w:val="nil"/>
                  </w:tcBorders>
                  <w:vAlign w:val="center"/>
                </w:tcPr>
                <w:p w14:paraId="7DF20D2A">
                  <w:pPr>
                    <w:pStyle w:val="31"/>
                    <w:rPr>
                      <w:sz w:val="21"/>
                    </w:rPr>
                  </w:pPr>
                  <w:r>
                    <w:rPr>
                      <w:rFonts w:hint="eastAsia"/>
                      <w:sz w:val="21"/>
                    </w:rPr>
                    <w:t>3</w:t>
                  </w:r>
                  <w:r>
                    <w:rPr>
                      <w:sz w:val="21"/>
                    </w:rPr>
                    <w:t>t/a</w:t>
                  </w:r>
                </w:p>
              </w:tc>
              <w:tc>
                <w:tcPr>
                  <w:tcW w:w="900" w:type="dxa"/>
                  <w:vMerge w:val="continue"/>
                  <w:tcBorders>
                    <w:tl2br w:val="nil"/>
                    <w:tr2bl w:val="nil"/>
                  </w:tcBorders>
                  <w:vAlign w:val="center"/>
                </w:tcPr>
                <w:p w14:paraId="0F7929F7">
                  <w:pPr>
                    <w:pStyle w:val="31"/>
                    <w:rPr>
                      <w:sz w:val="21"/>
                    </w:rPr>
                  </w:pPr>
                </w:p>
              </w:tc>
              <w:tc>
                <w:tcPr>
                  <w:tcW w:w="390" w:type="dxa"/>
                  <w:tcBorders>
                    <w:tl2br w:val="nil"/>
                    <w:tr2bl w:val="nil"/>
                  </w:tcBorders>
                  <w:vAlign w:val="center"/>
                </w:tcPr>
                <w:p w14:paraId="2C5C970E">
                  <w:pPr>
                    <w:pStyle w:val="31"/>
                    <w:rPr>
                      <w:sz w:val="21"/>
                    </w:rPr>
                  </w:pPr>
                  <w:r>
                    <w:rPr>
                      <w:rFonts w:hint="eastAsia"/>
                      <w:sz w:val="21"/>
                    </w:rPr>
                    <w:t>固态</w:t>
                  </w:r>
                </w:p>
              </w:tc>
              <w:tc>
                <w:tcPr>
                  <w:tcW w:w="645" w:type="dxa"/>
                  <w:vMerge w:val="continue"/>
                  <w:tcBorders>
                    <w:tl2br w:val="nil"/>
                    <w:tr2bl w:val="nil"/>
                  </w:tcBorders>
                  <w:vAlign w:val="center"/>
                </w:tcPr>
                <w:p w14:paraId="5BD66F88">
                  <w:pPr>
                    <w:pStyle w:val="31"/>
                    <w:rPr>
                      <w:sz w:val="21"/>
                    </w:rPr>
                  </w:pPr>
                </w:p>
              </w:tc>
              <w:tc>
                <w:tcPr>
                  <w:tcW w:w="660" w:type="dxa"/>
                  <w:tcBorders>
                    <w:tl2br w:val="nil"/>
                    <w:tr2bl w:val="nil"/>
                  </w:tcBorders>
                  <w:vAlign w:val="center"/>
                </w:tcPr>
                <w:p w14:paraId="0AD08013">
                  <w:pPr>
                    <w:pStyle w:val="31"/>
                    <w:rPr>
                      <w:sz w:val="21"/>
                    </w:rPr>
                  </w:pPr>
                  <w:r>
                    <w:rPr>
                      <w:rFonts w:hint="eastAsia"/>
                      <w:sz w:val="21"/>
                    </w:rPr>
                    <w:t>T，I</w:t>
                  </w:r>
                </w:p>
              </w:tc>
              <w:tc>
                <w:tcPr>
                  <w:tcW w:w="2542" w:type="dxa"/>
                  <w:tcBorders>
                    <w:tl2br w:val="nil"/>
                    <w:tr2bl w:val="nil"/>
                  </w:tcBorders>
                  <w:vAlign w:val="center"/>
                </w:tcPr>
                <w:p w14:paraId="510B4FA4">
                  <w:pPr>
                    <w:pStyle w:val="31"/>
                    <w:rPr>
                      <w:sz w:val="21"/>
                    </w:rPr>
                  </w:pPr>
                  <w:r>
                    <w:rPr>
                      <w:sz w:val="21"/>
                    </w:rPr>
                    <w:t>采用专用容器密封储存，暂存于危废暂存间内，定期交有资质单位统一处理</w:t>
                  </w:r>
                </w:p>
              </w:tc>
            </w:tr>
            <w:tr w14:paraId="7C692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9" w:type="dxa"/>
                  <w:tcBorders>
                    <w:tl2br w:val="nil"/>
                    <w:tr2bl w:val="nil"/>
                  </w:tcBorders>
                  <w:vAlign w:val="center"/>
                </w:tcPr>
                <w:p w14:paraId="242D95BD">
                  <w:pPr>
                    <w:pStyle w:val="31"/>
                    <w:rPr>
                      <w:color w:val="000000"/>
                      <w:kern w:val="0"/>
                      <w:sz w:val="21"/>
                    </w:rPr>
                  </w:pPr>
                  <w:r>
                    <w:rPr>
                      <w:rFonts w:hint="eastAsia"/>
                      <w:color w:val="000000"/>
                      <w:kern w:val="0"/>
                      <w:sz w:val="21"/>
                    </w:rPr>
                    <w:t>废活性炭</w:t>
                  </w:r>
                </w:p>
              </w:tc>
              <w:tc>
                <w:tcPr>
                  <w:tcW w:w="645" w:type="dxa"/>
                  <w:tcBorders>
                    <w:tl2br w:val="nil"/>
                    <w:tr2bl w:val="nil"/>
                  </w:tcBorders>
                  <w:vAlign w:val="center"/>
                </w:tcPr>
                <w:p w14:paraId="1C0EDCBC">
                  <w:pPr>
                    <w:spacing w:line="240" w:lineRule="auto"/>
                    <w:ind w:firstLine="0" w:firstLineChars="0"/>
                    <w:jc w:val="center"/>
                    <w:rPr>
                      <w:sz w:val="21"/>
                      <w:szCs w:val="21"/>
                    </w:rPr>
                  </w:pPr>
                  <w:r>
                    <w:rPr>
                      <w:sz w:val="21"/>
                      <w:szCs w:val="21"/>
                    </w:rPr>
                    <w:t>HW49</w:t>
                  </w:r>
                </w:p>
              </w:tc>
              <w:tc>
                <w:tcPr>
                  <w:tcW w:w="885" w:type="dxa"/>
                  <w:tcBorders>
                    <w:tl2br w:val="nil"/>
                    <w:tr2bl w:val="nil"/>
                  </w:tcBorders>
                  <w:vAlign w:val="center"/>
                </w:tcPr>
                <w:p w14:paraId="0D4FE3E8">
                  <w:pPr>
                    <w:spacing w:line="240" w:lineRule="auto"/>
                    <w:ind w:firstLine="0" w:firstLineChars="0"/>
                    <w:jc w:val="center"/>
                    <w:rPr>
                      <w:sz w:val="21"/>
                      <w:szCs w:val="21"/>
                    </w:rPr>
                  </w:pPr>
                  <w:r>
                    <w:rPr>
                      <w:sz w:val="21"/>
                      <w:szCs w:val="21"/>
                    </w:rPr>
                    <w:t>900-041-49</w:t>
                  </w:r>
                </w:p>
              </w:tc>
              <w:tc>
                <w:tcPr>
                  <w:tcW w:w="690" w:type="dxa"/>
                  <w:tcBorders>
                    <w:tl2br w:val="nil"/>
                    <w:tr2bl w:val="nil"/>
                  </w:tcBorders>
                  <w:vAlign w:val="center"/>
                </w:tcPr>
                <w:p w14:paraId="2DDCE237">
                  <w:pPr>
                    <w:pStyle w:val="31"/>
                    <w:rPr>
                      <w:sz w:val="21"/>
                    </w:rPr>
                  </w:pPr>
                  <w:r>
                    <w:rPr>
                      <w:rFonts w:hint="eastAsia"/>
                      <w:sz w:val="21"/>
                    </w:rPr>
                    <w:t>0.3</w:t>
                  </w:r>
                  <w:r>
                    <w:rPr>
                      <w:sz w:val="21"/>
                    </w:rPr>
                    <w:t>t/a</w:t>
                  </w:r>
                </w:p>
              </w:tc>
              <w:tc>
                <w:tcPr>
                  <w:tcW w:w="900" w:type="dxa"/>
                  <w:tcBorders>
                    <w:tl2br w:val="nil"/>
                    <w:tr2bl w:val="nil"/>
                  </w:tcBorders>
                  <w:vAlign w:val="center"/>
                </w:tcPr>
                <w:p w14:paraId="4EF49BED">
                  <w:pPr>
                    <w:pStyle w:val="31"/>
                    <w:rPr>
                      <w:sz w:val="21"/>
                    </w:rPr>
                  </w:pPr>
                  <w:r>
                    <w:rPr>
                      <w:rFonts w:hint="eastAsia"/>
                      <w:sz w:val="21"/>
                    </w:rPr>
                    <w:t>活性炭更换</w:t>
                  </w:r>
                </w:p>
              </w:tc>
              <w:tc>
                <w:tcPr>
                  <w:tcW w:w="390" w:type="dxa"/>
                  <w:tcBorders>
                    <w:tl2br w:val="nil"/>
                    <w:tr2bl w:val="nil"/>
                  </w:tcBorders>
                  <w:vAlign w:val="center"/>
                </w:tcPr>
                <w:p w14:paraId="2276252E">
                  <w:pPr>
                    <w:pStyle w:val="31"/>
                    <w:rPr>
                      <w:sz w:val="21"/>
                    </w:rPr>
                  </w:pPr>
                  <w:r>
                    <w:rPr>
                      <w:rFonts w:hint="eastAsia"/>
                      <w:sz w:val="21"/>
                    </w:rPr>
                    <w:t>固态</w:t>
                  </w:r>
                </w:p>
              </w:tc>
              <w:tc>
                <w:tcPr>
                  <w:tcW w:w="645" w:type="dxa"/>
                  <w:tcBorders>
                    <w:tl2br w:val="nil"/>
                    <w:tr2bl w:val="nil"/>
                  </w:tcBorders>
                  <w:vAlign w:val="center"/>
                </w:tcPr>
                <w:p w14:paraId="3845A644">
                  <w:pPr>
                    <w:pStyle w:val="31"/>
                    <w:rPr>
                      <w:sz w:val="21"/>
                    </w:rPr>
                  </w:pPr>
                  <w:r>
                    <w:rPr>
                      <w:rFonts w:hint="eastAsia"/>
                      <w:sz w:val="21"/>
                    </w:rPr>
                    <w:t>有机化合物</w:t>
                  </w:r>
                </w:p>
              </w:tc>
              <w:tc>
                <w:tcPr>
                  <w:tcW w:w="660" w:type="dxa"/>
                  <w:tcBorders>
                    <w:tl2br w:val="nil"/>
                    <w:tr2bl w:val="nil"/>
                  </w:tcBorders>
                  <w:vAlign w:val="center"/>
                </w:tcPr>
                <w:p w14:paraId="631FD8E1">
                  <w:pPr>
                    <w:pStyle w:val="31"/>
                    <w:rPr>
                      <w:sz w:val="21"/>
                    </w:rPr>
                  </w:pPr>
                  <w:r>
                    <w:rPr>
                      <w:rFonts w:hint="eastAsia"/>
                      <w:sz w:val="21"/>
                    </w:rPr>
                    <w:t>T，I</w:t>
                  </w:r>
                </w:p>
              </w:tc>
              <w:tc>
                <w:tcPr>
                  <w:tcW w:w="2542" w:type="dxa"/>
                  <w:tcBorders>
                    <w:tl2br w:val="nil"/>
                    <w:tr2bl w:val="nil"/>
                  </w:tcBorders>
                  <w:vAlign w:val="center"/>
                </w:tcPr>
                <w:p w14:paraId="6D73E091">
                  <w:pPr>
                    <w:pStyle w:val="31"/>
                    <w:rPr>
                      <w:kern w:val="0"/>
                      <w:sz w:val="21"/>
                    </w:rPr>
                  </w:pPr>
                  <w:r>
                    <w:rPr>
                      <w:sz w:val="21"/>
                    </w:rPr>
                    <w:t>采用密封</w:t>
                  </w:r>
                  <w:r>
                    <w:rPr>
                      <w:rFonts w:hint="eastAsia"/>
                      <w:sz w:val="21"/>
                    </w:rPr>
                    <w:t>袋装</w:t>
                  </w:r>
                  <w:r>
                    <w:rPr>
                      <w:sz w:val="21"/>
                    </w:rPr>
                    <w:t>储存，暂存于</w:t>
                  </w:r>
                  <w:r>
                    <w:rPr>
                      <w:rFonts w:hint="eastAsia"/>
                      <w:sz w:val="21"/>
                    </w:rPr>
                    <w:t>原</w:t>
                  </w:r>
                  <w:r>
                    <w:rPr>
                      <w:rFonts w:hint="eastAsia"/>
                      <w:sz w:val="21"/>
                      <w:lang w:eastAsia="zh-CN"/>
                    </w:rPr>
                    <w:t>危废暂存间</w:t>
                  </w:r>
                  <w:r>
                    <w:rPr>
                      <w:sz w:val="21"/>
                    </w:rPr>
                    <w:t>内，定期交有资质单位统一处理</w:t>
                  </w:r>
                </w:p>
              </w:tc>
            </w:tr>
          </w:tbl>
          <w:p w14:paraId="2CE158D1">
            <w:pPr>
              <w:pStyle w:val="13"/>
              <w:spacing w:after="0"/>
              <w:ind w:left="0" w:leftChars="0" w:right="0" w:rightChars="0" w:firstLine="480"/>
            </w:pPr>
            <w:r>
              <w:t>危险废物环境管理要求</w:t>
            </w:r>
          </w:p>
          <w:p w14:paraId="5BAF499A">
            <w:pPr>
              <w:ind w:firstLine="480"/>
            </w:pPr>
            <w:r>
              <w:t>危险废物应按《危险废物贮存污染控制标准》（GB18597-2001）及修改单（环保部公告2013年第36号）、《危险废物收集、贮存、运输技术规范》</w:t>
            </w:r>
            <w:r>
              <w:rPr>
                <w:rFonts w:hint="eastAsia"/>
              </w:rPr>
              <w:t>（</w:t>
            </w:r>
            <w:r>
              <w:t>HJ2025-2012</w:t>
            </w:r>
            <w:r>
              <w:rPr>
                <w:rFonts w:hint="eastAsia"/>
              </w:rPr>
              <w:t>）</w:t>
            </w:r>
            <w:r>
              <w:t>和《河北省环境保护厅办公室关于建设全省危险废物智能监控体系的通知》(冀环办发[2017]11</w:t>
            </w:r>
            <w:r>
              <w:rPr>
                <w:rFonts w:hint="eastAsia"/>
              </w:rPr>
              <w:t>2号</w:t>
            </w:r>
            <w:r>
              <w:t>)、《关于发布&lt;建设项目危险废物环境影响评价指南&gt;的公告》（环境保护部公告2017年第43号）中的相关内容要求进行处理处置。</w:t>
            </w:r>
          </w:p>
          <w:p w14:paraId="4CF5F5DA">
            <w:pPr>
              <w:ind w:firstLine="480"/>
            </w:pPr>
            <w:r>
              <w:t>本项目</w:t>
            </w:r>
            <w:r>
              <w:rPr>
                <w:rFonts w:hint="eastAsia"/>
              </w:rPr>
              <w:t>建成后</w:t>
            </w:r>
            <w:r>
              <w:t>拟采取以下措施：</w:t>
            </w:r>
          </w:p>
          <w:p w14:paraId="7D9D97C0">
            <w:pPr>
              <w:ind w:firstLine="480"/>
            </w:pPr>
            <w:r>
              <w:fldChar w:fldCharType="begin"/>
            </w:r>
            <w:r>
              <w:instrText xml:space="preserve"> = 1 \* GB3 \* MERGEFORMAT </w:instrText>
            </w:r>
            <w:r>
              <w:fldChar w:fldCharType="separate"/>
            </w:r>
            <w:r>
              <w:rPr>
                <w:rFonts w:hint="eastAsia"/>
              </w:rPr>
              <w:t>①</w:t>
            </w:r>
            <w:r>
              <w:fldChar w:fldCharType="end"/>
            </w:r>
            <w:r>
              <w:t>危险废物收集</w:t>
            </w:r>
          </w:p>
          <w:p w14:paraId="1459889A">
            <w:pPr>
              <w:ind w:firstLine="480"/>
              <w:rPr>
                <w:highlight w:val="none"/>
              </w:rPr>
            </w:pPr>
            <w:r>
              <w:t>将</w:t>
            </w:r>
            <w:r>
              <w:rPr>
                <w:rFonts w:ascii="脣脦脤氓" w:hAnsi="脣脦脤氓" w:eastAsia="脣脦脤氓" w:cs="脣脦脤氓"/>
                <w:color w:val="000000"/>
                <w:kern w:val="0"/>
                <w:sz w:val="25"/>
                <w:szCs w:val="25"/>
              </w:rPr>
              <w:t>废润滑油、废液压油、</w:t>
            </w:r>
            <w:r>
              <w:rPr>
                <w:rFonts w:hint="eastAsia" w:ascii="脣脦脤氓" w:hAnsi="脣脦脤氓" w:eastAsia="脣脦脤氓" w:cs="脣脦脤氓"/>
                <w:color w:val="000000"/>
                <w:kern w:val="0"/>
                <w:sz w:val="25"/>
                <w:szCs w:val="25"/>
              </w:rPr>
              <w:t>废</w:t>
            </w:r>
            <w:r>
              <w:rPr>
                <w:rFonts w:hint="eastAsia" w:ascii="脣脦脤氓" w:hAnsi="脣脦脤氓" w:cs="脣脦脤氓"/>
                <w:color w:val="000000"/>
                <w:kern w:val="0"/>
                <w:sz w:val="25"/>
                <w:szCs w:val="25"/>
                <w:lang w:eastAsia="zh-CN"/>
              </w:rPr>
              <w:t>淬火油</w:t>
            </w:r>
            <w:r>
              <w:rPr>
                <w:rFonts w:hint="eastAsia" w:ascii="脣脦脤氓" w:hAnsi="脣脦脤氓" w:eastAsia="脣脦脤氓" w:cs="脣脦脤氓"/>
                <w:color w:val="000000"/>
                <w:kern w:val="0"/>
                <w:sz w:val="25"/>
                <w:szCs w:val="25"/>
              </w:rPr>
              <w:t>、</w:t>
            </w:r>
            <w:r>
              <w:rPr>
                <w:rFonts w:ascii="脣脦脤氓" w:hAnsi="脣脦脤氓" w:eastAsia="脣脦脤氓" w:cs="脣脦脤氓"/>
                <w:color w:val="000000"/>
                <w:kern w:val="0"/>
                <w:sz w:val="25"/>
                <w:szCs w:val="25"/>
              </w:rPr>
              <w:t>废切削液</w:t>
            </w:r>
            <w:r>
              <w:rPr>
                <w:rFonts w:ascii="脣脦脤氓" w:hAnsi="脣脦脤氓" w:eastAsia="脣脦脤氓" w:cs="脣脦脤氓"/>
                <w:color w:val="000000"/>
                <w:kern w:val="0"/>
                <w:sz w:val="25"/>
                <w:szCs w:val="25"/>
                <w:highlight w:val="none"/>
              </w:rPr>
              <w:t>、</w:t>
            </w:r>
            <w:r>
              <w:rPr>
                <w:rFonts w:hint="eastAsia" w:ascii="脣脦脤氓" w:hAnsi="脣脦脤氓" w:cs="脣脦脤氓"/>
                <w:color w:val="000000"/>
                <w:kern w:val="0"/>
                <w:sz w:val="25"/>
                <w:szCs w:val="25"/>
                <w:highlight w:val="none"/>
              </w:rPr>
              <w:t>油污</w:t>
            </w:r>
            <w:r>
              <w:rPr>
                <w:highlight w:val="none"/>
              </w:rPr>
              <w:t>采用桶装密闭收集，容器应达到防渗、防漏的要求</w:t>
            </w:r>
            <w:r>
              <w:rPr>
                <w:rFonts w:hint="eastAsia"/>
                <w:highlight w:val="none"/>
              </w:rPr>
              <w:t>；含油铁屑、含油金属沉淀物经甩干机甩干达到静置无滴漏后打包（压块）暂存于危废暂存间，定期外售钢铁企业作为冶炼原料，甩干过程产生的废液与废润滑油等一并处置；废油桶封口处于打开状态、静置无滴漏且经打包压块后用于金属冶炼；废活性炭密闭袋装收集，</w:t>
            </w:r>
            <w:r>
              <w:rPr>
                <w:highlight w:val="none"/>
              </w:rPr>
              <w:t>应达到防渗、防漏的要求。</w:t>
            </w:r>
          </w:p>
          <w:p w14:paraId="6C2D690F">
            <w:pPr>
              <w:ind w:firstLine="480"/>
              <w:rPr>
                <w:color w:val="0070C0"/>
                <w:highlight w:val="none"/>
              </w:rPr>
            </w:pPr>
            <w:r>
              <w:rPr>
                <w:highlight w:val="none"/>
              </w:rPr>
              <w:fldChar w:fldCharType="begin"/>
            </w:r>
            <w:r>
              <w:rPr>
                <w:highlight w:val="none"/>
              </w:rPr>
              <w:instrText xml:space="preserve"> = 2 \* GB3 \* MERGEFORMAT </w:instrText>
            </w:r>
            <w:r>
              <w:rPr>
                <w:highlight w:val="none"/>
              </w:rPr>
              <w:fldChar w:fldCharType="separate"/>
            </w:r>
            <w:r>
              <w:rPr>
                <w:rFonts w:hint="eastAsia"/>
                <w:highlight w:val="none"/>
              </w:rPr>
              <w:t>②</w:t>
            </w:r>
            <w:r>
              <w:rPr>
                <w:highlight w:val="none"/>
              </w:rPr>
              <w:fldChar w:fldCharType="end"/>
            </w:r>
            <w:r>
              <w:rPr>
                <w:highlight w:val="none"/>
              </w:rPr>
              <w:t>危险废物贮存</w:t>
            </w:r>
          </w:p>
          <w:p w14:paraId="643E7C19">
            <w:pPr>
              <w:adjustRightInd w:val="0"/>
              <w:snapToGrid w:val="0"/>
              <w:ind w:firstLine="480"/>
            </w:pPr>
            <w:r>
              <w:rPr>
                <w:highlight w:val="none"/>
              </w:rPr>
              <w:t>a、本项目</w:t>
            </w:r>
            <w:r>
              <w:rPr>
                <w:rFonts w:hint="eastAsia"/>
                <w:highlight w:val="none"/>
              </w:rPr>
              <w:t>新建</w:t>
            </w:r>
            <w:r>
              <w:rPr>
                <w:rFonts w:hint="eastAsia"/>
                <w:highlight w:val="none"/>
                <w:lang w:val="en-US" w:eastAsia="zh-CN"/>
              </w:rPr>
              <w:t>2座20</w:t>
            </w:r>
            <w:r>
              <w:rPr>
                <w:rFonts w:hint="eastAsia"/>
                <w:highlight w:val="none"/>
              </w:rPr>
              <w:t>m</w:t>
            </w:r>
            <w:r>
              <w:rPr>
                <w:rFonts w:hint="eastAsia"/>
                <w:highlight w:val="none"/>
                <w:vertAlign w:val="superscript"/>
              </w:rPr>
              <w:t>2</w:t>
            </w:r>
            <w:r>
              <w:rPr>
                <w:rFonts w:hint="eastAsia"/>
                <w:highlight w:val="none"/>
              </w:rPr>
              <w:t>的危废暂存间</w:t>
            </w:r>
            <w:r>
              <w:rPr>
                <w:rFonts w:hint="eastAsia"/>
                <w:highlight w:val="none"/>
                <w:lang w:eastAsia="zh-CN"/>
              </w:rPr>
              <w:t>（其中</w:t>
            </w:r>
            <w:r>
              <w:rPr>
                <w:rFonts w:hint="eastAsia"/>
                <w:highlight w:val="none"/>
                <w:lang w:val="en-US" w:eastAsia="zh-CN"/>
              </w:rPr>
              <w:t>1座危废暂存间储存废矿物油，另1座储存其它危废），</w:t>
            </w:r>
            <w:r>
              <w:rPr>
                <w:highlight w:val="none"/>
              </w:rPr>
              <w:t>作为危险废物临时储存场所，地面与裙脚要用坚固、防渗的材料建造，应设计堵截泄漏的裙脚，地面与裙脚所围建的容积不低于</w:t>
            </w:r>
            <w:r>
              <w:t>堵截最大容器的最大储量或总储量的五分之一，禁止将不相容（相互反应）的危险废物在同一容器内混装，不同种类的危险废物在</w:t>
            </w:r>
            <w:r>
              <w:rPr>
                <w:rFonts w:hint="eastAsia"/>
              </w:rPr>
              <w:t>危险废物暂存间</w:t>
            </w:r>
            <w:r>
              <w:t>内分区存放，防渗层为至少1m厚粘土层（渗透系数≤</w:t>
            </w:r>
            <w:r>
              <w:rPr>
                <w:rFonts w:hint="eastAsia"/>
              </w:rPr>
              <w:t>1.0</w:t>
            </w:r>
            <w:r>
              <w:rPr>
                <w:rFonts w:ascii="Arial" w:hAnsi="Arial" w:cs="Arial"/>
              </w:rPr>
              <w:t>×</w:t>
            </w:r>
            <w:r>
              <w:t>10</w:t>
            </w:r>
            <w:r>
              <w:rPr>
                <w:vertAlign w:val="superscript"/>
              </w:rPr>
              <w:t>-7</w:t>
            </w:r>
            <w:r>
              <w:t>cm/s），或2mm厚高密度聚乙烯，或至少2mm厚的其它人工材料，渗透系数≤</w:t>
            </w:r>
            <w:r>
              <w:rPr>
                <w:rFonts w:hint="eastAsia"/>
              </w:rPr>
              <w:t>1.0</w:t>
            </w:r>
            <w:r>
              <w:rPr>
                <w:rFonts w:ascii="Arial" w:hAnsi="Arial" w:cs="Arial"/>
              </w:rPr>
              <w:t>×</w:t>
            </w:r>
            <w:r>
              <w:t>10</w:t>
            </w:r>
            <w:r>
              <w:rPr>
                <w:vertAlign w:val="superscript"/>
              </w:rPr>
              <w:t>-10</w:t>
            </w:r>
            <w:r>
              <w:t>cm/s。</w:t>
            </w:r>
          </w:p>
          <w:p w14:paraId="38739FEA">
            <w:pPr>
              <w:ind w:firstLine="480"/>
            </w:pPr>
            <w:r>
              <w:t>b、盛装危废的容器要符合标准要求，容器应根据危险废物的不同特性而设计，容器应不易破损、变形、老化，并能有效地防止渗透、扩散。装有危险废物的容器必须贴有符合《危险废物贮存污染控制标准》（GB18597-2001）及其修改单标准中所示的标签。</w:t>
            </w:r>
          </w:p>
          <w:p w14:paraId="51BBD9CB">
            <w:pPr>
              <w:ind w:firstLine="480"/>
              <w:rPr>
                <w:color w:val="0070C0"/>
              </w:rPr>
            </w:pPr>
            <w:r>
              <w:t>c、装载液体、半固体危险废物的容器内须留足够空间，容器顶部与液体表面之间保留100mm以上的空间。</w:t>
            </w:r>
          </w:p>
          <w:p w14:paraId="28C26BA5">
            <w:pPr>
              <w:ind w:firstLine="480"/>
            </w:pPr>
            <w:r>
              <w:t>d、盛装危险废物的容器要带盖。</w:t>
            </w:r>
          </w:p>
          <w:p w14:paraId="46896AA0">
            <w:pPr>
              <w:ind w:firstLine="480"/>
            </w:pPr>
            <w:r>
              <w:t>e、危废储存间地面与裙脚要用坚固、防渗的材料建造，建造材料必须与危废相容；地面要硬化、耐腐蚀，且表面无裂隙；储存间内要有安全照明设施和观察窗口。</w:t>
            </w:r>
          </w:p>
          <w:p w14:paraId="11C9A1F4">
            <w:pPr>
              <w:ind w:firstLine="480"/>
            </w:pPr>
            <w:r>
              <w:t>f、危废储存间要防风、防雨、防晒</w:t>
            </w:r>
            <w:r>
              <w:rPr>
                <w:rFonts w:hint="eastAsia"/>
              </w:rPr>
              <w:t>、防渗、防流失</w:t>
            </w:r>
            <w:r>
              <w:t>。</w:t>
            </w:r>
          </w:p>
          <w:p w14:paraId="66A888F3">
            <w:pPr>
              <w:ind w:firstLine="480"/>
            </w:pPr>
            <w:r>
              <w:t>g、危废储存间必须按照《环境保护图形标志固体废物贮存（处置）场》（GB 15562.2-1995）中的规定设立危险废物警示标志。</w:t>
            </w:r>
          </w:p>
          <w:p w14:paraId="0ABC7095">
            <w:pPr>
              <w:ind w:firstLine="480"/>
            </w:pPr>
            <w:r>
              <w:t>h、建立档案制度，对暂存的废物种类、数量、特性、包装容器类别、存放</w:t>
            </w:r>
            <w:r>
              <w:rPr>
                <w:rFonts w:hint="eastAsia"/>
              </w:rPr>
              <w:t>部</w:t>
            </w:r>
            <w:r>
              <w:t>位、存入日期、运出日期等详细记录在案并长期保存。建立定期巡查、维护制度</w:t>
            </w:r>
            <w:r>
              <w:rPr>
                <w:rFonts w:hint="eastAsia"/>
              </w:rPr>
              <w:t>。</w:t>
            </w:r>
          </w:p>
          <w:p w14:paraId="23B85211">
            <w:pPr>
              <w:ind w:firstLine="480"/>
              <w:rPr>
                <w:highlight w:val="none"/>
              </w:rPr>
            </w:pPr>
            <w:r>
              <w:rPr>
                <w:rFonts w:hint="eastAsia"/>
                <w:highlight w:val="none"/>
              </w:rPr>
              <w:t>i、危险废物的产生、运移通道等按照《关于印发全省危险废物智能监控体系数据联网规范的通知》(冀环办字函[2018]203 号)相关要求安装视频监控等设备。</w:t>
            </w:r>
          </w:p>
          <w:p w14:paraId="1FE16C02">
            <w:pPr>
              <w:pStyle w:val="13"/>
              <w:spacing w:after="0"/>
              <w:ind w:left="0" w:leftChars="0" w:right="0" w:rightChars="0" w:firstLine="480"/>
              <w:jc w:val="left"/>
              <w:rPr>
                <w:highlight w:val="none"/>
              </w:rPr>
            </w:pPr>
            <w:r>
              <w:rPr>
                <w:rFonts w:hint="eastAsia"/>
                <w:highlight w:val="none"/>
              </w:rPr>
              <w:t>J、危废暂存间配备称重设备。</w:t>
            </w:r>
          </w:p>
          <w:p w14:paraId="6B0B8FFD">
            <w:pPr>
              <w:ind w:firstLine="480"/>
            </w:pPr>
            <w:r>
              <w:t>本项目</w:t>
            </w:r>
            <w:r>
              <w:rPr>
                <w:rFonts w:hint="eastAsia"/>
              </w:rPr>
              <w:t>建成后</w:t>
            </w:r>
            <w:r>
              <w:t>危险废物贮存场所基本情况见下表。</w:t>
            </w:r>
          </w:p>
          <w:p w14:paraId="712FF7D1">
            <w:pPr>
              <w:pStyle w:val="36"/>
            </w:pPr>
            <w:r>
              <w:rPr>
                <w:sz w:val="21"/>
                <w:szCs w:val="21"/>
              </w:rPr>
              <w:t>表</w:t>
            </w:r>
            <w:r>
              <w:rPr>
                <w:rFonts w:hint="eastAsia"/>
                <w:sz w:val="21"/>
                <w:szCs w:val="21"/>
              </w:rPr>
              <w:t>4-18</w:t>
            </w:r>
            <w:r>
              <w:rPr>
                <w:sz w:val="21"/>
                <w:szCs w:val="21"/>
              </w:rPr>
              <w:t xml:space="preserve">  危险废物贮存场所基本情况表</w:t>
            </w:r>
          </w:p>
          <w:tbl>
            <w:tblPr>
              <w:tblStyle w:val="22"/>
              <w:tblW w:w="8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4"/>
              <w:gridCol w:w="645"/>
              <w:gridCol w:w="1524"/>
              <w:gridCol w:w="779"/>
              <w:gridCol w:w="1282"/>
              <w:gridCol w:w="600"/>
              <w:gridCol w:w="627"/>
              <w:gridCol w:w="995"/>
              <w:gridCol w:w="660"/>
              <w:gridCol w:w="721"/>
            </w:tblGrid>
            <w:tr w14:paraId="172A0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494" w:type="dxa"/>
                  <w:tcBorders>
                    <w:tl2br w:val="nil"/>
                    <w:tr2bl w:val="nil"/>
                  </w:tcBorders>
                  <w:vAlign w:val="center"/>
                </w:tcPr>
                <w:p w14:paraId="52E6426E">
                  <w:pPr>
                    <w:pStyle w:val="31"/>
                    <w:rPr>
                      <w:sz w:val="21"/>
                    </w:rPr>
                  </w:pPr>
                  <w:r>
                    <w:rPr>
                      <w:sz w:val="21"/>
                    </w:rPr>
                    <w:t>序号</w:t>
                  </w:r>
                </w:p>
              </w:tc>
              <w:tc>
                <w:tcPr>
                  <w:tcW w:w="645" w:type="dxa"/>
                  <w:tcBorders>
                    <w:tl2br w:val="nil"/>
                    <w:tr2bl w:val="nil"/>
                  </w:tcBorders>
                  <w:vAlign w:val="center"/>
                </w:tcPr>
                <w:p w14:paraId="757BCCAC">
                  <w:pPr>
                    <w:pStyle w:val="31"/>
                    <w:rPr>
                      <w:sz w:val="21"/>
                    </w:rPr>
                  </w:pPr>
                  <w:r>
                    <w:rPr>
                      <w:sz w:val="21"/>
                    </w:rPr>
                    <w:t>贮存场所名称</w:t>
                  </w:r>
                </w:p>
              </w:tc>
              <w:tc>
                <w:tcPr>
                  <w:tcW w:w="1524" w:type="dxa"/>
                  <w:tcBorders>
                    <w:tl2br w:val="nil"/>
                    <w:tr2bl w:val="nil"/>
                  </w:tcBorders>
                  <w:vAlign w:val="center"/>
                </w:tcPr>
                <w:p w14:paraId="5313D943">
                  <w:pPr>
                    <w:pStyle w:val="31"/>
                    <w:rPr>
                      <w:sz w:val="21"/>
                    </w:rPr>
                  </w:pPr>
                  <w:r>
                    <w:rPr>
                      <w:sz w:val="21"/>
                    </w:rPr>
                    <w:t>危险废物名称</w:t>
                  </w:r>
                </w:p>
              </w:tc>
              <w:tc>
                <w:tcPr>
                  <w:tcW w:w="779" w:type="dxa"/>
                  <w:tcBorders>
                    <w:tl2br w:val="nil"/>
                    <w:tr2bl w:val="nil"/>
                  </w:tcBorders>
                  <w:vAlign w:val="center"/>
                </w:tcPr>
                <w:p w14:paraId="5FB5A1B1">
                  <w:pPr>
                    <w:pStyle w:val="31"/>
                    <w:rPr>
                      <w:sz w:val="21"/>
                    </w:rPr>
                  </w:pPr>
                  <w:r>
                    <w:rPr>
                      <w:sz w:val="21"/>
                    </w:rPr>
                    <w:t>危险废物类别</w:t>
                  </w:r>
                </w:p>
              </w:tc>
              <w:tc>
                <w:tcPr>
                  <w:tcW w:w="1282" w:type="dxa"/>
                  <w:tcBorders>
                    <w:tl2br w:val="nil"/>
                    <w:tr2bl w:val="nil"/>
                  </w:tcBorders>
                  <w:vAlign w:val="center"/>
                </w:tcPr>
                <w:p w14:paraId="1BA731A1">
                  <w:pPr>
                    <w:pStyle w:val="31"/>
                    <w:rPr>
                      <w:sz w:val="21"/>
                    </w:rPr>
                  </w:pPr>
                  <w:r>
                    <w:rPr>
                      <w:sz w:val="21"/>
                    </w:rPr>
                    <w:t>危险废物代码</w:t>
                  </w:r>
                </w:p>
              </w:tc>
              <w:tc>
                <w:tcPr>
                  <w:tcW w:w="600" w:type="dxa"/>
                  <w:tcBorders>
                    <w:tl2br w:val="nil"/>
                    <w:tr2bl w:val="nil"/>
                  </w:tcBorders>
                  <w:vAlign w:val="center"/>
                </w:tcPr>
                <w:p w14:paraId="3CED5661">
                  <w:pPr>
                    <w:pStyle w:val="31"/>
                    <w:rPr>
                      <w:sz w:val="21"/>
                    </w:rPr>
                  </w:pPr>
                  <w:r>
                    <w:rPr>
                      <w:sz w:val="21"/>
                    </w:rPr>
                    <w:t>位置</w:t>
                  </w:r>
                </w:p>
              </w:tc>
              <w:tc>
                <w:tcPr>
                  <w:tcW w:w="627" w:type="dxa"/>
                  <w:tcBorders>
                    <w:tl2br w:val="nil"/>
                    <w:tr2bl w:val="nil"/>
                  </w:tcBorders>
                  <w:vAlign w:val="center"/>
                </w:tcPr>
                <w:p w14:paraId="12FB56C0">
                  <w:pPr>
                    <w:pStyle w:val="31"/>
                    <w:rPr>
                      <w:sz w:val="21"/>
                    </w:rPr>
                  </w:pPr>
                  <w:r>
                    <w:rPr>
                      <w:sz w:val="21"/>
                    </w:rPr>
                    <w:t>占地面积</w:t>
                  </w:r>
                </w:p>
              </w:tc>
              <w:tc>
                <w:tcPr>
                  <w:tcW w:w="995" w:type="dxa"/>
                  <w:tcBorders>
                    <w:tl2br w:val="nil"/>
                    <w:tr2bl w:val="nil"/>
                  </w:tcBorders>
                  <w:vAlign w:val="center"/>
                </w:tcPr>
                <w:p w14:paraId="0F559F6F">
                  <w:pPr>
                    <w:pStyle w:val="31"/>
                    <w:rPr>
                      <w:sz w:val="21"/>
                    </w:rPr>
                  </w:pPr>
                  <w:r>
                    <w:rPr>
                      <w:sz w:val="21"/>
                    </w:rPr>
                    <w:t>贮存方式</w:t>
                  </w:r>
                </w:p>
              </w:tc>
              <w:tc>
                <w:tcPr>
                  <w:tcW w:w="660" w:type="dxa"/>
                  <w:tcBorders>
                    <w:tl2br w:val="nil"/>
                    <w:tr2bl w:val="nil"/>
                  </w:tcBorders>
                  <w:vAlign w:val="center"/>
                </w:tcPr>
                <w:p w14:paraId="1389CDEC">
                  <w:pPr>
                    <w:pStyle w:val="31"/>
                    <w:rPr>
                      <w:sz w:val="21"/>
                    </w:rPr>
                  </w:pPr>
                  <w:r>
                    <w:rPr>
                      <w:sz w:val="21"/>
                    </w:rPr>
                    <w:t>贮存</w:t>
                  </w:r>
                </w:p>
                <w:p w14:paraId="593C9108">
                  <w:pPr>
                    <w:pStyle w:val="31"/>
                    <w:rPr>
                      <w:sz w:val="21"/>
                    </w:rPr>
                  </w:pPr>
                  <w:r>
                    <w:rPr>
                      <w:sz w:val="21"/>
                    </w:rPr>
                    <w:t>能力</w:t>
                  </w:r>
                </w:p>
              </w:tc>
              <w:tc>
                <w:tcPr>
                  <w:tcW w:w="721" w:type="dxa"/>
                  <w:tcBorders>
                    <w:tl2br w:val="nil"/>
                    <w:tr2bl w:val="nil"/>
                  </w:tcBorders>
                  <w:vAlign w:val="center"/>
                </w:tcPr>
                <w:p w14:paraId="1B19D356">
                  <w:pPr>
                    <w:pStyle w:val="31"/>
                    <w:rPr>
                      <w:sz w:val="21"/>
                    </w:rPr>
                  </w:pPr>
                  <w:r>
                    <w:rPr>
                      <w:sz w:val="21"/>
                    </w:rPr>
                    <w:t>贮存</w:t>
                  </w:r>
                </w:p>
                <w:p w14:paraId="36643EED">
                  <w:pPr>
                    <w:pStyle w:val="31"/>
                    <w:rPr>
                      <w:sz w:val="21"/>
                    </w:rPr>
                  </w:pPr>
                  <w:r>
                    <w:rPr>
                      <w:sz w:val="21"/>
                    </w:rPr>
                    <w:t>周期</w:t>
                  </w:r>
                </w:p>
              </w:tc>
            </w:tr>
            <w:tr w14:paraId="56D2E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2C10F3E2">
                  <w:pPr>
                    <w:pStyle w:val="31"/>
                    <w:rPr>
                      <w:sz w:val="21"/>
                    </w:rPr>
                  </w:pPr>
                  <w:r>
                    <w:rPr>
                      <w:rFonts w:hint="eastAsia"/>
                      <w:sz w:val="21"/>
                    </w:rPr>
                    <w:t>1</w:t>
                  </w:r>
                </w:p>
              </w:tc>
              <w:tc>
                <w:tcPr>
                  <w:tcW w:w="645" w:type="dxa"/>
                  <w:vMerge w:val="restart"/>
                  <w:tcBorders>
                    <w:tl2br w:val="nil"/>
                    <w:tr2bl w:val="nil"/>
                  </w:tcBorders>
                  <w:vAlign w:val="center"/>
                </w:tcPr>
                <w:p w14:paraId="51F0DA63">
                  <w:pPr>
                    <w:pStyle w:val="31"/>
                    <w:rPr>
                      <w:sz w:val="21"/>
                    </w:rPr>
                  </w:pPr>
                  <w:r>
                    <w:rPr>
                      <w:rFonts w:hint="eastAsia"/>
                      <w:sz w:val="21"/>
                    </w:rPr>
                    <w:t>危废暂存间</w:t>
                  </w:r>
                </w:p>
              </w:tc>
              <w:tc>
                <w:tcPr>
                  <w:tcW w:w="1524" w:type="dxa"/>
                  <w:tcBorders>
                    <w:tl2br w:val="nil"/>
                    <w:tr2bl w:val="nil"/>
                  </w:tcBorders>
                  <w:vAlign w:val="center"/>
                </w:tcPr>
                <w:p w14:paraId="72A2A5EF">
                  <w:pPr>
                    <w:pStyle w:val="31"/>
                    <w:rPr>
                      <w:sz w:val="21"/>
                    </w:rPr>
                  </w:pPr>
                  <w:r>
                    <w:rPr>
                      <w:sz w:val="21"/>
                    </w:rPr>
                    <w:t>废</w:t>
                  </w:r>
                  <w:r>
                    <w:rPr>
                      <w:rFonts w:hint="eastAsia"/>
                      <w:sz w:val="21"/>
                    </w:rPr>
                    <w:t>润滑油</w:t>
                  </w:r>
                </w:p>
              </w:tc>
              <w:tc>
                <w:tcPr>
                  <w:tcW w:w="779" w:type="dxa"/>
                  <w:tcBorders>
                    <w:tl2br w:val="nil"/>
                    <w:tr2bl w:val="nil"/>
                  </w:tcBorders>
                  <w:vAlign w:val="center"/>
                </w:tcPr>
                <w:p w14:paraId="74C609F9">
                  <w:pPr>
                    <w:pStyle w:val="31"/>
                    <w:rPr>
                      <w:sz w:val="21"/>
                    </w:rPr>
                  </w:pPr>
                  <w:r>
                    <w:rPr>
                      <w:sz w:val="21"/>
                    </w:rPr>
                    <w:t>HW08</w:t>
                  </w:r>
                </w:p>
              </w:tc>
              <w:tc>
                <w:tcPr>
                  <w:tcW w:w="1282" w:type="dxa"/>
                  <w:tcBorders>
                    <w:tl2br w:val="nil"/>
                    <w:tr2bl w:val="nil"/>
                  </w:tcBorders>
                  <w:vAlign w:val="center"/>
                </w:tcPr>
                <w:p w14:paraId="4D1CC022">
                  <w:pPr>
                    <w:pStyle w:val="31"/>
                    <w:rPr>
                      <w:sz w:val="21"/>
                    </w:rPr>
                  </w:pPr>
                  <w:r>
                    <w:rPr>
                      <w:rFonts w:hint="eastAsia"/>
                      <w:sz w:val="21"/>
                    </w:rPr>
                    <w:t>900-214-08</w:t>
                  </w:r>
                </w:p>
              </w:tc>
              <w:tc>
                <w:tcPr>
                  <w:tcW w:w="600" w:type="dxa"/>
                  <w:vMerge w:val="restart"/>
                  <w:tcBorders>
                    <w:tl2br w:val="nil"/>
                    <w:tr2bl w:val="nil"/>
                  </w:tcBorders>
                  <w:vAlign w:val="center"/>
                </w:tcPr>
                <w:p w14:paraId="4683AC91">
                  <w:pPr>
                    <w:pStyle w:val="31"/>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2#厂房内西侧</w:t>
                  </w:r>
                </w:p>
              </w:tc>
              <w:tc>
                <w:tcPr>
                  <w:tcW w:w="627" w:type="dxa"/>
                  <w:vMerge w:val="restart"/>
                  <w:tcBorders>
                    <w:tl2br w:val="nil"/>
                    <w:tr2bl w:val="nil"/>
                  </w:tcBorders>
                  <w:vAlign w:val="center"/>
                </w:tcPr>
                <w:p w14:paraId="71CE2B2B">
                  <w:pPr>
                    <w:pStyle w:val="31"/>
                    <w:rPr>
                      <w:sz w:val="21"/>
                    </w:rPr>
                  </w:pPr>
                  <w:r>
                    <w:rPr>
                      <w:rFonts w:hint="eastAsia"/>
                      <w:sz w:val="21"/>
                      <w:lang w:val="en-US" w:eastAsia="zh-CN"/>
                    </w:rPr>
                    <w:t>40</w:t>
                  </w:r>
                  <w:r>
                    <w:rPr>
                      <w:rFonts w:hint="eastAsia"/>
                      <w:sz w:val="21"/>
                    </w:rPr>
                    <w:t>m</w:t>
                  </w:r>
                  <w:r>
                    <w:rPr>
                      <w:rFonts w:hint="eastAsia"/>
                      <w:sz w:val="21"/>
                      <w:vertAlign w:val="superscript"/>
                    </w:rPr>
                    <w:t>2</w:t>
                  </w:r>
                </w:p>
              </w:tc>
              <w:tc>
                <w:tcPr>
                  <w:tcW w:w="995" w:type="dxa"/>
                  <w:tcBorders>
                    <w:tl2br w:val="nil"/>
                    <w:tr2bl w:val="nil"/>
                  </w:tcBorders>
                  <w:vAlign w:val="center"/>
                </w:tcPr>
                <w:p w14:paraId="2FD32459">
                  <w:pPr>
                    <w:pStyle w:val="31"/>
                    <w:rPr>
                      <w:sz w:val="21"/>
                    </w:rPr>
                  </w:pPr>
                  <w:r>
                    <w:rPr>
                      <w:rFonts w:hint="eastAsia"/>
                      <w:sz w:val="21"/>
                    </w:rPr>
                    <w:t>密闭桶装</w:t>
                  </w:r>
                </w:p>
              </w:tc>
              <w:tc>
                <w:tcPr>
                  <w:tcW w:w="660" w:type="dxa"/>
                  <w:vMerge w:val="restart"/>
                  <w:tcBorders>
                    <w:tl2br w:val="nil"/>
                    <w:tr2bl w:val="nil"/>
                  </w:tcBorders>
                  <w:vAlign w:val="center"/>
                </w:tcPr>
                <w:p w14:paraId="49FD4887">
                  <w:pPr>
                    <w:pStyle w:val="31"/>
                    <w:rPr>
                      <w:sz w:val="21"/>
                    </w:rPr>
                  </w:pPr>
                  <w:r>
                    <w:rPr>
                      <w:rFonts w:hint="eastAsia"/>
                      <w:sz w:val="21"/>
                    </w:rPr>
                    <w:t>30t</w:t>
                  </w:r>
                </w:p>
              </w:tc>
              <w:tc>
                <w:tcPr>
                  <w:tcW w:w="721" w:type="dxa"/>
                  <w:tcBorders>
                    <w:tl2br w:val="nil"/>
                    <w:tr2bl w:val="nil"/>
                  </w:tcBorders>
                  <w:vAlign w:val="center"/>
                </w:tcPr>
                <w:p w14:paraId="7C673B31">
                  <w:pPr>
                    <w:pStyle w:val="31"/>
                    <w:rPr>
                      <w:sz w:val="21"/>
                    </w:rPr>
                  </w:pPr>
                  <w:r>
                    <w:rPr>
                      <w:rFonts w:hint="eastAsia"/>
                      <w:sz w:val="21"/>
                    </w:rPr>
                    <w:t>半年</w:t>
                  </w:r>
                </w:p>
              </w:tc>
            </w:tr>
            <w:tr w14:paraId="41A9C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37E9875A">
                  <w:pPr>
                    <w:pStyle w:val="31"/>
                    <w:rPr>
                      <w:sz w:val="21"/>
                    </w:rPr>
                  </w:pPr>
                  <w:r>
                    <w:rPr>
                      <w:rFonts w:hint="eastAsia"/>
                      <w:sz w:val="21"/>
                    </w:rPr>
                    <w:t>2</w:t>
                  </w:r>
                </w:p>
              </w:tc>
              <w:tc>
                <w:tcPr>
                  <w:tcW w:w="645" w:type="dxa"/>
                  <w:vMerge w:val="continue"/>
                  <w:tcBorders>
                    <w:tl2br w:val="nil"/>
                    <w:tr2bl w:val="nil"/>
                  </w:tcBorders>
                  <w:vAlign w:val="center"/>
                </w:tcPr>
                <w:p w14:paraId="78897C96">
                  <w:pPr>
                    <w:pStyle w:val="31"/>
                    <w:rPr>
                      <w:sz w:val="21"/>
                    </w:rPr>
                  </w:pPr>
                </w:p>
              </w:tc>
              <w:tc>
                <w:tcPr>
                  <w:tcW w:w="1524" w:type="dxa"/>
                  <w:tcBorders>
                    <w:tl2br w:val="nil"/>
                    <w:tr2bl w:val="nil"/>
                  </w:tcBorders>
                  <w:vAlign w:val="center"/>
                </w:tcPr>
                <w:p w14:paraId="292151EB">
                  <w:pPr>
                    <w:pStyle w:val="31"/>
                    <w:rPr>
                      <w:sz w:val="21"/>
                    </w:rPr>
                  </w:pPr>
                  <w:r>
                    <w:rPr>
                      <w:sz w:val="21"/>
                    </w:rPr>
                    <w:t>废油桶</w:t>
                  </w:r>
                </w:p>
              </w:tc>
              <w:tc>
                <w:tcPr>
                  <w:tcW w:w="779" w:type="dxa"/>
                  <w:tcBorders>
                    <w:tl2br w:val="nil"/>
                    <w:tr2bl w:val="nil"/>
                  </w:tcBorders>
                  <w:vAlign w:val="center"/>
                </w:tcPr>
                <w:p w14:paraId="5821476B">
                  <w:pPr>
                    <w:pStyle w:val="31"/>
                    <w:rPr>
                      <w:sz w:val="21"/>
                    </w:rPr>
                  </w:pPr>
                  <w:r>
                    <w:rPr>
                      <w:sz w:val="21"/>
                    </w:rPr>
                    <w:t>HW</w:t>
                  </w:r>
                  <w:r>
                    <w:rPr>
                      <w:rFonts w:hint="eastAsia"/>
                      <w:sz w:val="21"/>
                    </w:rPr>
                    <w:t>08</w:t>
                  </w:r>
                </w:p>
              </w:tc>
              <w:tc>
                <w:tcPr>
                  <w:tcW w:w="1282" w:type="dxa"/>
                  <w:tcBorders>
                    <w:tl2br w:val="nil"/>
                    <w:tr2bl w:val="nil"/>
                  </w:tcBorders>
                  <w:vAlign w:val="center"/>
                </w:tcPr>
                <w:p w14:paraId="4CCA2FBD">
                  <w:pPr>
                    <w:pStyle w:val="31"/>
                    <w:rPr>
                      <w:sz w:val="21"/>
                    </w:rPr>
                  </w:pPr>
                  <w:r>
                    <w:rPr>
                      <w:sz w:val="21"/>
                    </w:rPr>
                    <w:t>900-2</w:t>
                  </w:r>
                  <w:r>
                    <w:rPr>
                      <w:rFonts w:hint="eastAsia"/>
                      <w:sz w:val="21"/>
                    </w:rPr>
                    <w:t>49</w:t>
                  </w:r>
                  <w:r>
                    <w:rPr>
                      <w:sz w:val="21"/>
                    </w:rPr>
                    <w:t>-08</w:t>
                  </w:r>
                </w:p>
              </w:tc>
              <w:tc>
                <w:tcPr>
                  <w:tcW w:w="600" w:type="dxa"/>
                  <w:vMerge w:val="continue"/>
                  <w:tcBorders>
                    <w:tl2br w:val="nil"/>
                    <w:tr2bl w:val="nil"/>
                  </w:tcBorders>
                  <w:vAlign w:val="center"/>
                </w:tcPr>
                <w:p w14:paraId="2C8989FB">
                  <w:pPr>
                    <w:pStyle w:val="31"/>
                    <w:rPr>
                      <w:sz w:val="21"/>
                    </w:rPr>
                  </w:pPr>
                </w:p>
              </w:tc>
              <w:tc>
                <w:tcPr>
                  <w:tcW w:w="627" w:type="dxa"/>
                  <w:vMerge w:val="continue"/>
                  <w:tcBorders>
                    <w:tl2br w:val="nil"/>
                    <w:tr2bl w:val="nil"/>
                  </w:tcBorders>
                  <w:vAlign w:val="center"/>
                </w:tcPr>
                <w:p w14:paraId="373F4067">
                  <w:pPr>
                    <w:pStyle w:val="31"/>
                    <w:rPr>
                      <w:sz w:val="21"/>
                    </w:rPr>
                  </w:pPr>
                </w:p>
              </w:tc>
              <w:tc>
                <w:tcPr>
                  <w:tcW w:w="995" w:type="dxa"/>
                  <w:tcBorders>
                    <w:tl2br w:val="nil"/>
                    <w:tr2bl w:val="nil"/>
                  </w:tcBorders>
                  <w:vAlign w:val="center"/>
                </w:tcPr>
                <w:p w14:paraId="73F78878">
                  <w:pPr>
                    <w:spacing w:line="240" w:lineRule="auto"/>
                    <w:ind w:firstLine="0" w:firstLineChars="0"/>
                    <w:jc w:val="center"/>
                    <w:rPr>
                      <w:sz w:val="21"/>
                      <w:szCs w:val="21"/>
                    </w:rPr>
                  </w:pPr>
                  <w:r>
                    <w:rPr>
                      <w:rFonts w:hint="eastAsia"/>
                      <w:sz w:val="21"/>
                      <w:szCs w:val="21"/>
                    </w:rPr>
                    <w:t>密闭桶装</w:t>
                  </w:r>
                </w:p>
              </w:tc>
              <w:tc>
                <w:tcPr>
                  <w:tcW w:w="660" w:type="dxa"/>
                  <w:vMerge w:val="continue"/>
                  <w:tcBorders>
                    <w:tl2br w:val="nil"/>
                    <w:tr2bl w:val="nil"/>
                  </w:tcBorders>
                  <w:vAlign w:val="center"/>
                </w:tcPr>
                <w:p w14:paraId="5764C082">
                  <w:pPr>
                    <w:pStyle w:val="31"/>
                    <w:rPr>
                      <w:sz w:val="21"/>
                    </w:rPr>
                  </w:pPr>
                </w:p>
              </w:tc>
              <w:tc>
                <w:tcPr>
                  <w:tcW w:w="721" w:type="dxa"/>
                  <w:tcBorders>
                    <w:tl2br w:val="nil"/>
                    <w:tr2bl w:val="nil"/>
                  </w:tcBorders>
                  <w:vAlign w:val="center"/>
                </w:tcPr>
                <w:p w14:paraId="7CA6EDDC">
                  <w:pPr>
                    <w:pStyle w:val="31"/>
                    <w:rPr>
                      <w:sz w:val="21"/>
                    </w:rPr>
                  </w:pPr>
                  <w:r>
                    <w:rPr>
                      <w:rFonts w:hint="eastAsia"/>
                      <w:sz w:val="21"/>
                    </w:rPr>
                    <w:t>半年</w:t>
                  </w:r>
                </w:p>
              </w:tc>
            </w:tr>
            <w:tr w14:paraId="09A5D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13E20EE5">
                  <w:pPr>
                    <w:pStyle w:val="31"/>
                    <w:rPr>
                      <w:sz w:val="21"/>
                    </w:rPr>
                  </w:pPr>
                  <w:r>
                    <w:rPr>
                      <w:rFonts w:hint="eastAsia"/>
                      <w:sz w:val="21"/>
                    </w:rPr>
                    <w:t>3</w:t>
                  </w:r>
                </w:p>
              </w:tc>
              <w:tc>
                <w:tcPr>
                  <w:tcW w:w="645" w:type="dxa"/>
                  <w:vMerge w:val="continue"/>
                  <w:tcBorders>
                    <w:tl2br w:val="nil"/>
                    <w:tr2bl w:val="nil"/>
                  </w:tcBorders>
                  <w:vAlign w:val="center"/>
                </w:tcPr>
                <w:p w14:paraId="276FD80E">
                  <w:pPr>
                    <w:pStyle w:val="31"/>
                    <w:rPr>
                      <w:sz w:val="21"/>
                    </w:rPr>
                  </w:pPr>
                </w:p>
              </w:tc>
              <w:tc>
                <w:tcPr>
                  <w:tcW w:w="1524" w:type="dxa"/>
                  <w:tcBorders>
                    <w:tl2br w:val="nil"/>
                    <w:tr2bl w:val="nil"/>
                  </w:tcBorders>
                  <w:vAlign w:val="center"/>
                </w:tcPr>
                <w:p w14:paraId="626450A5">
                  <w:pPr>
                    <w:pStyle w:val="31"/>
                    <w:rPr>
                      <w:sz w:val="21"/>
                    </w:rPr>
                  </w:pPr>
                  <w:r>
                    <w:rPr>
                      <w:rFonts w:hint="eastAsia"/>
                      <w:color w:val="000000"/>
                      <w:kern w:val="0"/>
                      <w:sz w:val="21"/>
                    </w:rPr>
                    <w:t>废液压油</w:t>
                  </w:r>
                </w:p>
              </w:tc>
              <w:tc>
                <w:tcPr>
                  <w:tcW w:w="779" w:type="dxa"/>
                  <w:tcBorders>
                    <w:tl2br w:val="nil"/>
                    <w:tr2bl w:val="nil"/>
                  </w:tcBorders>
                  <w:vAlign w:val="center"/>
                </w:tcPr>
                <w:p w14:paraId="1A72F32F">
                  <w:pPr>
                    <w:pStyle w:val="31"/>
                    <w:rPr>
                      <w:sz w:val="21"/>
                    </w:rPr>
                  </w:pPr>
                  <w:r>
                    <w:rPr>
                      <w:sz w:val="21"/>
                    </w:rPr>
                    <w:t>HW</w:t>
                  </w:r>
                  <w:r>
                    <w:rPr>
                      <w:rFonts w:hint="eastAsia"/>
                      <w:sz w:val="21"/>
                    </w:rPr>
                    <w:t>08</w:t>
                  </w:r>
                </w:p>
              </w:tc>
              <w:tc>
                <w:tcPr>
                  <w:tcW w:w="1282" w:type="dxa"/>
                  <w:tcBorders>
                    <w:tl2br w:val="nil"/>
                    <w:tr2bl w:val="nil"/>
                  </w:tcBorders>
                  <w:vAlign w:val="center"/>
                </w:tcPr>
                <w:p w14:paraId="661B0FB2">
                  <w:pPr>
                    <w:pStyle w:val="31"/>
                    <w:rPr>
                      <w:sz w:val="21"/>
                    </w:rPr>
                  </w:pPr>
                  <w:r>
                    <w:rPr>
                      <w:rFonts w:hint="eastAsia"/>
                      <w:sz w:val="21"/>
                    </w:rPr>
                    <w:t>900-218-08</w:t>
                  </w:r>
                </w:p>
              </w:tc>
              <w:tc>
                <w:tcPr>
                  <w:tcW w:w="600" w:type="dxa"/>
                  <w:vMerge w:val="continue"/>
                  <w:tcBorders>
                    <w:tl2br w:val="nil"/>
                    <w:tr2bl w:val="nil"/>
                  </w:tcBorders>
                  <w:vAlign w:val="center"/>
                </w:tcPr>
                <w:p w14:paraId="1547636E">
                  <w:pPr>
                    <w:pStyle w:val="31"/>
                    <w:rPr>
                      <w:sz w:val="21"/>
                    </w:rPr>
                  </w:pPr>
                </w:p>
              </w:tc>
              <w:tc>
                <w:tcPr>
                  <w:tcW w:w="627" w:type="dxa"/>
                  <w:vMerge w:val="continue"/>
                  <w:tcBorders>
                    <w:tl2br w:val="nil"/>
                    <w:tr2bl w:val="nil"/>
                  </w:tcBorders>
                  <w:vAlign w:val="center"/>
                </w:tcPr>
                <w:p w14:paraId="14A00643">
                  <w:pPr>
                    <w:pStyle w:val="31"/>
                    <w:rPr>
                      <w:sz w:val="21"/>
                    </w:rPr>
                  </w:pPr>
                </w:p>
              </w:tc>
              <w:tc>
                <w:tcPr>
                  <w:tcW w:w="995" w:type="dxa"/>
                  <w:tcBorders>
                    <w:tl2br w:val="nil"/>
                    <w:tr2bl w:val="nil"/>
                  </w:tcBorders>
                  <w:vAlign w:val="center"/>
                </w:tcPr>
                <w:p w14:paraId="01D78B6A">
                  <w:pPr>
                    <w:spacing w:line="240" w:lineRule="auto"/>
                    <w:ind w:firstLine="0" w:firstLineChars="0"/>
                    <w:jc w:val="center"/>
                    <w:rPr>
                      <w:sz w:val="21"/>
                      <w:szCs w:val="21"/>
                    </w:rPr>
                  </w:pPr>
                  <w:r>
                    <w:rPr>
                      <w:rFonts w:hint="eastAsia"/>
                      <w:sz w:val="21"/>
                      <w:szCs w:val="21"/>
                    </w:rPr>
                    <w:t>密闭桶装</w:t>
                  </w:r>
                </w:p>
              </w:tc>
              <w:tc>
                <w:tcPr>
                  <w:tcW w:w="660" w:type="dxa"/>
                  <w:vMerge w:val="continue"/>
                  <w:tcBorders>
                    <w:tl2br w:val="nil"/>
                    <w:tr2bl w:val="nil"/>
                  </w:tcBorders>
                  <w:vAlign w:val="center"/>
                </w:tcPr>
                <w:p w14:paraId="30935DF7">
                  <w:pPr>
                    <w:pStyle w:val="31"/>
                    <w:rPr>
                      <w:sz w:val="21"/>
                    </w:rPr>
                  </w:pPr>
                </w:p>
              </w:tc>
              <w:tc>
                <w:tcPr>
                  <w:tcW w:w="721" w:type="dxa"/>
                  <w:tcBorders>
                    <w:tl2br w:val="nil"/>
                    <w:tr2bl w:val="nil"/>
                  </w:tcBorders>
                  <w:vAlign w:val="center"/>
                </w:tcPr>
                <w:p w14:paraId="3DB0D80F">
                  <w:pPr>
                    <w:pStyle w:val="31"/>
                    <w:rPr>
                      <w:sz w:val="21"/>
                    </w:rPr>
                  </w:pPr>
                  <w:r>
                    <w:rPr>
                      <w:rFonts w:hint="eastAsia"/>
                      <w:sz w:val="21"/>
                    </w:rPr>
                    <w:t>半年</w:t>
                  </w:r>
                </w:p>
              </w:tc>
            </w:tr>
            <w:tr w14:paraId="62A71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40B8A654">
                  <w:pPr>
                    <w:pStyle w:val="31"/>
                    <w:rPr>
                      <w:sz w:val="21"/>
                    </w:rPr>
                  </w:pPr>
                  <w:r>
                    <w:rPr>
                      <w:rFonts w:hint="eastAsia"/>
                      <w:sz w:val="21"/>
                    </w:rPr>
                    <w:t>4</w:t>
                  </w:r>
                </w:p>
              </w:tc>
              <w:tc>
                <w:tcPr>
                  <w:tcW w:w="645" w:type="dxa"/>
                  <w:vMerge w:val="continue"/>
                  <w:tcBorders>
                    <w:tl2br w:val="nil"/>
                    <w:tr2bl w:val="nil"/>
                  </w:tcBorders>
                  <w:vAlign w:val="center"/>
                </w:tcPr>
                <w:p w14:paraId="120B5DA5">
                  <w:pPr>
                    <w:pStyle w:val="31"/>
                    <w:rPr>
                      <w:sz w:val="21"/>
                    </w:rPr>
                  </w:pPr>
                </w:p>
              </w:tc>
              <w:tc>
                <w:tcPr>
                  <w:tcW w:w="1524" w:type="dxa"/>
                  <w:tcBorders>
                    <w:tl2br w:val="nil"/>
                    <w:tr2bl w:val="nil"/>
                  </w:tcBorders>
                  <w:vAlign w:val="center"/>
                </w:tcPr>
                <w:p w14:paraId="2B8B5530">
                  <w:pPr>
                    <w:pStyle w:val="31"/>
                    <w:rPr>
                      <w:rFonts w:hint="eastAsia" w:eastAsia="宋体"/>
                      <w:sz w:val="21"/>
                      <w:lang w:eastAsia="zh-CN"/>
                    </w:rPr>
                  </w:pPr>
                  <w:r>
                    <w:rPr>
                      <w:rFonts w:hint="eastAsia"/>
                      <w:sz w:val="21"/>
                    </w:rPr>
                    <w:t>废</w:t>
                  </w:r>
                  <w:r>
                    <w:rPr>
                      <w:rFonts w:hint="eastAsia"/>
                      <w:sz w:val="21"/>
                      <w:lang w:eastAsia="zh-CN"/>
                    </w:rPr>
                    <w:t>淬火油</w:t>
                  </w:r>
                </w:p>
              </w:tc>
              <w:tc>
                <w:tcPr>
                  <w:tcW w:w="779" w:type="dxa"/>
                  <w:tcBorders>
                    <w:tl2br w:val="nil"/>
                    <w:tr2bl w:val="nil"/>
                  </w:tcBorders>
                  <w:vAlign w:val="center"/>
                </w:tcPr>
                <w:p w14:paraId="67476F8C">
                  <w:pPr>
                    <w:pStyle w:val="31"/>
                    <w:rPr>
                      <w:sz w:val="21"/>
                    </w:rPr>
                  </w:pPr>
                  <w:r>
                    <w:rPr>
                      <w:sz w:val="21"/>
                    </w:rPr>
                    <w:t>HW</w:t>
                  </w:r>
                  <w:r>
                    <w:rPr>
                      <w:rFonts w:hint="eastAsia"/>
                      <w:sz w:val="21"/>
                    </w:rPr>
                    <w:t>08</w:t>
                  </w:r>
                </w:p>
              </w:tc>
              <w:tc>
                <w:tcPr>
                  <w:tcW w:w="1282" w:type="dxa"/>
                  <w:tcBorders>
                    <w:tl2br w:val="nil"/>
                    <w:tr2bl w:val="nil"/>
                  </w:tcBorders>
                  <w:vAlign w:val="center"/>
                </w:tcPr>
                <w:p w14:paraId="539C7A79">
                  <w:pPr>
                    <w:pStyle w:val="31"/>
                    <w:rPr>
                      <w:sz w:val="21"/>
                    </w:rPr>
                  </w:pPr>
                  <w:r>
                    <w:rPr>
                      <w:rFonts w:hint="eastAsia"/>
                      <w:sz w:val="21"/>
                    </w:rPr>
                    <w:t>900-203-08</w:t>
                  </w:r>
                </w:p>
              </w:tc>
              <w:tc>
                <w:tcPr>
                  <w:tcW w:w="600" w:type="dxa"/>
                  <w:vMerge w:val="continue"/>
                  <w:tcBorders>
                    <w:tl2br w:val="nil"/>
                    <w:tr2bl w:val="nil"/>
                  </w:tcBorders>
                  <w:vAlign w:val="center"/>
                </w:tcPr>
                <w:p w14:paraId="2BCB2EF8">
                  <w:pPr>
                    <w:pStyle w:val="31"/>
                    <w:rPr>
                      <w:sz w:val="21"/>
                    </w:rPr>
                  </w:pPr>
                </w:p>
              </w:tc>
              <w:tc>
                <w:tcPr>
                  <w:tcW w:w="627" w:type="dxa"/>
                  <w:vMerge w:val="continue"/>
                  <w:tcBorders>
                    <w:tl2br w:val="nil"/>
                    <w:tr2bl w:val="nil"/>
                  </w:tcBorders>
                  <w:vAlign w:val="center"/>
                </w:tcPr>
                <w:p w14:paraId="76BCCF32">
                  <w:pPr>
                    <w:pStyle w:val="31"/>
                    <w:rPr>
                      <w:sz w:val="21"/>
                    </w:rPr>
                  </w:pPr>
                </w:p>
              </w:tc>
              <w:tc>
                <w:tcPr>
                  <w:tcW w:w="995" w:type="dxa"/>
                  <w:tcBorders>
                    <w:tl2br w:val="nil"/>
                    <w:tr2bl w:val="nil"/>
                  </w:tcBorders>
                  <w:vAlign w:val="center"/>
                </w:tcPr>
                <w:p w14:paraId="7ECC2F3E">
                  <w:pPr>
                    <w:spacing w:line="240" w:lineRule="auto"/>
                    <w:ind w:firstLine="0" w:firstLineChars="0"/>
                    <w:jc w:val="center"/>
                    <w:rPr>
                      <w:sz w:val="21"/>
                      <w:szCs w:val="21"/>
                    </w:rPr>
                  </w:pPr>
                  <w:r>
                    <w:rPr>
                      <w:rFonts w:hint="eastAsia"/>
                      <w:sz w:val="21"/>
                      <w:szCs w:val="21"/>
                    </w:rPr>
                    <w:t>密闭桶装</w:t>
                  </w:r>
                </w:p>
              </w:tc>
              <w:tc>
                <w:tcPr>
                  <w:tcW w:w="660" w:type="dxa"/>
                  <w:vMerge w:val="continue"/>
                  <w:tcBorders>
                    <w:tl2br w:val="nil"/>
                    <w:tr2bl w:val="nil"/>
                  </w:tcBorders>
                  <w:vAlign w:val="center"/>
                </w:tcPr>
                <w:p w14:paraId="510EB367">
                  <w:pPr>
                    <w:pStyle w:val="31"/>
                    <w:rPr>
                      <w:sz w:val="21"/>
                    </w:rPr>
                  </w:pPr>
                </w:p>
              </w:tc>
              <w:tc>
                <w:tcPr>
                  <w:tcW w:w="721" w:type="dxa"/>
                  <w:tcBorders>
                    <w:tl2br w:val="nil"/>
                    <w:tr2bl w:val="nil"/>
                  </w:tcBorders>
                  <w:vAlign w:val="center"/>
                </w:tcPr>
                <w:p w14:paraId="77425C73">
                  <w:pPr>
                    <w:pStyle w:val="31"/>
                    <w:rPr>
                      <w:sz w:val="21"/>
                    </w:rPr>
                  </w:pPr>
                  <w:r>
                    <w:rPr>
                      <w:rFonts w:hint="eastAsia"/>
                      <w:sz w:val="21"/>
                    </w:rPr>
                    <w:t>半年</w:t>
                  </w:r>
                </w:p>
              </w:tc>
            </w:tr>
            <w:tr w14:paraId="4095A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2B507349">
                  <w:pPr>
                    <w:pStyle w:val="31"/>
                    <w:rPr>
                      <w:sz w:val="21"/>
                    </w:rPr>
                  </w:pPr>
                  <w:r>
                    <w:rPr>
                      <w:rFonts w:hint="eastAsia"/>
                      <w:sz w:val="21"/>
                    </w:rPr>
                    <w:t>5</w:t>
                  </w:r>
                </w:p>
              </w:tc>
              <w:tc>
                <w:tcPr>
                  <w:tcW w:w="645" w:type="dxa"/>
                  <w:vMerge w:val="continue"/>
                  <w:tcBorders>
                    <w:tl2br w:val="nil"/>
                    <w:tr2bl w:val="nil"/>
                  </w:tcBorders>
                  <w:vAlign w:val="center"/>
                </w:tcPr>
                <w:p w14:paraId="57BF67BC">
                  <w:pPr>
                    <w:pStyle w:val="31"/>
                    <w:rPr>
                      <w:sz w:val="21"/>
                    </w:rPr>
                  </w:pPr>
                </w:p>
              </w:tc>
              <w:tc>
                <w:tcPr>
                  <w:tcW w:w="1524" w:type="dxa"/>
                  <w:tcBorders>
                    <w:tl2br w:val="nil"/>
                    <w:tr2bl w:val="nil"/>
                  </w:tcBorders>
                  <w:vAlign w:val="center"/>
                </w:tcPr>
                <w:p w14:paraId="5C1C3D47">
                  <w:pPr>
                    <w:pStyle w:val="31"/>
                    <w:rPr>
                      <w:sz w:val="21"/>
                    </w:rPr>
                  </w:pPr>
                  <w:r>
                    <w:rPr>
                      <w:rFonts w:hint="eastAsia"/>
                      <w:color w:val="000000"/>
                      <w:kern w:val="0"/>
                      <w:sz w:val="21"/>
                    </w:rPr>
                    <w:t>废切削液</w:t>
                  </w:r>
                </w:p>
              </w:tc>
              <w:tc>
                <w:tcPr>
                  <w:tcW w:w="779" w:type="dxa"/>
                  <w:tcBorders>
                    <w:tl2br w:val="nil"/>
                    <w:tr2bl w:val="nil"/>
                  </w:tcBorders>
                  <w:vAlign w:val="center"/>
                </w:tcPr>
                <w:p w14:paraId="5F010200">
                  <w:pPr>
                    <w:pStyle w:val="31"/>
                    <w:rPr>
                      <w:sz w:val="21"/>
                    </w:rPr>
                  </w:pPr>
                  <w:r>
                    <w:rPr>
                      <w:rFonts w:hint="eastAsia"/>
                      <w:sz w:val="21"/>
                    </w:rPr>
                    <w:t>HW09</w:t>
                  </w:r>
                </w:p>
              </w:tc>
              <w:tc>
                <w:tcPr>
                  <w:tcW w:w="1282" w:type="dxa"/>
                  <w:tcBorders>
                    <w:tl2br w:val="nil"/>
                    <w:tr2bl w:val="nil"/>
                  </w:tcBorders>
                  <w:vAlign w:val="center"/>
                </w:tcPr>
                <w:p w14:paraId="5386D7B7">
                  <w:pPr>
                    <w:pStyle w:val="31"/>
                    <w:rPr>
                      <w:sz w:val="21"/>
                    </w:rPr>
                  </w:pPr>
                  <w:r>
                    <w:rPr>
                      <w:rFonts w:hint="eastAsia"/>
                      <w:sz w:val="21"/>
                    </w:rPr>
                    <w:t>900-006-09</w:t>
                  </w:r>
                </w:p>
              </w:tc>
              <w:tc>
                <w:tcPr>
                  <w:tcW w:w="600" w:type="dxa"/>
                  <w:vMerge w:val="continue"/>
                  <w:tcBorders>
                    <w:tl2br w:val="nil"/>
                    <w:tr2bl w:val="nil"/>
                  </w:tcBorders>
                  <w:vAlign w:val="center"/>
                </w:tcPr>
                <w:p w14:paraId="10006265">
                  <w:pPr>
                    <w:pStyle w:val="31"/>
                    <w:rPr>
                      <w:sz w:val="21"/>
                    </w:rPr>
                  </w:pPr>
                </w:p>
              </w:tc>
              <w:tc>
                <w:tcPr>
                  <w:tcW w:w="627" w:type="dxa"/>
                  <w:vMerge w:val="continue"/>
                  <w:tcBorders>
                    <w:tl2br w:val="nil"/>
                    <w:tr2bl w:val="nil"/>
                  </w:tcBorders>
                  <w:vAlign w:val="center"/>
                </w:tcPr>
                <w:p w14:paraId="26FFE27B">
                  <w:pPr>
                    <w:pStyle w:val="31"/>
                    <w:rPr>
                      <w:sz w:val="21"/>
                    </w:rPr>
                  </w:pPr>
                </w:p>
              </w:tc>
              <w:tc>
                <w:tcPr>
                  <w:tcW w:w="995" w:type="dxa"/>
                  <w:tcBorders>
                    <w:tl2br w:val="nil"/>
                    <w:tr2bl w:val="nil"/>
                  </w:tcBorders>
                  <w:vAlign w:val="center"/>
                </w:tcPr>
                <w:p w14:paraId="45F5C7ED">
                  <w:pPr>
                    <w:spacing w:line="240" w:lineRule="auto"/>
                    <w:ind w:firstLine="0" w:firstLineChars="0"/>
                    <w:jc w:val="center"/>
                    <w:rPr>
                      <w:sz w:val="21"/>
                      <w:szCs w:val="21"/>
                    </w:rPr>
                  </w:pPr>
                  <w:r>
                    <w:rPr>
                      <w:rFonts w:hint="eastAsia"/>
                      <w:sz w:val="21"/>
                      <w:szCs w:val="21"/>
                    </w:rPr>
                    <w:t>密闭桶装</w:t>
                  </w:r>
                </w:p>
              </w:tc>
              <w:tc>
                <w:tcPr>
                  <w:tcW w:w="660" w:type="dxa"/>
                  <w:vMerge w:val="continue"/>
                  <w:tcBorders>
                    <w:tl2br w:val="nil"/>
                    <w:tr2bl w:val="nil"/>
                  </w:tcBorders>
                  <w:vAlign w:val="center"/>
                </w:tcPr>
                <w:p w14:paraId="005CF771">
                  <w:pPr>
                    <w:pStyle w:val="31"/>
                    <w:rPr>
                      <w:sz w:val="21"/>
                    </w:rPr>
                  </w:pPr>
                </w:p>
              </w:tc>
              <w:tc>
                <w:tcPr>
                  <w:tcW w:w="721" w:type="dxa"/>
                  <w:tcBorders>
                    <w:tl2br w:val="nil"/>
                    <w:tr2bl w:val="nil"/>
                  </w:tcBorders>
                  <w:vAlign w:val="center"/>
                </w:tcPr>
                <w:p w14:paraId="4B6D5419">
                  <w:pPr>
                    <w:pStyle w:val="31"/>
                    <w:rPr>
                      <w:sz w:val="21"/>
                    </w:rPr>
                  </w:pPr>
                  <w:r>
                    <w:rPr>
                      <w:rFonts w:hint="eastAsia"/>
                      <w:sz w:val="21"/>
                    </w:rPr>
                    <w:t>半年</w:t>
                  </w:r>
                </w:p>
              </w:tc>
            </w:tr>
            <w:tr w14:paraId="236DF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76D3D908">
                  <w:pPr>
                    <w:pStyle w:val="31"/>
                    <w:rPr>
                      <w:sz w:val="21"/>
                    </w:rPr>
                  </w:pPr>
                  <w:r>
                    <w:rPr>
                      <w:rFonts w:hint="eastAsia"/>
                      <w:sz w:val="21"/>
                    </w:rPr>
                    <w:t>6</w:t>
                  </w:r>
                </w:p>
              </w:tc>
              <w:tc>
                <w:tcPr>
                  <w:tcW w:w="645" w:type="dxa"/>
                  <w:vMerge w:val="continue"/>
                  <w:tcBorders>
                    <w:tl2br w:val="nil"/>
                    <w:tr2bl w:val="nil"/>
                  </w:tcBorders>
                  <w:vAlign w:val="center"/>
                </w:tcPr>
                <w:p w14:paraId="58EC67E4">
                  <w:pPr>
                    <w:pStyle w:val="31"/>
                    <w:rPr>
                      <w:sz w:val="21"/>
                    </w:rPr>
                  </w:pPr>
                </w:p>
              </w:tc>
              <w:tc>
                <w:tcPr>
                  <w:tcW w:w="1524" w:type="dxa"/>
                  <w:tcBorders>
                    <w:tl2br w:val="nil"/>
                    <w:tr2bl w:val="nil"/>
                  </w:tcBorders>
                  <w:vAlign w:val="center"/>
                </w:tcPr>
                <w:p w14:paraId="7F53A340">
                  <w:pPr>
                    <w:pStyle w:val="31"/>
                    <w:rPr>
                      <w:sz w:val="21"/>
                    </w:rPr>
                  </w:pPr>
                  <w:r>
                    <w:rPr>
                      <w:rFonts w:hint="eastAsia"/>
                      <w:color w:val="000000"/>
                      <w:kern w:val="0"/>
                      <w:sz w:val="21"/>
                    </w:rPr>
                    <w:t>含油铁屑</w:t>
                  </w:r>
                </w:p>
              </w:tc>
              <w:tc>
                <w:tcPr>
                  <w:tcW w:w="779" w:type="dxa"/>
                  <w:tcBorders>
                    <w:tl2br w:val="nil"/>
                    <w:tr2bl w:val="nil"/>
                  </w:tcBorders>
                  <w:vAlign w:val="center"/>
                </w:tcPr>
                <w:p w14:paraId="75941F67">
                  <w:pPr>
                    <w:spacing w:line="240" w:lineRule="auto"/>
                    <w:ind w:firstLine="0" w:firstLineChars="0"/>
                    <w:jc w:val="center"/>
                    <w:rPr>
                      <w:sz w:val="21"/>
                      <w:szCs w:val="21"/>
                    </w:rPr>
                  </w:pPr>
                  <w:r>
                    <w:rPr>
                      <w:rFonts w:hint="eastAsia"/>
                      <w:sz w:val="21"/>
                      <w:szCs w:val="21"/>
                    </w:rPr>
                    <w:t>HW09</w:t>
                  </w:r>
                </w:p>
              </w:tc>
              <w:tc>
                <w:tcPr>
                  <w:tcW w:w="1282" w:type="dxa"/>
                  <w:tcBorders>
                    <w:tl2br w:val="nil"/>
                    <w:tr2bl w:val="nil"/>
                  </w:tcBorders>
                  <w:vAlign w:val="center"/>
                </w:tcPr>
                <w:p w14:paraId="496C3E51">
                  <w:pPr>
                    <w:spacing w:line="240" w:lineRule="auto"/>
                    <w:ind w:firstLine="0" w:firstLineChars="0"/>
                    <w:jc w:val="center"/>
                    <w:rPr>
                      <w:sz w:val="21"/>
                      <w:szCs w:val="21"/>
                    </w:rPr>
                  </w:pPr>
                  <w:r>
                    <w:rPr>
                      <w:sz w:val="21"/>
                      <w:szCs w:val="21"/>
                    </w:rPr>
                    <w:t>900-006-09</w:t>
                  </w:r>
                </w:p>
              </w:tc>
              <w:tc>
                <w:tcPr>
                  <w:tcW w:w="600" w:type="dxa"/>
                  <w:vMerge w:val="continue"/>
                  <w:tcBorders>
                    <w:tl2br w:val="nil"/>
                    <w:tr2bl w:val="nil"/>
                  </w:tcBorders>
                  <w:vAlign w:val="center"/>
                </w:tcPr>
                <w:p w14:paraId="0E1CC1A6">
                  <w:pPr>
                    <w:pStyle w:val="31"/>
                    <w:rPr>
                      <w:sz w:val="21"/>
                    </w:rPr>
                  </w:pPr>
                </w:p>
              </w:tc>
              <w:tc>
                <w:tcPr>
                  <w:tcW w:w="627" w:type="dxa"/>
                  <w:vMerge w:val="continue"/>
                  <w:tcBorders>
                    <w:tl2br w:val="nil"/>
                    <w:tr2bl w:val="nil"/>
                  </w:tcBorders>
                  <w:vAlign w:val="center"/>
                </w:tcPr>
                <w:p w14:paraId="6AA540B2">
                  <w:pPr>
                    <w:pStyle w:val="31"/>
                    <w:rPr>
                      <w:sz w:val="21"/>
                    </w:rPr>
                  </w:pPr>
                </w:p>
              </w:tc>
              <w:tc>
                <w:tcPr>
                  <w:tcW w:w="995" w:type="dxa"/>
                  <w:tcBorders>
                    <w:tl2br w:val="nil"/>
                    <w:tr2bl w:val="nil"/>
                  </w:tcBorders>
                  <w:vAlign w:val="center"/>
                </w:tcPr>
                <w:p w14:paraId="13D2EE7B">
                  <w:pPr>
                    <w:spacing w:line="240" w:lineRule="auto"/>
                    <w:ind w:firstLine="0" w:firstLineChars="0"/>
                    <w:jc w:val="center"/>
                    <w:rPr>
                      <w:sz w:val="21"/>
                      <w:szCs w:val="21"/>
                    </w:rPr>
                  </w:pPr>
                  <w:r>
                    <w:rPr>
                      <w:rFonts w:hint="eastAsia"/>
                      <w:sz w:val="21"/>
                      <w:szCs w:val="21"/>
                    </w:rPr>
                    <w:t>密闭袋装</w:t>
                  </w:r>
                </w:p>
              </w:tc>
              <w:tc>
                <w:tcPr>
                  <w:tcW w:w="660" w:type="dxa"/>
                  <w:vMerge w:val="continue"/>
                  <w:tcBorders>
                    <w:tl2br w:val="nil"/>
                    <w:tr2bl w:val="nil"/>
                  </w:tcBorders>
                  <w:vAlign w:val="center"/>
                </w:tcPr>
                <w:p w14:paraId="46BB902C">
                  <w:pPr>
                    <w:pStyle w:val="31"/>
                    <w:rPr>
                      <w:sz w:val="21"/>
                    </w:rPr>
                  </w:pPr>
                </w:p>
              </w:tc>
              <w:tc>
                <w:tcPr>
                  <w:tcW w:w="721" w:type="dxa"/>
                  <w:tcBorders>
                    <w:tl2br w:val="nil"/>
                    <w:tr2bl w:val="nil"/>
                  </w:tcBorders>
                  <w:vAlign w:val="center"/>
                </w:tcPr>
                <w:p w14:paraId="3037B5AD">
                  <w:pPr>
                    <w:pStyle w:val="31"/>
                    <w:rPr>
                      <w:sz w:val="21"/>
                    </w:rPr>
                  </w:pPr>
                  <w:r>
                    <w:rPr>
                      <w:rFonts w:hint="eastAsia"/>
                      <w:sz w:val="21"/>
                    </w:rPr>
                    <w:t>半年</w:t>
                  </w:r>
                </w:p>
              </w:tc>
            </w:tr>
            <w:tr w14:paraId="14508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684ADF00">
                  <w:pPr>
                    <w:pStyle w:val="31"/>
                    <w:rPr>
                      <w:sz w:val="21"/>
                    </w:rPr>
                  </w:pPr>
                  <w:r>
                    <w:rPr>
                      <w:rFonts w:hint="eastAsia"/>
                      <w:sz w:val="21"/>
                    </w:rPr>
                    <w:t>7</w:t>
                  </w:r>
                </w:p>
              </w:tc>
              <w:tc>
                <w:tcPr>
                  <w:tcW w:w="645" w:type="dxa"/>
                  <w:vMerge w:val="continue"/>
                  <w:tcBorders>
                    <w:tl2br w:val="nil"/>
                    <w:tr2bl w:val="nil"/>
                  </w:tcBorders>
                  <w:vAlign w:val="center"/>
                </w:tcPr>
                <w:p w14:paraId="314472AF">
                  <w:pPr>
                    <w:pStyle w:val="31"/>
                    <w:rPr>
                      <w:sz w:val="21"/>
                    </w:rPr>
                  </w:pPr>
                </w:p>
              </w:tc>
              <w:tc>
                <w:tcPr>
                  <w:tcW w:w="1524" w:type="dxa"/>
                  <w:tcBorders>
                    <w:tl2br w:val="nil"/>
                    <w:tr2bl w:val="nil"/>
                  </w:tcBorders>
                  <w:vAlign w:val="center"/>
                </w:tcPr>
                <w:p w14:paraId="6E508A75">
                  <w:pPr>
                    <w:pStyle w:val="31"/>
                    <w:rPr>
                      <w:color w:val="000000"/>
                      <w:kern w:val="0"/>
                      <w:sz w:val="21"/>
                    </w:rPr>
                  </w:pPr>
                  <w:r>
                    <w:rPr>
                      <w:rFonts w:hint="eastAsia"/>
                      <w:color w:val="000000"/>
                      <w:kern w:val="0"/>
                      <w:sz w:val="21"/>
                    </w:rPr>
                    <w:t>含油金属沉淀物</w:t>
                  </w:r>
                </w:p>
              </w:tc>
              <w:tc>
                <w:tcPr>
                  <w:tcW w:w="779" w:type="dxa"/>
                  <w:tcBorders>
                    <w:tl2br w:val="nil"/>
                    <w:tr2bl w:val="nil"/>
                  </w:tcBorders>
                  <w:vAlign w:val="center"/>
                </w:tcPr>
                <w:p w14:paraId="38EDBB93">
                  <w:pPr>
                    <w:spacing w:line="240" w:lineRule="auto"/>
                    <w:ind w:firstLine="0" w:firstLineChars="0"/>
                    <w:jc w:val="center"/>
                    <w:rPr>
                      <w:sz w:val="21"/>
                      <w:szCs w:val="21"/>
                    </w:rPr>
                  </w:pPr>
                  <w:r>
                    <w:rPr>
                      <w:rFonts w:hint="eastAsia"/>
                      <w:sz w:val="21"/>
                      <w:szCs w:val="21"/>
                    </w:rPr>
                    <w:t>HW09</w:t>
                  </w:r>
                </w:p>
              </w:tc>
              <w:tc>
                <w:tcPr>
                  <w:tcW w:w="1282" w:type="dxa"/>
                  <w:tcBorders>
                    <w:tl2br w:val="nil"/>
                    <w:tr2bl w:val="nil"/>
                  </w:tcBorders>
                  <w:vAlign w:val="center"/>
                </w:tcPr>
                <w:p w14:paraId="0A509A8D">
                  <w:pPr>
                    <w:spacing w:line="240" w:lineRule="auto"/>
                    <w:ind w:firstLine="0" w:firstLineChars="0"/>
                    <w:jc w:val="center"/>
                    <w:rPr>
                      <w:sz w:val="21"/>
                      <w:szCs w:val="21"/>
                    </w:rPr>
                  </w:pPr>
                  <w:r>
                    <w:rPr>
                      <w:sz w:val="21"/>
                      <w:szCs w:val="21"/>
                    </w:rPr>
                    <w:t>900-006-09</w:t>
                  </w:r>
                </w:p>
              </w:tc>
              <w:tc>
                <w:tcPr>
                  <w:tcW w:w="600" w:type="dxa"/>
                  <w:vMerge w:val="continue"/>
                  <w:tcBorders>
                    <w:tl2br w:val="nil"/>
                    <w:tr2bl w:val="nil"/>
                  </w:tcBorders>
                  <w:vAlign w:val="center"/>
                </w:tcPr>
                <w:p w14:paraId="00CFF62C">
                  <w:pPr>
                    <w:pStyle w:val="31"/>
                    <w:rPr>
                      <w:sz w:val="21"/>
                    </w:rPr>
                  </w:pPr>
                </w:p>
              </w:tc>
              <w:tc>
                <w:tcPr>
                  <w:tcW w:w="627" w:type="dxa"/>
                  <w:vMerge w:val="continue"/>
                  <w:tcBorders>
                    <w:tl2br w:val="nil"/>
                    <w:tr2bl w:val="nil"/>
                  </w:tcBorders>
                  <w:vAlign w:val="center"/>
                </w:tcPr>
                <w:p w14:paraId="0B4BF44B">
                  <w:pPr>
                    <w:pStyle w:val="31"/>
                    <w:rPr>
                      <w:sz w:val="21"/>
                    </w:rPr>
                  </w:pPr>
                </w:p>
              </w:tc>
              <w:tc>
                <w:tcPr>
                  <w:tcW w:w="995" w:type="dxa"/>
                  <w:tcBorders>
                    <w:tl2br w:val="nil"/>
                    <w:tr2bl w:val="nil"/>
                  </w:tcBorders>
                  <w:vAlign w:val="center"/>
                </w:tcPr>
                <w:p w14:paraId="5980843D">
                  <w:pPr>
                    <w:spacing w:line="240" w:lineRule="auto"/>
                    <w:ind w:firstLine="0" w:firstLineChars="0"/>
                    <w:jc w:val="center"/>
                    <w:rPr>
                      <w:sz w:val="21"/>
                      <w:szCs w:val="21"/>
                    </w:rPr>
                  </w:pPr>
                  <w:r>
                    <w:rPr>
                      <w:rFonts w:hint="eastAsia"/>
                      <w:sz w:val="21"/>
                      <w:szCs w:val="21"/>
                    </w:rPr>
                    <w:t>密闭袋装</w:t>
                  </w:r>
                </w:p>
              </w:tc>
              <w:tc>
                <w:tcPr>
                  <w:tcW w:w="660" w:type="dxa"/>
                  <w:vMerge w:val="continue"/>
                  <w:tcBorders>
                    <w:tl2br w:val="nil"/>
                    <w:tr2bl w:val="nil"/>
                  </w:tcBorders>
                  <w:vAlign w:val="center"/>
                </w:tcPr>
                <w:p w14:paraId="31BDB4C4">
                  <w:pPr>
                    <w:pStyle w:val="31"/>
                    <w:rPr>
                      <w:sz w:val="21"/>
                    </w:rPr>
                  </w:pPr>
                </w:p>
              </w:tc>
              <w:tc>
                <w:tcPr>
                  <w:tcW w:w="721" w:type="dxa"/>
                  <w:tcBorders>
                    <w:tl2br w:val="nil"/>
                    <w:tr2bl w:val="nil"/>
                  </w:tcBorders>
                  <w:vAlign w:val="center"/>
                </w:tcPr>
                <w:p w14:paraId="35D72D9D">
                  <w:pPr>
                    <w:pStyle w:val="31"/>
                    <w:rPr>
                      <w:sz w:val="21"/>
                    </w:rPr>
                  </w:pPr>
                  <w:r>
                    <w:rPr>
                      <w:rFonts w:hint="eastAsia"/>
                      <w:sz w:val="21"/>
                    </w:rPr>
                    <w:t>半年</w:t>
                  </w:r>
                </w:p>
              </w:tc>
            </w:tr>
            <w:tr w14:paraId="0654A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334EAB51">
                  <w:pPr>
                    <w:pStyle w:val="31"/>
                    <w:rPr>
                      <w:sz w:val="21"/>
                      <w:highlight w:val="none"/>
                    </w:rPr>
                  </w:pPr>
                  <w:r>
                    <w:rPr>
                      <w:rFonts w:hint="eastAsia"/>
                      <w:sz w:val="21"/>
                      <w:highlight w:val="none"/>
                    </w:rPr>
                    <w:t>8</w:t>
                  </w:r>
                </w:p>
              </w:tc>
              <w:tc>
                <w:tcPr>
                  <w:tcW w:w="645" w:type="dxa"/>
                  <w:vMerge w:val="continue"/>
                  <w:tcBorders>
                    <w:tl2br w:val="nil"/>
                    <w:tr2bl w:val="nil"/>
                  </w:tcBorders>
                  <w:vAlign w:val="center"/>
                </w:tcPr>
                <w:p w14:paraId="238BE6F3">
                  <w:pPr>
                    <w:pStyle w:val="31"/>
                    <w:rPr>
                      <w:sz w:val="21"/>
                      <w:highlight w:val="none"/>
                    </w:rPr>
                  </w:pPr>
                </w:p>
              </w:tc>
              <w:tc>
                <w:tcPr>
                  <w:tcW w:w="1524" w:type="dxa"/>
                  <w:tcBorders>
                    <w:tl2br w:val="nil"/>
                    <w:tr2bl w:val="nil"/>
                  </w:tcBorders>
                  <w:vAlign w:val="center"/>
                </w:tcPr>
                <w:p w14:paraId="22471489">
                  <w:pPr>
                    <w:pStyle w:val="31"/>
                    <w:rPr>
                      <w:color w:val="000000"/>
                      <w:kern w:val="0"/>
                      <w:sz w:val="21"/>
                      <w:highlight w:val="none"/>
                    </w:rPr>
                  </w:pPr>
                  <w:r>
                    <w:rPr>
                      <w:rFonts w:hint="eastAsia"/>
                      <w:color w:val="000000"/>
                      <w:kern w:val="0"/>
                      <w:sz w:val="21"/>
                      <w:highlight w:val="none"/>
                    </w:rPr>
                    <w:t>油污</w:t>
                  </w:r>
                </w:p>
              </w:tc>
              <w:tc>
                <w:tcPr>
                  <w:tcW w:w="779" w:type="dxa"/>
                  <w:tcBorders>
                    <w:tl2br w:val="nil"/>
                    <w:tr2bl w:val="nil"/>
                  </w:tcBorders>
                  <w:vAlign w:val="center"/>
                </w:tcPr>
                <w:p w14:paraId="2CA8222E">
                  <w:pPr>
                    <w:spacing w:line="240" w:lineRule="auto"/>
                    <w:ind w:firstLine="0" w:firstLineChars="0"/>
                    <w:jc w:val="center"/>
                    <w:rPr>
                      <w:sz w:val="21"/>
                      <w:szCs w:val="21"/>
                      <w:highlight w:val="none"/>
                    </w:rPr>
                  </w:pPr>
                  <w:r>
                    <w:rPr>
                      <w:sz w:val="21"/>
                      <w:szCs w:val="21"/>
                      <w:highlight w:val="none"/>
                    </w:rPr>
                    <w:t>HW49</w:t>
                  </w:r>
                </w:p>
              </w:tc>
              <w:tc>
                <w:tcPr>
                  <w:tcW w:w="1282" w:type="dxa"/>
                  <w:tcBorders>
                    <w:tl2br w:val="nil"/>
                    <w:tr2bl w:val="nil"/>
                  </w:tcBorders>
                  <w:vAlign w:val="center"/>
                </w:tcPr>
                <w:p w14:paraId="2EA1276A">
                  <w:pPr>
                    <w:spacing w:line="240" w:lineRule="auto"/>
                    <w:ind w:firstLine="0" w:firstLineChars="0"/>
                    <w:jc w:val="center"/>
                    <w:rPr>
                      <w:sz w:val="21"/>
                      <w:szCs w:val="21"/>
                      <w:highlight w:val="none"/>
                    </w:rPr>
                  </w:pPr>
                  <w:r>
                    <w:rPr>
                      <w:sz w:val="21"/>
                      <w:szCs w:val="21"/>
                      <w:highlight w:val="none"/>
                    </w:rPr>
                    <w:t>900-006-09</w:t>
                  </w:r>
                </w:p>
              </w:tc>
              <w:tc>
                <w:tcPr>
                  <w:tcW w:w="600" w:type="dxa"/>
                  <w:vMerge w:val="continue"/>
                  <w:tcBorders>
                    <w:tl2br w:val="nil"/>
                    <w:tr2bl w:val="nil"/>
                  </w:tcBorders>
                  <w:vAlign w:val="center"/>
                </w:tcPr>
                <w:p w14:paraId="73D086EF">
                  <w:pPr>
                    <w:pStyle w:val="31"/>
                    <w:rPr>
                      <w:sz w:val="21"/>
                      <w:highlight w:val="none"/>
                    </w:rPr>
                  </w:pPr>
                </w:p>
              </w:tc>
              <w:tc>
                <w:tcPr>
                  <w:tcW w:w="627" w:type="dxa"/>
                  <w:vMerge w:val="continue"/>
                  <w:tcBorders>
                    <w:tl2br w:val="nil"/>
                    <w:tr2bl w:val="nil"/>
                  </w:tcBorders>
                  <w:vAlign w:val="center"/>
                </w:tcPr>
                <w:p w14:paraId="511205B0">
                  <w:pPr>
                    <w:pStyle w:val="31"/>
                    <w:rPr>
                      <w:sz w:val="21"/>
                      <w:highlight w:val="none"/>
                    </w:rPr>
                  </w:pPr>
                </w:p>
              </w:tc>
              <w:tc>
                <w:tcPr>
                  <w:tcW w:w="995" w:type="dxa"/>
                  <w:tcBorders>
                    <w:tl2br w:val="nil"/>
                    <w:tr2bl w:val="nil"/>
                  </w:tcBorders>
                  <w:vAlign w:val="center"/>
                </w:tcPr>
                <w:p w14:paraId="7E6FD799">
                  <w:pPr>
                    <w:spacing w:line="240" w:lineRule="auto"/>
                    <w:ind w:firstLine="0" w:firstLineChars="0"/>
                    <w:jc w:val="center"/>
                    <w:rPr>
                      <w:sz w:val="21"/>
                      <w:szCs w:val="21"/>
                      <w:highlight w:val="none"/>
                    </w:rPr>
                  </w:pPr>
                  <w:r>
                    <w:rPr>
                      <w:rFonts w:hint="eastAsia"/>
                      <w:sz w:val="21"/>
                      <w:szCs w:val="21"/>
                      <w:highlight w:val="none"/>
                    </w:rPr>
                    <w:t>密闭桶装</w:t>
                  </w:r>
                </w:p>
              </w:tc>
              <w:tc>
                <w:tcPr>
                  <w:tcW w:w="660" w:type="dxa"/>
                  <w:vMerge w:val="continue"/>
                  <w:tcBorders>
                    <w:tl2br w:val="nil"/>
                    <w:tr2bl w:val="nil"/>
                  </w:tcBorders>
                  <w:vAlign w:val="center"/>
                </w:tcPr>
                <w:p w14:paraId="3F8CDCCA">
                  <w:pPr>
                    <w:pStyle w:val="31"/>
                    <w:rPr>
                      <w:sz w:val="21"/>
                      <w:highlight w:val="none"/>
                    </w:rPr>
                  </w:pPr>
                </w:p>
              </w:tc>
              <w:tc>
                <w:tcPr>
                  <w:tcW w:w="721" w:type="dxa"/>
                  <w:tcBorders>
                    <w:tl2br w:val="nil"/>
                    <w:tr2bl w:val="nil"/>
                  </w:tcBorders>
                  <w:vAlign w:val="center"/>
                </w:tcPr>
                <w:p w14:paraId="0E6B4705">
                  <w:pPr>
                    <w:spacing w:line="240" w:lineRule="auto"/>
                    <w:ind w:firstLine="0" w:firstLineChars="0"/>
                    <w:jc w:val="center"/>
                    <w:rPr>
                      <w:sz w:val="21"/>
                      <w:szCs w:val="21"/>
                      <w:highlight w:val="none"/>
                    </w:rPr>
                  </w:pPr>
                  <w:r>
                    <w:rPr>
                      <w:rFonts w:hint="eastAsia"/>
                      <w:sz w:val="21"/>
                      <w:szCs w:val="21"/>
                      <w:highlight w:val="none"/>
                    </w:rPr>
                    <w:t>半年</w:t>
                  </w:r>
                </w:p>
              </w:tc>
            </w:tr>
            <w:tr w14:paraId="2BD40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4" w:type="dxa"/>
                  <w:tcBorders>
                    <w:tl2br w:val="nil"/>
                    <w:tr2bl w:val="nil"/>
                  </w:tcBorders>
                  <w:vAlign w:val="center"/>
                </w:tcPr>
                <w:p w14:paraId="0DA0C809">
                  <w:pPr>
                    <w:pStyle w:val="31"/>
                    <w:rPr>
                      <w:rFonts w:hint="eastAsia" w:eastAsia="宋体"/>
                      <w:sz w:val="21"/>
                      <w:highlight w:val="none"/>
                      <w:lang w:eastAsia="zh-CN"/>
                    </w:rPr>
                  </w:pPr>
                  <w:r>
                    <w:rPr>
                      <w:rFonts w:hint="eastAsia"/>
                      <w:sz w:val="21"/>
                      <w:highlight w:val="none"/>
                      <w:lang w:val="en-US" w:eastAsia="zh-CN"/>
                    </w:rPr>
                    <w:t>9</w:t>
                  </w:r>
                </w:p>
              </w:tc>
              <w:tc>
                <w:tcPr>
                  <w:tcW w:w="645" w:type="dxa"/>
                  <w:vMerge w:val="continue"/>
                  <w:tcBorders>
                    <w:tl2br w:val="nil"/>
                    <w:tr2bl w:val="nil"/>
                  </w:tcBorders>
                  <w:vAlign w:val="center"/>
                </w:tcPr>
                <w:p w14:paraId="63F2D6EE">
                  <w:pPr>
                    <w:pStyle w:val="31"/>
                    <w:rPr>
                      <w:sz w:val="21"/>
                      <w:highlight w:val="none"/>
                    </w:rPr>
                  </w:pPr>
                </w:p>
              </w:tc>
              <w:tc>
                <w:tcPr>
                  <w:tcW w:w="1524" w:type="dxa"/>
                  <w:tcBorders>
                    <w:tl2br w:val="nil"/>
                    <w:tr2bl w:val="nil"/>
                  </w:tcBorders>
                  <w:vAlign w:val="center"/>
                </w:tcPr>
                <w:p w14:paraId="1339F8EB">
                  <w:pPr>
                    <w:pStyle w:val="31"/>
                    <w:rPr>
                      <w:color w:val="000000"/>
                      <w:kern w:val="0"/>
                      <w:sz w:val="21"/>
                      <w:highlight w:val="none"/>
                    </w:rPr>
                  </w:pPr>
                  <w:r>
                    <w:rPr>
                      <w:rFonts w:hint="eastAsia"/>
                      <w:color w:val="000000"/>
                      <w:kern w:val="0"/>
                      <w:sz w:val="21"/>
                      <w:highlight w:val="none"/>
                    </w:rPr>
                    <w:t>废活性炭</w:t>
                  </w:r>
                </w:p>
              </w:tc>
              <w:tc>
                <w:tcPr>
                  <w:tcW w:w="779" w:type="dxa"/>
                  <w:tcBorders>
                    <w:tl2br w:val="nil"/>
                    <w:tr2bl w:val="nil"/>
                  </w:tcBorders>
                  <w:vAlign w:val="center"/>
                </w:tcPr>
                <w:p w14:paraId="5D9856CD">
                  <w:pPr>
                    <w:spacing w:line="240" w:lineRule="auto"/>
                    <w:ind w:firstLine="0" w:firstLineChars="0"/>
                    <w:jc w:val="center"/>
                    <w:rPr>
                      <w:sz w:val="21"/>
                      <w:szCs w:val="21"/>
                      <w:highlight w:val="none"/>
                    </w:rPr>
                  </w:pPr>
                  <w:r>
                    <w:rPr>
                      <w:sz w:val="21"/>
                      <w:szCs w:val="21"/>
                      <w:highlight w:val="none"/>
                    </w:rPr>
                    <w:t>HW49</w:t>
                  </w:r>
                </w:p>
              </w:tc>
              <w:tc>
                <w:tcPr>
                  <w:tcW w:w="1282" w:type="dxa"/>
                  <w:tcBorders>
                    <w:tl2br w:val="nil"/>
                    <w:tr2bl w:val="nil"/>
                  </w:tcBorders>
                  <w:vAlign w:val="center"/>
                </w:tcPr>
                <w:p w14:paraId="5D74D152">
                  <w:pPr>
                    <w:spacing w:line="240" w:lineRule="auto"/>
                    <w:ind w:firstLine="0" w:firstLineChars="0"/>
                    <w:jc w:val="center"/>
                    <w:rPr>
                      <w:sz w:val="21"/>
                      <w:szCs w:val="21"/>
                      <w:highlight w:val="none"/>
                    </w:rPr>
                  </w:pPr>
                  <w:r>
                    <w:rPr>
                      <w:sz w:val="21"/>
                      <w:szCs w:val="21"/>
                      <w:highlight w:val="none"/>
                    </w:rPr>
                    <w:t>900-041-49</w:t>
                  </w:r>
                </w:p>
              </w:tc>
              <w:tc>
                <w:tcPr>
                  <w:tcW w:w="600" w:type="dxa"/>
                  <w:vMerge w:val="continue"/>
                  <w:tcBorders>
                    <w:tl2br w:val="nil"/>
                    <w:tr2bl w:val="nil"/>
                  </w:tcBorders>
                  <w:vAlign w:val="center"/>
                </w:tcPr>
                <w:p w14:paraId="60C8A16C">
                  <w:pPr>
                    <w:pStyle w:val="31"/>
                    <w:rPr>
                      <w:sz w:val="21"/>
                      <w:highlight w:val="none"/>
                    </w:rPr>
                  </w:pPr>
                </w:p>
              </w:tc>
              <w:tc>
                <w:tcPr>
                  <w:tcW w:w="627" w:type="dxa"/>
                  <w:vMerge w:val="continue"/>
                  <w:tcBorders>
                    <w:tl2br w:val="nil"/>
                    <w:tr2bl w:val="nil"/>
                  </w:tcBorders>
                  <w:vAlign w:val="center"/>
                </w:tcPr>
                <w:p w14:paraId="2E5D8BA4">
                  <w:pPr>
                    <w:pStyle w:val="31"/>
                    <w:rPr>
                      <w:sz w:val="21"/>
                      <w:highlight w:val="none"/>
                    </w:rPr>
                  </w:pPr>
                </w:p>
              </w:tc>
              <w:tc>
                <w:tcPr>
                  <w:tcW w:w="995" w:type="dxa"/>
                  <w:tcBorders>
                    <w:tl2br w:val="nil"/>
                    <w:tr2bl w:val="nil"/>
                  </w:tcBorders>
                  <w:vAlign w:val="center"/>
                </w:tcPr>
                <w:p w14:paraId="40584375">
                  <w:pPr>
                    <w:spacing w:line="240" w:lineRule="auto"/>
                    <w:ind w:firstLine="0" w:firstLineChars="0"/>
                    <w:jc w:val="center"/>
                    <w:rPr>
                      <w:sz w:val="21"/>
                      <w:szCs w:val="21"/>
                      <w:highlight w:val="none"/>
                    </w:rPr>
                  </w:pPr>
                  <w:r>
                    <w:rPr>
                      <w:rFonts w:hint="eastAsia"/>
                      <w:sz w:val="21"/>
                      <w:szCs w:val="21"/>
                      <w:highlight w:val="none"/>
                    </w:rPr>
                    <w:t>密闭袋装</w:t>
                  </w:r>
                </w:p>
              </w:tc>
              <w:tc>
                <w:tcPr>
                  <w:tcW w:w="660" w:type="dxa"/>
                  <w:vMerge w:val="continue"/>
                  <w:tcBorders>
                    <w:tl2br w:val="nil"/>
                    <w:tr2bl w:val="nil"/>
                  </w:tcBorders>
                  <w:vAlign w:val="center"/>
                </w:tcPr>
                <w:p w14:paraId="46435483">
                  <w:pPr>
                    <w:pStyle w:val="31"/>
                    <w:rPr>
                      <w:sz w:val="21"/>
                      <w:highlight w:val="none"/>
                    </w:rPr>
                  </w:pPr>
                </w:p>
              </w:tc>
              <w:tc>
                <w:tcPr>
                  <w:tcW w:w="721" w:type="dxa"/>
                  <w:tcBorders>
                    <w:tl2br w:val="nil"/>
                    <w:tr2bl w:val="nil"/>
                  </w:tcBorders>
                  <w:vAlign w:val="center"/>
                </w:tcPr>
                <w:p w14:paraId="7F28B26A">
                  <w:pPr>
                    <w:spacing w:line="240" w:lineRule="auto"/>
                    <w:ind w:firstLine="0" w:firstLineChars="0"/>
                    <w:jc w:val="center"/>
                    <w:rPr>
                      <w:sz w:val="21"/>
                      <w:szCs w:val="21"/>
                      <w:highlight w:val="none"/>
                    </w:rPr>
                  </w:pPr>
                  <w:r>
                    <w:rPr>
                      <w:rFonts w:hint="eastAsia"/>
                      <w:sz w:val="21"/>
                      <w:szCs w:val="21"/>
                      <w:highlight w:val="none"/>
                    </w:rPr>
                    <w:t>半年</w:t>
                  </w:r>
                </w:p>
              </w:tc>
            </w:tr>
          </w:tbl>
          <w:p w14:paraId="788E48E4">
            <w:pPr>
              <w:ind w:firstLine="480"/>
              <w:rPr>
                <w:highlight w:val="none"/>
              </w:rPr>
            </w:pPr>
            <w:r>
              <w:rPr>
                <w:highlight w:val="none"/>
              </w:rPr>
              <w:fldChar w:fldCharType="begin"/>
            </w:r>
            <w:r>
              <w:rPr>
                <w:highlight w:val="none"/>
              </w:rPr>
              <w:instrText xml:space="preserve"> = 3 \* GB3 \* MERGEFORMAT </w:instrText>
            </w:r>
            <w:r>
              <w:rPr>
                <w:highlight w:val="none"/>
              </w:rPr>
              <w:fldChar w:fldCharType="separate"/>
            </w:r>
            <w:r>
              <w:rPr>
                <w:rFonts w:hint="eastAsia"/>
                <w:highlight w:val="none"/>
              </w:rPr>
              <w:t>③</w:t>
            </w:r>
            <w:r>
              <w:rPr>
                <w:highlight w:val="none"/>
              </w:rPr>
              <w:fldChar w:fldCharType="end"/>
            </w:r>
            <w:r>
              <w:rPr>
                <w:highlight w:val="none"/>
              </w:rPr>
              <w:t>危险废物运输</w:t>
            </w:r>
          </w:p>
          <w:p w14:paraId="47566A56">
            <w:pPr>
              <w:ind w:firstLine="480"/>
              <w:rPr>
                <w:highlight w:val="none"/>
              </w:rPr>
            </w:pPr>
            <w:r>
              <w:rPr>
                <w:highlight w:val="none"/>
              </w:rPr>
              <w:t>本项目产生的危险废物按照《危险废物收集、贮存、运输技术规范》（HJ2025-2012）相关要求进行运输，并按要求填写危险废物的收集记录、厂内转运记录表，并将记录表作为危险废物管理的重要档案妥善保存。</w:t>
            </w:r>
          </w:p>
          <w:p w14:paraId="5801A17B">
            <w:pPr>
              <w:ind w:firstLine="480"/>
              <w:rPr>
                <w:highlight w:val="none"/>
              </w:rPr>
            </w:pPr>
            <w:r>
              <w:rPr>
                <w:highlight w:val="none"/>
              </w:rPr>
              <w:t>a、运输承运危险废物时，应按照相关标准要求在危险废物包装上设置标志。</w:t>
            </w:r>
          </w:p>
          <w:p w14:paraId="433EF939">
            <w:pPr>
              <w:ind w:firstLine="480"/>
              <w:rPr>
                <w:highlight w:val="none"/>
              </w:rPr>
            </w:pPr>
            <w:r>
              <w:rPr>
                <w:highlight w:val="none"/>
              </w:rPr>
              <w:t>b、所有运输车辆按规定的路线运输。</w:t>
            </w:r>
          </w:p>
          <w:p w14:paraId="398BE07B">
            <w:pPr>
              <w:ind w:firstLine="480"/>
              <w:rPr>
                <w:highlight w:val="none"/>
              </w:rPr>
            </w:pPr>
            <w:r>
              <w:rPr>
                <w:highlight w:val="none"/>
              </w:rPr>
              <w:t>c、运输过程中危险废物应放置在密闭容器中，且运输设施应为封闭结构，具有防臭防遗撒功能，安装行驶及装卸记录仪。</w:t>
            </w:r>
          </w:p>
          <w:p w14:paraId="52DE8F9D">
            <w:pPr>
              <w:ind w:firstLine="480"/>
              <w:rPr>
                <w:highlight w:val="none"/>
              </w:rPr>
            </w:pPr>
            <w:r>
              <w:rPr>
                <w:highlight w:val="none"/>
              </w:rPr>
              <w:t>d、危险废物内部转运作业应采用专用的工具，危险废物内部转运应按照标准要求填写《危险废物厂内转运记录表》。</w:t>
            </w:r>
          </w:p>
          <w:p w14:paraId="0100937F">
            <w:pPr>
              <w:ind w:firstLine="480"/>
              <w:rPr>
                <w:highlight w:val="cyan"/>
              </w:rPr>
            </w:pPr>
            <w:r>
              <w:rPr>
                <w:highlight w:val="none"/>
              </w:rPr>
              <w:t>e、危险废物内部转运结束后，应对转运路线进行检查和清理，无危险废物遗失在转运路线上。</w:t>
            </w:r>
          </w:p>
          <w:p w14:paraId="4C085847">
            <w:pPr>
              <w:ind w:firstLine="480"/>
            </w:pPr>
            <w:r>
              <w:fldChar w:fldCharType="begin"/>
            </w:r>
            <w:r>
              <w:instrText xml:space="preserve"> = 4 \* GB3 \* MERGEFORMAT </w:instrText>
            </w:r>
            <w:r>
              <w:fldChar w:fldCharType="separate"/>
            </w:r>
            <w:r>
              <w:rPr>
                <w:rFonts w:hint="eastAsia"/>
              </w:rPr>
              <w:t>④</w:t>
            </w:r>
            <w:r>
              <w:fldChar w:fldCharType="end"/>
            </w:r>
            <w:r>
              <w:t>危险废物处置</w:t>
            </w:r>
          </w:p>
          <w:p w14:paraId="55AAE80C">
            <w:pPr>
              <w:ind w:firstLine="480"/>
              <w:rPr>
                <w:sz w:val="21"/>
                <w:szCs w:val="21"/>
                <w:lang w:val="zh-CN"/>
              </w:rPr>
            </w:pPr>
            <w:r>
              <w:t>本项目危险废物桶装收集后存放于</w:t>
            </w:r>
            <w:r>
              <w:rPr>
                <w:rFonts w:hint="eastAsia"/>
              </w:rPr>
              <w:t>危险废物暂存间</w:t>
            </w:r>
            <w:r>
              <w:t>，根据危险废物种类及数量，委托有资质的危险废物处置单位进行处理。</w:t>
            </w:r>
          </w:p>
          <w:p w14:paraId="76773581">
            <w:pPr>
              <w:adjustRightInd w:val="0"/>
              <w:snapToGrid w:val="0"/>
              <w:ind w:firstLine="0" w:firstLineChars="0"/>
              <w:rPr>
                <w:b/>
                <w:bCs/>
              </w:rPr>
            </w:pPr>
            <w:r>
              <w:rPr>
                <w:rFonts w:hint="eastAsia"/>
                <w:b/>
                <w:bCs/>
              </w:rPr>
              <w:t>五、地下水、土壤</w:t>
            </w:r>
          </w:p>
          <w:p w14:paraId="49E656C6">
            <w:pPr>
              <w:ind w:firstLine="480"/>
            </w:pPr>
            <w:r>
              <w:rPr>
                <w:rFonts w:hint="eastAsia"/>
              </w:rPr>
              <w:t>1、影响分析</w:t>
            </w:r>
          </w:p>
          <w:p w14:paraId="4FD28AA9">
            <w:pPr>
              <w:ind w:firstLine="480"/>
              <w:rPr>
                <w:highlight w:val="none"/>
              </w:rPr>
            </w:pPr>
            <w:r>
              <w:rPr>
                <w:rFonts w:hint="eastAsia"/>
                <w:highlight w:val="none"/>
              </w:rPr>
              <w:t>项目厂区东南侧4.5km处为大张刘庄集中式饮用水水源一级保护区（见附图），根据《环境影响评价技术导则 地下水环境》（HJ610-2016）附录A可知，本项目属于“I金属制品”中第51项“表面处理及热处理加工”中“其他”，地下水环境影响评价项目类别为</w:t>
            </w:r>
            <w:r>
              <w:rPr>
                <w:rFonts w:hint="eastAsia"/>
                <w:highlight w:val="none"/>
              </w:rPr>
              <w:fldChar w:fldCharType="begin"/>
            </w:r>
            <w:r>
              <w:rPr>
                <w:rFonts w:hint="eastAsia"/>
                <w:highlight w:val="none"/>
              </w:rPr>
              <w:instrText xml:space="preserve"> = 4 \* ROMAN \* MERGEFORMAT </w:instrText>
            </w:r>
            <w:r>
              <w:rPr>
                <w:rFonts w:hint="eastAsia"/>
                <w:highlight w:val="none"/>
              </w:rPr>
              <w:fldChar w:fldCharType="separate"/>
            </w:r>
            <w:r>
              <w:rPr>
                <w:rFonts w:hint="eastAsia"/>
                <w:highlight w:val="none"/>
              </w:rPr>
              <w:t>IV</w:t>
            </w:r>
            <w:r>
              <w:rPr>
                <w:rFonts w:hint="eastAsia"/>
                <w:highlight w:val="none"/>
              </w:rPr>
              <w:fldChar w:fldCharType="end"/>
            </w:r>
            <w:r>
              <w:rPr>
                <w:rFonts w:hint="eastAsia"/>
                <w:highlight w:val="none"/>
              </w:rPr>
              <w:t>类项目，无需开展地下水环境影响评价工作。</w:t>
            </w:r>
          </w:p>
          <w:p w14:paraId="1BE9F5A1">
            <w:pPr>
              <w:ind w:firstLine="480"/>
              <w:rPr>
                <w:szCs w:val="21"/>
                <w:highlight w:val="none"/>
              </w:rPr>
            </w:pPr>
            <w:r>
              <w:rPr>
                <w:rFonts w:hint="eastAsia"/>
                <w:szCs w:val="21"/>
                <w:highlight w:val="none"/>
              </w:rPr>
              <w:t>本项目生产过程产生的废气主要为颗粒物、油雾、</w:t>
            </w:r>
            <w:r>
              <w:rPr>
                <w:rFonts w:hint="eastAsia"/>
                <w:szCs w:val="21"/>
                <w:highlight w:val="none"/>
                <w:lang w:eastAsia="zh-CN"/>
              </w:rPr>
              <w:t>挥发性</w:t>
            </w:r>
            <w:r>
              <w:rPr>
                <w:rFonts w:hint="eastAsia"/>
                <w:szCs w:val="21"/>
                <w:highlight w:val="none"/>
              </w:rPr>
              <w:t>有机物（非甲烷总烃代），排放量较少，因此不会对土壤环境及地下水环境产生明显不利影响。</w:t>
            </w:r>
          </w:p>
          <w:p w14:paraId="51588B7D">
            <w:pPr>
              <w:ind w:firstLine="480"/>
              <w:rPr>
                <w:highlight w:val="none"/>
              </w:rPr>
            </w:pPr>
            <w:r>
              <w:rPr>
                <w:rFonts w:hint="eastAsia" w:ascii="宋体" w:hAnsi="宋体" w:cs="宋体"/>
                <w:sz w:val="24"/>
                <w:szCs w:val="24"/>
                <w:highlight w:val="none"/>
              </w:rPr>
              <w:t>本项目废水主要为</w:t>
            </w:r>
            <w:r>
              <w:rPr>
                <w:rFonts w:hint="eastAsia" w:ascii="宋体" w:hAnsi="宋体" w:cs="宋体"/>
                <w:sz w:val="24"/>
                <w:szCs w:val="24"/>
                <w:highlight w:val="none"/>
                <w:lang w:eastAsia="zh-CN"/>
              </w:rPr>
              <w:t>热处理过程</w:t>
            </w:r>
            <w:r>
              <w:rPr>
                <w:rFonts w:hint="eastAsia" w:ascii="宋体" w:hAnsi="宋体" w:cs="宋体"/>
                <w:sz w:val="24"/>
                <w:szCs w:val="24"/>
                <w:highlight w:val="none"/>
              </w:rPr>
              <w:t>清洗机定期清理产生的废水</w:t>
            </w:r>
            <w:r>
              <w:rPr>
                <w:rFonts w:hint="eastAsia" w:ascii="宋体" w:hAnsi="宋体" w:cs="宋体"/>
                <w:sz w:val="24"/>
                <w:szCs w:val="24"/>
                <w:highlight w:val="none"/>
                <w:lang w:eastAsia="zh-CN"/>
              </w:rPr>
              <w:t>、抛丸后</w:t>
            </w:r>
            <w:r>
              <w:rPr>
                <w:rFonts w:hint="eastAsia" w:ascii="宋体" w:hAnsi="宋体" w:cs="宋体"/>
                <w:sz w:val="24"/>
                <w:szCs w:val="24"/>
                <w:highlight w:val="none"/>
              </w:rPr>
              <w:t>清洗机定期清理产生的废水</w:t>
            </w:r>
            <w:r>
              <w:rPr>
                <w:rFonts w:hint="eastAsia" w:ascii="宋体" w:hAnsi="宋体" w:cs="宋体"/>
                <w:sz w:val="24"/>
                <w:szCs w:val="24"/>
                <w:highlight w:val="none"/>
                <w:lang w:eastAsia="zh-CN"/>
              </w:rPr>
              <w:t>、</w:t>
            </w:r>
            <w:r>
              <w:rPr>
                <w:rFonts w:hint="eastAsia"/>
                <w:sz w:val="24"/>
                <w:szCs w:val="24"/>
                <w:highlight w:val="none"/>
              </w:rPr>
              <w:t>软化水装置产生的浓盐水、蓄热式电锅炉排污水</w:t>
            </w:r>
            <w:r>
              <w:rPr>
                <w:rFonts w:hint="eastAsia" w:ascii="宋体" w:hAnsi="宋体" w:cs="宋体"/>
                <w:sz w:val="24"/>
                <w:szCs w:val="24"/>
                <w:highlight w:val="none"/>
                <w:lang w:eastAsia="zh-CN"/>
              </w:rPr>
              <w:t>、</w:t>
            </w:r>
            <w:r>
              <w:rPr>
                <w:rFonts w:hint="eastAsia" w:ascii="宋体" w:hAnsi="宋体" w:cs="宋体"/>
                <w:sz w:val="24"/>
                <w:szCs w:val="24"/>
                <w:highlight w:val="none"/>
              </w:rPr>
              <w:t>生活废水。</w:t>
            </w:r>
            <w:r>
              <w:rPr>
                <w:rFonts w:hint="eastAsia" w:ascii="宋体" w:hAnsi="宋体" w:cs="宋体"/>
                <w:sz w:val="24"/>
                <w:szCs w:val="24"/>
                <w:highlight w:val="none"/>
                <w:lang w:eastAsia="zh-CN"/>
              </w:rPr>
              <w:t>热处理过程</w:t>
            </w:r>
            <w:r>
              <w:rPr>
                <w:rFonts w:hint="eastAsia" w:ascii="宋体" w:hAnsi="宋体" w:cs="宋体"/>
                <w:sz w:val="24"/>
                <w:szCs w:val="24"/>
                <w:highlight w:val="none"/>
              </w:rPr>
              <w:t>清洗机定期清理产生的废水</w:t>
            </w:r>
            <w:r>
              <w:rPr>
                <w:rFonts w:hint="eastAsia"/>
                <w:sz w:val="24"/>
                <w:szCs w:val="24"/>
                <w:highlight w:val="none"/>
              </w:rPr>
              <w:t>经自带油水分离器</w:t>
            </w:r>
            <w:r>
              <w:rPr>
                <w:rFonts w:hint="eastAsia"/>
                <w:sz w:val="24"/>
                <w:szCs w:val="24"/>
                <w:highlight w:val="none"/>
                <w:lang w:eastAsia="zh-CN"/>
              </w:rPr>
              <w:t>分离后和</w:t>
            </w:r>
            <w:r>
              <w:rPr>
                <w:rFonts w:hint="eastAsia" w:ascii="宋体" w:hAnsi="宋体" w:cs="宋体"/>
                <w:sz w:val="24"/>
                <w:szCs w:val="24"/>
                <w:highlight w:val="none"/>
                <w:lang w:eastAsia="zh-CN"/>
              </w:rPr>
              <w:t>抛丸后</w:t>
            </w:r>
            <w:r>
              <w:rPr>
                <w:rFonts w:hint="eastAsia" w:ascii="宋体" w:hAnsi="宋体" w:cs="宋体"/>
                <w:sz w:val="24"/>
                <w:szCs w:val="24"/>
                <w:highlight w:val="none"/>
              </w:rPr>
              <w:t>清洗机定期清理产生的废水</w:t>
            </w:r>
            <w:r>
              <w:rPr>
                <w:rFonts w:hint="eastAsia"/>
                <w:sz w:val="24"/>
                <w:szCs w:val="24"/>
                <w:highlight w:val="none"/>
                <w:lang w:eastAsia="zh-CN"/>
              </w:rPr>
              <w:t>排入</w:t>
            </w:r>
            <w:r>
              <w:rPr>
                <w:rFonts w:hint="eastAsia"/>
                <w:sz w:val="24"/>
                <w:szCs w:val="24"/>
                <w:highlight w:val="none"/>
                <w:lang w:val="en-US" w:eastAsia="zh-CN"/>
              </w:rPr>
              <w:t>污水处理设施处理</w:t>
            </w:r>
            <w:r>
              <w:rPr>
                <w:rFonts w:hint="eastAsia"/>
                <w:sz w:val="24"/>
                <w:szCs w:val="24"/>
                <w:highlight w:val="none"/>
              </w:rPr>
              <w:t>，经园区污水管网，汇入园区污水处理厂处理</w:t>
            </w:r>
            <w:r>
              <w:rPr>
                <w:rFonts w:hint="eastAsia" w:ascii="宋体" w:hAnsi="宋体" w:cs="宋体"/>
                <w:sz w:val="24"/>
                <w:szCs w:val="24"/>
                <w:highlight w:val="none"/>
              </w:rPr>
              <w:t>；</w:t>
            </w:r>
            <w:r>
              <w:rPr>
                <w:rFonts w:hint="eastAsia" w:ascii="宋体" w:hAnsi="宋体" w:cs="宋体"/>
                <w:sz w:val="24"/>
                <w:szCs w:val="24"/>
                <w:highlight w:val="none"/>
                <w:lang w:eastAsia="zh-CN"/>
              </w:rPr>
              <w:t>食堂废水经隔油池处理；</w:t>
            </w:r>
            <w:r>
              <w:rPr>
                <w:rFonts w:hint="eastAsia"/>
                <w:sz w:val="24"/>
                <w:szCs w:val="24"/>
                <w:highlight w:val="none"/>
              </w:rPr>
              <w:t>软化水装置产生的浓盐水、蓄热式电锅炉排污水</w:t>
            </w:r>
            <w:r>
              <w:rPr>
                <w:rFonts w:hint="eastAsia"/>
                <w:sz w:val="24"/>
                <w:szCs w:val="24"/>
                <w:highlight w:val="none"/>
                <w:lang w:val="en-US" w:eastAsia="zh-CN"/>
              </w:rPr>
              <w:t>和其它</w:t>
            </w:r>
            <w:r>
              <w:rPr>
                <w:rFonts w:hint="eastAsia" w:ascii="宋体" w:hAnsi="宋体" w:cs="宋体"/>
                <w:sz w:val="24"/>
                <w:szCs w:val="24"/>
                <w:highlight w:val="none"/>
              </w:rPr>
              <w:t>生活废水</w:t>
            </w:r>
            <w:r>
              <w:rPr>
                <w:rFonts w:hint="eastAsia"/>
                <w:sz w:val="24"/>
                <w:szCs w:val="24"/>
                <w:highlight w:val="none"/>
              </w:rPr>
              <w:t>经园区污水管网，汇入园区污水处理厂处理</w:t>
            </w:r>
            <w:r>
              <w:rPr>
                <w:rFonts w:hint="eastAsia" w:ascii="宋体" w:hAnsi="宋体" w:cs="宋体"/>
                <w:sz w:val="21"/>
                <w:highlight w:val="none"/>
                <w:lang w:eastAsia="zh-CN"/>
              </w:rPr>
              <w:t>，</w:t>
            </w:r>
            <w:r>
              <w:rPr>
                <w:rFonts w:hint="eastAsia"/>
                <w:highlight w:val="none"/>
              </w:rPr>
              <w:t>本项目废水不会对土壤及地下水环境产生明显不利影响。</w:t>
            </w:r>
          </w:p>
          <w:p w14:paraId="0B39A288">
            <w:pPr>
              <w:ind w:firstLine="480"/>
              <w:rPr>
                <w:highlight w:val="none"/>
              </w:rPr>
            </w:pPr>
            <w:r>
              <w:rPr>
                <w:highlight w:val="none"/>
              </w:rPr>
              <w:t>本项目建成后对地下水、土壤的污染源主要为危废暂存间储存的危险废物</w:t>
            </w:r>
            <w:r>
              <w:rPr>
                <w:rFonts w:hint="eastAsia"/>
                <w:highlight w:val="none"/>
              </w:rPr>
              <w:t>，危险品</w:t>
            </w:r>
            <w:r>
              <w:rPr>
                <w:rFonts w:hint="eastAsia"/>
                <w:highlight w:val="none"/>
                <w:lang w:eastAsia="zh-CN"/>
              </w:rPr>
              <w:t>库房存储的</w:t>
            </w:r>
            <w:r>
              <w:rPr>
                <w:rFonts w:hint="eastAsia"/>
                <w:highlight w:val="none"/>
              </w:rPr>
              <w:t>危险物品，</w:t>
            </w:r>
            <w:r>
              <w:rPr>
                <w:rFonts w:hint="eastAsia"/>
                <w:highlight w:val="none"/>
                <w:lang w:eastAsia="zh-CN"/>
              </w:rPr>
              <w:t>污水处理设施</w:t>
            </w:r>
            <w:r>
              <w:rPr>
                <w:rFonts w:hint="eastAsia"/>
                <w:highlight w:val="none"/>
              </w:rPr>
              <w:t>废水，生产、维修过程产生的废润滑油、废切削液、废液压油、废</w:t>
            </w:r>
            <w:r>
              <w:rPr>
                <w:rFonts w:hint="eastAsia"/>
                <w:highlight w:val="none"/>
                <w:lang w:eastAsia="zh-CN"/>
              </w:rPr>
              <w:t>淬火油</w:t>
            </w:r>
            <w:r>
              <w:rPr>
                <w:rFonts w:hint="eastAsia"/>
                <w:highlight w:val="none"/>
              </w:rPr>
              <w:t>等</w:t>
            </w:r>
            <w:r>
              <w:rPr>
                <w:highlight w:val="none"/>
              </w:rPr>
              <w:t>，可能因泄漏导致垂直入渗污染地下水、土壤，本项目按照</w:t>
            </w:r>
            <w:r>
              <w:rPr>
                <w:rFonts w:hint="eastAsia"/>
                <w:highlight w:val="none"/>
                <w:lang w:eastAsia="zh-CN"/>
              </w:rPr>
              <w:t>“</w:t>
            </w:r>
            <w:r>
              <w:rPr>
                <w:highlight w:val="none"/>
              </w:rPr>
              <w:t>源头控制、分区防治、污染监控、应急响应</w:t>
            </w:r>
            <w:r>
              <w:rPr>
                <w:rFonts w:hint="eastAsia"/>
                <w:highlight w:val="none"/>
                <w:lang w:eastAsia="zh-CN"/>
              </w:rPr>
              <w:t>”</w:t>
            </w:r>
            <w:r>
              <w:rPr>
                <w:highlight w:val="none"/>
              </w:rPr>
              <w:t>相结合的原则，采用源头控制措施、分区防治措施。尽可能从源头上减少污染物的产生，防止环境污染，严格按照国家相关规范要求，对工艺、管道、设备、构建物采取相应措施，以防止和降低污染物的跑、冒、滴、漏，做好防渗措施，避免由于泄漏造成物料下渗污染地下水。</w:t>
            </w:r>
          </w:p>
          <w:p w14:paraId="2D3B4F29">
            <w:pPr>
              <w:ind w:firstLine="480"/>
              <w:rPr>
                <w:highlight w:val="none"/>
              </w:rPr>
            </w:pPr>
            <w:r>
              <w:rPr>
                <w:highlight w:val="none"/>
              </w:rPr>
              <w:t>危废暂存间</w:t>
            </w:r>
            <w:r>
              <w:rPr>
                <w:rFonts w:hint="eastAsia"/>
                <w:highlight w:val="none"/>
              </w:rPr>
              <w:t>、危险品库房</w:t>
            </w:r>
            <w:r>
              <w:rPr>
                <w:highlight w:val="none"/>
              </w:rPr>
              <w:t>为重点防渗区，</w:t>
            </w:r>
            <w:r>
              <w:rPr>
                <w:rFonts w:hint="eastAsia"/>
                <w:highlight w:val="none"/>
                <w:lang w:eastAsia="zh-CN"/>
              </w:rPr>
              <w:t>污水处理设施</w:t>
            </w:r>
            <w:r>
              <w:rPr>
                <w:rFonts w:hint="eastAsia"/>
                <w:highlight w:val="none"/>
              </w:rPr>
              <w:t>废水等</w:t>
            </w:r>
            <w:r>
              <w:rPr>
                <w:highlight w:val="none"/>
              </w:rPr>
              <w:t>生产区域为一般防渗区，厂区地面为简单防渗区。</w:t>
            </w:r>
          </w:p>
          <w:p w14:paraId="3C1486CD">
            <w:pPr>
              <w:ind w:firstLine="480"/>
              <w:rPr>
                <w:highlight w:val="none"/>
              </w:rPr>
            </w:pPr>
            <w:r>
              <w:rPr>
                <w:highlight w:val="none"/>
              </w:rPr>
              <w:t>①重点防渗区：</w:t>
            </w:r>
            <w:r>
              <w:rPr>
                <w:rFonts w:hint="eastAsia"/>
                <w:highlight w:val="none"/>
              </w:rPr>
              <w:t>危废暂存间、危险品库房应按照《危险废物贮存污染控制标准》(GB18597-2001)及修改单(环保部公告 2013 年第 36 号)的相关要求采取防火、防雨、防渗处理，</w:t>
            </w:r>
            <w:r>
              <w:rPr>
                <w:highlight w:val="none"/>
              </w:rPr>
              <w:t>防渗层为至少1m厚粘土层（渗透系数≤1.0×10</w:t>
            </w:r>
            <w:r>
              <w:rPr>
                <w:highlight w:val="none"/>
                <w:vertAlign w:val="superscript"/>
              </w:rPr>
              <w:t>-7</w:t>
            </w:r>
            <w:r>
              <w:rPr>
                <w:highlight w:val="none"/>
              </w:rPr>
              <w:t>cm/s），或2mm厚高密度聚乙烯，或至少2mm厚的其它人工材料，渗透系数≤1.0×10</w:t>
            </w:r>
            <w:r>
              <w:rPr>
                <w:highlight w:val="none"/>
                <w:vertAlign w:val="superscript"/>
              </w:rPr>
              <w:t>-10</w:t>
            </w:r>
            <w:r>
              <w:rPr>
                <w:highlight w:val="none"/>
              </w:rPr>
              <w:t>cm/s</w:t>
            </w:r>
            <w:r>
              <w:rPr>
                <w:rFonts w:hint="eastAsia"/>
                <w:highlight w:val="none"/>
              </w:rPr>
              <w:t>，各类危废分类收集、暂存，及时委托资质单位处置，不在厂区内长期存放、危险品库房做好分区储存。</w:t>
            </w:r>
          </w:p>
          <w:p w14:paraId="3BBDD10B">
            <w:pPr>
              <w:ind w:firstLine="480"/>
              <w:rPr>
                <w:highlight w:val="none"/>
              </w:rPr>
            </w:pPr>
            <w:r>
              <w:rPr>
                <w:highlight w:val="none"/>
              </w:rPr>
              <w:t>②一般防渗区：</w:t>
            </w:r>
            <w:r>
              <w:rPr>
                <w:rFonts w:hint="eastAsia"/>
                <w:highlight w:val="none"/>
                <w:lang w:eastAsia="zh-CN"/>
              </w:rPr>
              <w:t>污水处理设施</w:t>
            </w:r>
            <w:r>
              <w:rPr>
                <w:rFonts w:hint="eastAsia"/>
                <w:highlight w:val="none"/>
              </w:rPr>
              <w:t>废水</w:t>
            </w:r>
            <w:r>
              <w:rPr>
                <w:highlight w:val="none"/>
              </w:rPr>
              <w:t>等</w:t>
            </w:r>
            <w:r>
              <w:rPr>
                <w:rFonts w:hint="eastAsia"/>
                <w:highlight w:val="none"/>
              </w:rPr>
              <w:t>生产区</w:t>
            </w:r>
            <w:r>
              <w:rPr>
                <w:highlight w:val="none"/>
              </w:rPr>
              <w:t>建设进行基础防渗处理，需满足等效黏土防渗层Mb≥6.0m，K≤1.0×10</w:t>
            </w:r>
            <w:r>
              <w:rPr>
                <w:highlight w:val="none"/>
                <w:vertAlign w:val="superscript"/>
              </w:rPr>
              <w:t>-7</w:t>
            </w:r>
            <w:r>
              <w:rPr>
                <w:highlight w:val="none"/>
              </w:rPr>
              <w:t>cm/s。</w:t>
            </w:r>
          </w:p>
          <w:p w14:paraId="4EDF0A15">
            <w:pPr>
              <w:ind w:firstLine="480"/>
              <w:rPr>
                <w:highlight w:val="none"/>
              </w:rPr>
            </w:pPr>
            <w:r>
              <w:rPr>
                <w:highlight w:val="none"/>
              </w:rPr>
              <w:t>③简单防渗区：厂区地面（除绿化用地）全部进行硬化处理。</w:t>
            </w:r>
          </w:p>
          <w:p w14:paraId="53D540D7">
            <w:pPr>
              <w:ind w:firstLine="480"/>
              <w:rPr>
                <w:highlight w:val="none"/>
              </w:rPr>
            </w:pPr>
            <w:r>
              <w:rPr>
                <w:highlight w:val="none"/>
              </w:rPr>
              <w:t>综上，采取上述防控措施后，本项目建成后对区域地下水、土壤环境影响较小。</w:t>
            </w:r>
          </w:p>
          <w:p w14:paraId="2731E7DC">
            <w:pPr>
              <w:snapToGrid w:val="0"/>
              <w:ind w:firstLine="480"/>
              <w:jc w:val="left"/>
              <w:rPr>
                <w:highlight w:val="none"/>
              </w:rPr>
            </w:pPr>
            <w:r>
              <w:rPr>
                <w:rFonts w:hint="eastAsia"/>
                <w:highlight w:val="none"/>
              </w:rPr>
              <w:t>2、环境监测与管理</w:t>
            </w:r>
          </w:p>
          <w:p w14:paraId="4054C66D">
            <w:pPr>
              <w:ind w:firstLine="480"/>
              <w:rPr>
                <w:highlight w:val="none"/>
              </w:rPr>
            </w:pPr>
            <w:r>
              <w:rPr>
                <w:highlight w:val="none"/>
              </w:rPr>
              <w:t>根据本项目特点，建设单位应建立地下水</w:t>
            </w:r>
            <w:r>
              <w:rPr>
                <w:rFonts w:hint="eastAsia"/>
                <w:highlight w:val="none"/>
              </w:rPr>
              <w:t>和土壤</w:t>
            </w:r>
            <w:r>
              <w:rPr>
                <w:highlight w:val="none"/>
              </w:rPr>
              <w:t>环境监测管理体系，包括制定地下水</w:t>
            </w:r>
            <w:r>
              <w:rPr>
                <w:rFonts w:hint="eastAsia"/>
                <w:highlight w:val="none"/>
              </w:rPr>
              <w:t>和土壤</w:t>
            </w:r>
            <w:r>
              <w:rPr>
                <w:highlight w:val="none"/>
              </w:rPr>
              <w:t>环境影响跟踪监测计划，建立地下水</w:t>
            </w:r>
            <w:r>
              <w:rPr>
                <w:rFonts w:hint="eastAsia"/>
                <w:highlight w:val="none"/>
              </w:rPr>
              <w:t>和土壤</w:t>
            </w:r>
            <w:r>
              <w:rPr>
                <w:highlight w:val="none"/>
              </w:rPr>
              <w:t>环境影响跟踪监测制度，以便及时发现问题，采取措施。</w:t>
            </w:r>
          </w:p>
          <w:p w14:paraId="3FCBA2B6">
            <w:pPr>
              <w:ind w:firstLine="480"/>
              <w:rPr>
                <w:highlight w:val="none"/>
              </w:rPr>
            </w:pPr>
            <w:r>
              <w:rPr>
                <w:highlight w:val="none"/>
              </w:rPr>
              <w:t>（1）跟踪监测计划</w:t>
            </w:r>
          </w:p>
          <w:p w14:paraId="50E2CA15">
            <w:pPr>
              <w:ind w:firstLine="480"/>
              <w:rPr>
                <w:highlight w:val="none"/>
              </w:rPr>
            </w:pPr>
            <w:r>
              <w:rPr>
                <w:highlight w:val="none"/>
              </w:rPr>
              <w:t>所在区域地下水流场总体形态是由北向南流动，为跟踪监测本项目是否在建设运营过程中对地下水水质</w:t>
            </w:r>
            <w:r>
              <w:rPr>
                <w:rFonts w:hint="eastAsia"/>
                <w:highlight w:val="none"/>
              </w:rPr>
              <w:t>和土壤</w:t>
            </w:r>
            <w:r>
              <w:rPr>
                <w:highlight w:val="none"/>
              </w:rPr>
              <w:t>造成影响，建设单位委托有检测能力单位定期对项目下游的地下水</w:t>
            </w:r>
            <w:r>
              <w:rPr>
                <w:rFonts w:hint="eastAsia"/>
                <w:highlight w:val="none"/>
              </w:rPr>
              <w:t>及土壤</w:t>
            </w:r>
            <w:r>
              <w:rPr>
                <w:highlight w:val="none"/>
              </w:rPr>
              <w:t>进行监测，本项目</w:t>
            </w:r>
            <w:r>
              <w:rPr>
                <w:rFonts w:hint="eastAsia"/>
                <w:highlight w:val="none"/>
              </w:rPr>
              <w:t>污染大气因素为废气沉淀和污染物泄露引起地下水和土壤污染，根据项目特点，</w:t>
            </w:r>
            <w:r>
              <w:rPr>
                <w:highlight w:val="none"/>
              </w:rPr>
              <w:t>重点监测项目为地下水</w:t>
            </w:r>
            <w:r>
              <w:rPr>
                <w:rFonts w:hint="eastAsia"/>
                <w:highlight w:val="none"/>
              </w:rPr>
              <w:t>及土壤</w:t>
            </w:r>
            <w:r>
              <w:rPr>
                <w:highlight w:val="none"/>
              </w:rPr>
              <w:t>中</w:t>
            </w:r>
            <w:r>
              <w:rPr>
                <w:rFonts w:hint="eastAsia"/>
                <w:highlight w:val="none"/>
              </w:rPr>
              <w:t>的石油类、铁</w:t>
            </w:r>
            <w:r>
              <w:rPr>
                <w:highlight w:val="none"/>
              </w:rPr>
              <w:t>等含量。</w:t>
            </w:r>
          </w:p>
          <w:p w14:paraId="73795471">
            <w:pPr>
              <w:pStyle w:val="31"/>
              <w:spacing w:line="440" w:lineRule="exact"/>
              <w:rPr>
                <w:b/>
                <w:bCs/>
                <w:sz w:val="21"/>
                <w:highlight w:val="none"/>
              </w:rPr>
            </w:pPr>
            <w:r>
              <w:rPr>
                <w:b/>
                <w:bCs/>
                <w:sz w:val="21"/>
                <w:highlight w:val="none"/>
              </w:rPr>
              <w:t>表</w:t>
            </w:r>
            <w:r>
              <w:rPr>
                <w:rFonts w:hint="eastAsia"/>
                <w:b/>
                <w:bCs/>
                <w:sz w:val="21"/>
                <w:highlight w:val="none"/>
              </w:rPr>
              <w:t>4-19</w:t>
            </w:r>
            <w:r>
              <w:rPr>
                <w:b/>
                <w:bCs/>
                <w:sz w:val="21"/>
                <w:highlight w:val="none"/>
              </w:rPr>
              <w:t xml:space="preserve">  </w:t>
            </w:r>
            <w:r>
              <w:rPr>
                <w:rFonts w:hint="eastAsia"/>
                <w:b/>
                <w:bCs/>
                <w:sz w:val="21"/>
                <w:highlight w:val="none"/>
              </w:rPr>
              <w:t>地下水及土壤</w:t>
            </w:r>
            <w:r>
              <w:rPr>
                <w:b/>
                <w:bCs/>
                <w:sz w:val="21"/>
                <w:highlight w:val="none"/>
              </w:rPr>
              <w:t>监测计划</w:t>
            </w:r>
            <w:r>
              <w:rPr>
                <w:rFonts w:hint="eastAsia"/>
                <w:b/>
                <w:bCs/>
                <w:sz w:val="21"/>
                <w:highlight w:val="none"/>
              </w:rPr>
              <w:t>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46"/>
              <w:gridCol w:w="660"/>
              <w:gridCol w:w="1170"/>
              <w:gridCol w:w="1202"/>
              <w:gridCol w:w="1245"/>
              <w:gridCol w:w="945"/>
              <w:gridCol w:w="825"/>
              <w:gridCol w:w="960"/>
              <w:gridCol w:w="631"/>
            </w:tblGrid>
            <w:tr w14:paraId="3E2DB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106" w:type="dxa"/>
                  <w:gridSpan w:val="2"/>
                  <w:vMerge w:val="restart"/>
                  <w:tcBorders>
                    <w:tl2br w:val="nil"/>
                    <w:tr2bl w:val="nil"/>
                  </w:tcBorders>
                  <w:vAlign w:val="center"/>
                </w:tcPr>
                <w:p w14:paraId="44EE08B4">
                  <w:pPr>
                    <w:spacing w:line="240" w:lineRule="auto"/>
                    <w:ind w:firstLine="0" w:firstLineChars="0"/>
                    <w:jc w:val="center"/>
                    <w:rPr>
                      <w:sz w:val="21"/>
                      <w:szCs w:val="21"/>
                      <w:highlight w:val="none"/>
                    </w:rPr>
                  </w:pPr>
                  <w:r>
                    <w:rPr>
                      <w:sz w:val="21"/>
                      <w:szCs w:val="21"/>
                      <w:highlight w:val="none"/>
                    </w:rPr>
                    <w:t>监测点名称</w:t>
                  </w:r>
                </w:p>
              </w:tc>
              <w:tc>
                <w:tcPr>
                  <w:tcW w:w="2372" w:type="dxa"/>
                  <w:gridSpan w:val="2"/>
                  <w:tcBorders>
                    <w:tl2br w:val="nil"/>
                    <w:tr2bl w:val="nil"/>
                  </w:tcBorders>
                  <w:vAlign w:val="center"/>
                </w:tcPr>
                <w:p w14:paraId="0762230F">
                  <w:pPr>
                    <w:spacing w:line="240" w:lineRule="auto"/>
                    <w:ind w:firstLine="0" w:firstLineChars="0"/>
                    <w:jc w:val="center"/>
                    <w:rPr>
                      <w:sz w:val="21"/>
                      <w:szCs w:val="21"/>
                      <w:highlight w:val="none"/>
                    </w:rPr>
                  </w:pPr>
                  <w:r>
                    <w:rPr>
                      <w:sz w:val="21"/>
                      <w:szCs w:val="21"/>
                      <w:highlight w:val="none"/>
                    </w:rPr>
                    <w:t>监测点坐标</w:t>
                  </w:r>
                </w:p>
              </w:tc>
              <w:tc>
                <w:tcPr>
                  <w:tcW w:w="1245" w:type="dxa"/>
                  <w:vMerge w:val="restart"/>
                  <w:tcBorders>
                    <w:tl2br w:val="nil"/>
                    <w:tr2bl w:val="nil"/>
                  </w:tcBorders>
                  <w:vAlign w:val="center"/>
                </w:tcPr>
                <w:p w14:paraId="6168A433">
                  <w:pPr>
                    <w:spacing w:line="240" w:lineRule="auto"/>
                    <w:ind w:firstLine="0" w:firstLineChars="0"/>
                    <w:jc w:val="center"/>
                    <w:rPr>
                      <w:sz w:val="21"/>
                      <w:szCs w:val="21"/>
                      <w:highlight w:val="none"/>
                    </w:rPr>
                  </w:pPr>
                  <w:r>
                    <w:rPr>
                      <w:sz w:val="21"/>
                      <w:szCs w:val="21"/>
                      <w:highlight w:val="none"/>
                    </w:rPr>
                    <w:t>监测因子</w:t>
                  </w:r>
                </w:p>
              </w:tc>
              <w:tc>
                <w:tcPr>
                  <w:tcW w:w="945" w:type="dxa"/>
                  <w:vMerge w:val="restart"/>
                  <w:tcBorders>
                    <w:tl2br w:val="nil"/>
                    <w:tr2bl w:val="nil"/>
                  </w:tcBorders>
                  <w:vAlign w:val="center"/>
                </w:tcPr>
                <w:p w14:paraId="343B6972">
                  <w:pPr>
                    <w:spacing w:line="240" w:lineRule="auto"/>
                    <w:ind w:firstLine="0" w:firstLineChars="0"/>
                    <w:jc w:val="center"/>
                    <w:rPr>
                      <w:sz w:val="21"/>
                      <w:szCs w:val="21"/>
                      <w:highlight w:val="none"/>
                    </w:rPr>
                  </w:pPr>
                  <w:r>
                    <w:rPr>
                      <w:sz w:val="21"/>
                      <w:szCs w:val="21"/>
                      <w:highlight w:val="none"/>
                    </w:rPr>
                    <w:t>监测时段</w:t>
                  </w:r>
                </w:p>
              </w:tc>
              <w:tc>
                <w:tcPr>
                  <w:tcW w:w="825" w:type="dxa"/>
                  <w:vMerge w:val="restart"/>
                  <w:tcBorders>
                    <w:tl2br w:val="nil"/>
                    <w:tr2bl w:val="nil"/>
                  </w:tcBorders>
                  <w:vAlign w:val="center"/>
                </w:tcPr>
                <w:p w14:paraId="6E1E533B">
                  <w:pPr>
                    <w:spacing w:line="240" w:lineRule="auto"/>
                    <w:ind w:firstLine="0" w:firstLineChars="0"/>
                    <w:jc w:val="center"/>
                    <w:rPr>
                      <w:sz w:val="21"/>
                      <w:szCs w:val="21"/>
                      <w:highlight w:val="none"/>
                    </w:rPr>
                  </w:pPr>
                  <w:r>
                    <w:rPr>
                      <w:sz w:val="21"/>
                      <w:szCs w:val="21"/>
                      <w:highlight w:val="none"/>
                    </w:rPr>
                    <w:t>相对厂址方位</w:t>
                  </w:r>
                </w:p>
              </w:tc>
              <w:tc>
                <w:tcPr>
                  <w:tcW w:w="960" w:type="dxa"/>
                  <w:vMerge w:val="restart"/>
                  <w:tcBorders>
                    <w:tl2br w:val="nil"/>
                    <w:tr2bl w:val="nil"/>
                  </w:tcBorders>
                  <w:vAlign w:val="center"/>
                </w:tcPr>
                <w:p w14:paraId="5A40E591">
                  <w:pPr>
                    <w:spacing w:line="240" w:lineRule="auto"/>
                    <w:ind w:firstLine="0" w:firstLineChars="0"/>
                    <w:jc w:val="center"/>
                    <w:rPr>
                      <w:sz w:val="21"/>
                      <w:szCs w:val="21"/>
                      <w:highlight w:val="none"/>
                    </w:rPr>
                  </w:pPr>
                  <w:r>
                    <w:rPr>
                      <w:sz w:val="21"/>
                      <w:szCs w:val="21"/>
                      <w:highlight w:val="none"/>
                    </w:rPr>
                    <w:t>相对厂界距离/m</w:t>
                  </w:r>
                </w:p>
              </w:tc>
              <w:tc>
                <w:tcPr>
                  <w:tcW w:w="631" w:type="dxa"/>
                  <w:vMerge w:val="restart"/>
                  <w:tcBorders>
                    <w:tl2br w:val="nil"/>
                    <w:tr2bl w:val="nil"/>
                  </w:tcBorders>
                  <w:vAlign w:val="center"/>
                </w:tcPr>
                <w:p w14:paraId="6A631650">
                  <w:pPr>
                    <w:spacing w:line="240" w:lineRule="auto"/>
                    <w:ind w:firstLine="0" w:firstLineChars="0"/>
                    <w:jc w:val="center"/>
                    <w:rPr>
                      <w:sz w:val="21"/>
                      <w:szCs w:val="21"/>
                      <w:highlight w:val="none"/>
                    </w:rPr>
                  </w:pPr>
                  <w:r>
                    <w:rPr>
                      <w:sz w:val="21"/>
                      <w:szCs w:val="21"/>
                      <w:highlight w:val="none"/>
                    </w:rPr>
                    <w:t>备注</w:t>
                  </w:r>
                </w:p>
              </w:tc>
            </w:tr>
            <w:tr w14:paraId="3721C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106" w:type="dxa"/>
                  <w:gridSpan w:val="2"/>
                  <w:vMerge w:val="continue"/>
                  <w:tcBorders>
                    <w:tl2br w:val="nil"/>
                    <w:tr2bl w:val="nil"/>
                  </w:tcBorders>
                  <w:vAlign w:val="center"/>
                </w:tcPr>
                <w:p w14:paraId="476896F5">
                  <w:pPr>
                    <w:widowControl/>
                    <w:spacing w:line="240" w:lineRule="auto"/>
                    <w:ind w:firstLine="0" w:firstLineChars="0"/>
                    <w:jc w:val="center"/>
                    <w:rPr>
                      <w:sz w:val="21"/>
                      <w:szCs w:val="21"/>
                      <w:highlight w:val="none"/>
                    </w:rPr>
                  </w:pPr>
                </w:p>
              </w:tc>
              <w:tc>
                <w:tcPr>
                  <w:tcW w:w="1170" w:type="dxa"/>
                  <w:tcBorders>
                    <w:tl2br w:val="nil"/>
                    <w:tr2bl w:val="nil"/>
                  </w:tcBorders>
                  <w:vAlign w:val="center"/>
                </w:tcPr>
                <w:p w14:paraId="0CEB0437">
                  <w:pPr>
                    <w:spacing w:line="240" w:lineRule="auto"/>
                    <w:ind w:firstLine="0" w:firstLineChars="0"/>
                    <w:jc w:val="center"/>
                    <w:rPr>
                      <w:sz w:val="21"/>
                      <w:szCs w:val="21"/>
                      <w:highlight w:val="none"/>
                    </w:rPr>
                  </w:pPr>
                  <w:r>
                    <w:rPr>
                      <w:sz w:val="21"/>
                      <w:szCs w:val="21"/>
                      <w:highlight w:val="none"/>
                    </w:rPr>
                    <w:t>经度</w:t>
                  </w:r>
                </w:p>
              </w:tc>
              <w:tc>
                <w:tcPr>
                  <w:tcW w:w="1202" w:type="dxa"/>
                  <w:tcBorders>
                    <w:tl2br w:val="nil"/>
                    <w:tr2bl w:val="nil"/>
                  </w:tcBorders>
                  <w:vAlign w:val="center"/>
                </w:tcPr>
                <w:p w14:paraId="2FBB9807">
                  <w:pPr>
                    <w:spacing w:line="240" w:lineRule="auto"/>
                    <w:ind w:firstLine="0" w:firstLineChars="0"/>
                    <w:jc w:val="center"/>
                    <w:rPr>
                      <w:sz w:val="21"/>
                      <w:szCs w:val="21"/>
                      <w:highlight w:val="none"/>
                    </w:rPr>
                  </w:pPr>
                  <w:r>
                    <w:rPr>
                      <w:sz w:val="21"/>
                      <w:szCs w:val="21"/>
                      <w:highlight w:val="none"/>
                    </w:rPr>
                    <w:t>纬度</w:t>
                  </w:r>
                </w:p>
              </w:tc>
              <w:tc>
                <w:tcPr>
                  <w:tcW w:w="1245" w:type="dxa"/>
                  <w:vMerge w:val="continue"/>
                  <w:tcBorders>
                    <w:tl2br w:val="nil"/>
                    <w:tr2bl w:val="nil"/>
                  </w:tcBorders>
                  <w:vAlign w:val="center"/>
                </w:tcPr>
                <w:p w14:paraId="36FA3D68">
                  <w:pPr>
                    <w:widowControl/>
                    <w:spacing w:line="240" w:lineRule="auto"/>
                    <w:ind w:firstLine="0" w:firstLineChars="0"/>
                    <w:jc w:val="center"/>
                    <w:rPr>
                      <w:sz w:val="21"/>
                      <w:szCs w:val="21"/>
                      <w:highlight w:val="none"/>
                    </w:rPr>
                  </w:pPr>
                </w:p>
              </w:tc>
              <w:tc>
                <w:tcPr>
                  <w:tcW w:w="945" w:type="dxa"/>
                  <w:vMerge w:val="continue"/>
                  <w:tcBorders>
                    <w:tl2br w:val="nil"/>
                    <w:tr2bl w:val="nil"/>
                  </w:tcBorders>
                  <w:vAlign w:val="center"/>
                </w:tcPr>
                <w:p w14:paraId="4814B12E">
                  <w:pPr>
                    <w:widowControl/>
                    <w:spacing w:line="240" w:lineRule="auto"/>
                    <w:ind w:firstLine="0" w:firstLineChars="0"/>
                    <w:jc w:val="center"/>
                    <w:rPr>
                      <w:sz w:val="21"/>
                      <w:szCs w:val="21"/>
                      <w:highlight w:val="none"/>
                    </w:rPr>
                  </w:pPr>
                </w:p>
              </w:tc>
              <w:tc>
                <w:tcPr>
                  <w:tcW w:w="825" w:type="dxa"/>
                  <w:vMerge w:val="continue"/>
                  <w:tcBorders>
                    <w:tl2br w:val="nil"/>
                    <w:tr2bl w:val="nil"/>
                  </w:tcBorders>
                  <w:vAlign w:val="center"/>
                </w:tcPr>
                <w:p w14:paraId="69B2502F">
                  <w:pPr>
                    <w:widowControl/>
                    <w:spacing w:line="240" w:lineRule="auto"/>
                    <w:ind w:firstLine="0" w:firstLineChars="0"/>
                    <w:jc w:val="center"/>
                    <w:rPr>
                      <w:sz w:val="21"/>
                      <w:szCs w:val="21"/>
                      <w:highlight w:val="none"/>
                    </w:rPr>
                  </w:pPr>
                </w:p>
              </w:tc>
              <w:tc>
                <w:tcPr>
                  <w:tcW w:w="960" w:type="dxa"/>
                  <w:vMerge w:val="continue"/>
                  <w:tcBorders>
                    <w:tl2br w:val="nil"/>
                    <w:tr2bl w:val="nil"/>
                  </w:tcBorders>
                  <w:vAlign w:val="center"/>
                </w:tcPr>
                <w:p w14:paraId="367E7326">
                  <w:pPr>
                    <w:widowControl/>
                    <w:spacing w:line="240" w:lineRule="auto"/>
                    <w:ind w:firstLine="0" w:firstLineChars="0"/>
                    <w:jc w:val="center"/>
                    <w:rPr>
                      <w:sz w:val="21"/>
                      <w:szCs w:val="21"/>
                      <w:highlight w:val="none"/>
                    </w:rPr>
                  </w:pPr>
                </w:p>
              </w:tc>
              <w:tc>
                <w:tcPr>
                  <w:tcW w:w="631" w:type="dxa"/>
                  <w:vMerge w:val="continue"/>
                  <w:tcBorders>
                    <w:tl2br w:val="nil"/>
                    <w:tr2bl w:val="nil"/>
                  </w:tcBorders>
                  <w:vAlign w:val="center"/>
                </w:tcPr>
                <w:p w14:paraId="336E1D40">
                  <w:pPr>
                    <w:widowControl/>
                    <w:spacing w:line="240" w:lineRule="auto"/>
                    <w:ind w:firstLine="0" w:firstLineChars="0"/>
                    <w:jc w:val="center"/>
                    <w:rPr>
                      <w:sz w:val="21"/>
                      <w:szCs w:val="21"/>
                      <w:highlight w:val="none"/>
                    </w:rPr>
                  </w:pPr>
                </w:p>
              </w:tc>
            </w:tr>
            <w:tr w14:paraId="73792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46" w:type="dxa"/>
                  <w:tcBorders>
                    <w:tl2br w:val="nil"/>
                    <w:tr2bl w:val="nil"/>
                  </w:tcBorders>
                  <w:vAlign w:val="center"/>
                </w:tcPr>
                <w:p w14:paraId="1AC0D2DB">
                  <w:pPr>
                    <w:spacing w:line="240" w:lineRule="auto"/>
                    <w:ind w:firstLine="0" w:firstLineChars="0"/>
                    <w:jc w:val="center"/>
                    <w:rPr>
                      <w:sz w:val="21"/>
                      <w:szCs w:val="21"/>
                      <w:highlight w:val="none"/>
                    </w:rPr>
                  </w:pPr>
                  <w:r>
                    <w:rPr>
                      <w:sz w:val="21"/>
                      <w:szCs w:val="21"/>
                      <w:highlight w:val="none"/>
                    </w:rPr>
                    <w:t>地下水</w:t>
                  </w:r>
                </w:p>
              </w:tc>
              <w:tc>
                <w:tcPr>
                  <w:tcW w:w="660" w:type="dxa"/>
                  <w:tcBorders>
                    <w:tl2br w:val="nil"/>
                    <w:tr2bl w:val="nil"/>
                  </w:tcBorders>
                  <w:vAlign w:val="center"/>
                </w:tcPr>
                <w:p w14:paraId="1C01ADE5">
                  <w:pPr>
                    <w:spacing w:line="240" w:lineRule="auto"/>
                    <w:ind w:firstLine="0" w:firstLineChars="0"/>
                    <w:jc w:val="center"/>
                    <w:rPr>
                      <w:sz w:val="21"/>
                      <w:szCs w:val="21"/>
                      <w:highlight w:val="none"/>
                    </w:rPr>
                  </w:pPr>
                  <w:r>
                    <w:rPr>
                      <w:sz w:val="21"/>
                      <w:szCs w:val="21"/>
                      <w:highlight w:val="none"/>
                    </w:rPr>
                    <w:t>地下水</w:t>
                  </w:r>
                  <w:r>
                    <w:rPr>
                      <w:kern w:val="0"/>
                      <w:sz w:val="21"/>
                      <w:szCs w:val="21"/>
                      <w:highlight w:val="none"/>
                    </w:rPr>
                    <w:t>监控井</w:t>
                  </w:r>
                </w:p>
              </w:tc>
              <w:tc>
                <w:tcPr>
                  <w:tcW w:w="1170" w:type="dxa"/>
                  <w:tcBorders>
                    <w:tl2br w:val="nil"/>
                    <w:tr2bl w:val="nil"/>
                  </w:tcBorders>
                  <w:vAlign w:val="center"/>
                </w:tcPr>
                <w:p w14:paraId="7B9E9D9A">
                  <w:pPr>
                    <w:widowControl/>
                    <w:spacing w:line="240" w:lineRule="auto"/>
                    <w:ind w:firstLine="0" w:firstLineChars="0"/>
                    <w:jc w:val="center"/>
                    <w:textAlignment w:val="center"/>
                    <w:rPr>
                      <w:sz w:val="21"/>
                      <w:szCs w:val="21"/>
                      <w:highlight w:val="none"/>
                    </w:rPr>
                  </w:pPr>
                  <w:r>
                    <w:rPr>
                      <w:sz w:val="21"/>
                      <w:szCs w:val="21"/>
                      <w:highlight w:val="none"/>
                    </w:rPr>
                    <w:t>118°1′59.27″</w:t>
                  </w:r>
                </w:p>
              </w:tc>
              <w:tc>
                <w:tcPr>
                  <w:tcW w:w="1202" w:type="dxa"/>
                  <w:tcBorders>
                    <w:tl2br w:val="nil"/>
                    <w:tr2bl w:val="nil"/>
                  </w:tcBorders>
                  <w:vAlign w:val="center"/>
                </w:tcPr>
                <w:p w14:paraId="2CF87AC3">
                  <w:pPr>
                    <w:widowControl/>
                    <w:spacing w:line="240" w:lineRule="auto"/>
                    <w:ind w:firstLine="0" w:firstLineChars="0"/>
                    <w:jc w:val="center"/>
                    <w:textAlignment w:val="center"/>
                    <w:rPr>
                      <w:sz w:val="21"/>
                      <w:szCs w:val="21"/>
                      <w:highlight w:val="none"/>
                    </w:rPr>
                  </w:pPr>
                  <w:r>
                    <w:rPr>
                      <w:sz w:val="21"/>
                      <w:szCs w:val="21"/>
                      <w:highlight w:val="none"/>
                    </w:rPr>
                    <w:t>39°42′16.58″</w:t>
                  </w:r>
                </w:p>
              </w:tc>
              <w:tc>
                <w:tcPr>
                  <w:tcW w:w="1245" w:type="dxa"/>
                  <w:tcBorders>
                    <w:tl2br w:val="nil"/>
                    <w:tr2bl w:val="nil"/>
                  </w:tcBorders>
                  <w:vAlign w:val="center"/>
                </w:tcPr>
                <w:p w14:paraId="7EDAD739">
                  <w:pPr>
                    <w:spacing w:line="240" w:lineRule="auto"/>
                    <w:ind w:firstLine="0" w:firstLineChars="0"/>
                    <w:jc w:val="center"/>
                    <w:rPr>
                      <w:sz w:val="21"/>
                      <w:szCs w:val="21"/>
                      <w:highlight w:val="none"/>
                    </w:rPr>
                  </w:pPr>
                  <w:r>
                    <w:rPr>
                      <w:sz w:val="21"/>
                      <w:szCs w:val="21"/>
                      <w:highlight w:val="none"/>
                    </w:rPr>
                    <w:t>pH、</w:t>
                  </w:r>
                  <w:r>
                    <w:rPr>
                      <w:rFonts w:hint="eastAsia"/>
                      <w:sz w:val="21"/>
                      <w:szCs w:val="21"/>
                      <w:highlight w:val="none"/>
                    </w:rPr>
                    <w:t>总硬度、</w:t>
                  </w:r>
                  <w:r>
                    <w:rPr>
                      <w:sz w:val="21"/>
                      <w:szCs w:val="21"/>
                      <w:highlight w:val="none"/>
                    </w:rPr>
                    <w:t>氨氮、耗氧量、石油类</w:t>
                  </w:r>
                </w:p>
              </w:tc>
              <w:tc>
                <w:tcPr>
                  <w:tcW w:w="945" w:type="dxa"/>
                  <w:tcBorders>
                    <w:tl2br w:val="nil"/>
                    <w:tr2bl w:val="nil"/>
                  </w:tcBorders>
                  <w:vAlign w:val="center"/>
                </w:tcPr>
                <w:p w14:paraId="7715E7E4">
                  <w:pPr>
                    <w:spacing w:line="240" w:lineRule="auto"/>
                    <w:ind w:firstLine="0" w:firstLineChars="0"/>
                    <w:jc w:val="center"/>
                    <w:rPr>
                      <w:sz w:val="21"/>
                      <w:szCs w:val="21"/>
                      <w:highlight w:val="none"/>
                    </w:rPr>
                  </w:pPr>
                  <w:r>
                    <w:rPr>
                      <w:sz w:val="21"/>
                      <w:szCs w:val="21"/>
                      <w:highlight w:val="none"/>
                    </w:rPr>
                    <w:t>1次/</w:t>
                  </w:r>
                  <w:r>
                    <w:rPr>
                      <w:rFonts w:hint="eastAsia"/>
                      <w:sz w:val="21"/>
                      <w:szCs w:val="21"/>
                      <w:highlight w:val="none"/>
                    </w:rPr>
                    <w:t>5</w:t>
                  </w:r>
                  <w:r>
                    <w:rPr>
                      <w:sz w:val="21"/>
                      <w:szCs w:val="21"/>
                      <w:highlight w:val="none"/>
                    </w:rPr>
                    <w:t>年</w:t>
                  </w:r>
                </w:p>
              </w:tc>
              <w:tc>
                <w:tcPr>
                  <w:tcW w:w="825" w:type="dxa"/>
                  <w:tcBorders>
                    <w:tl2br w:val="nil"/>
                    <w:tr2bl w:val="nil"/>
                  </w:tcBorders>
                  <w:vAlign w:val="center"/>
                </w:tcPr>
                <w:p w14:paraId="4D4570D0">
                  <w:pPr>
                    <w:spacing w:line="240" w:lineRule="auto"/>
                    <w:ind w:firstLine="0" w:firstLineChars="0"/>
                    <w:jc w:val="center"/>
                    <w:rPr>
                      <w:sz w:val="21"/>
                      <w:szCs w:val="21"/>
                      <w:highlight w:val="none"/>
                    </w:rPr>
                  </w:pPr>
                  <w:r>
                    <w:rPr>
                      <w:sz w:val="21"/>
                      <w:szCs w:val="21"/>
                      <w:highlight w:val="none"/>
                    </w:rPr>
                    <w:t>S</w:t>
                  </w:r>
                </w:p>
              </w:tc>
              <w:tc>
                <w:tcPr>
                  <w:tcW w:w="960" w:type="dxa"/>
                  <w:tcBorders>
                    <w:tl2br w:val="nil"/>
                    <w:tr2bl w:val="nil"/>
                  </w:tcBorders>
                  <w:vAlign w:val="center"/>
                </w:tcPr>
                <w:p w14:paraId="1906EB02">
                  <w:pPr>
                    <w:pStyle w:val="2"/>
                    <w:spacing w:line="240" w:lineRule="auto"/>
                    <w:ind w:leftChars="0" w:firstLine="0" w:firstLineChars="0"/>
                    <w:jc w:val="center"/>
                    <w:rPr>
                      <w:szCs w:val="21"/>
                      <w:highlight w:val="none"/>
                    </w:rPr>
                  </w:pPr>
                  <w:r>
                    <w:rPr>
                      <w:szCs w:val="21"/>
                      <w:highlight w:val="none"/>
                    </w:rPr>
                    <w:t>约</w:t>
                  </w:r>
                  <w:r>
                    <w:rPr>
                      <w:rFonts w:hint="eastAsia"/>
                      <w:szCs w:val="21"/>
                      <w:highlight w:val="none"/>
                    </w:rPr>
                    <w:t>450m</w:t>
                  </w:r>
                </w:p>
              </w:tc>
              <w:tc>
                <w:tcPr>
                  <w:tcW w:w="631" w:type="dxa"/>
                  <w:tcBorders>
                    <w:tl2br w:val="nil"/>
                    <w:tr2bl w:val="nil"/>
                  </w:tcBorders>
                  <w:vAlign w:val="center"/>
                </w:tcPr>
                <w:p w14:paraId="411F3D99">
                  <w:pPr>
                    <w:pStyle w:val="2"/>
                    <w:spacing w:line="240" w:lineRule="auto"/>
                    <w:ind w:leftChars="0" w:firstLine="0" w:firstLineChars="0"/>
                    <w:jc w:val="center"/>
                    <w:rPr>
                      <w:szCs w:val="21"/>
                      <w:highlight w:val="none"/>
                    </w:rPr>
                  </w:pPr>
                  <w:r>
                    <w:rPr>
                      <w:szCs w:val="21"/>
                      <w:highlight w:val="none"/>
                    </w:rPr>
                    <w:t>场地下游</w:t>
                  </w:r>
                </w:p>
              </w:tc>
            </w:tr>
            <w:tr w14:paraId="681FF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46" w:type="dxa"/>
                  <w:vMerge w:val="restart"/>
                  <w:tcBorders>
                    <w:tl2br w:val="nil"/>
                    <w:tr2bl w:val="nil"/>
                  </w:tcBorders>
                  <w:vAlign w:val="center"/>
                </w:tcPr>
                <w:p w14:paraId="35D8A910">
                  <w:pPr>
                    <w:spacing w:line="240" w:lineRule="auto"/>
                    <w:ind w:firstLine="0" w:firstLineChars="0"/>
                    <w:jc w:val="center"/>
                    <w:rPr>
                      <w:sz w:val="21"/>
                      <w:szCs w:val="21"/>
                      <w:highlight w:val="none"/>
                    </w:rPr>
                  </w:pPr>
                  <w:r>
                    <w:rPr>
                      <w:sz w:val="21"/>
                      <w:szCs w:val="21"/>
                      <w:highlight w:val="none"/>
                    </w:rPr>
                    <w:t>土壤</w:t>
                  </w:r>
                </w:p>
              </w:tc>
              <w:tc>
                <w:tcPr>
                  <w:tcW w:w="660" w:type="dxa"/>
                  <w:tcBorders>
                    <w:tl2br w:val="nil"/>
                    <w:tr2bl w:val="nil"/>
                  </w:tcBorders>
                  <w:vAlign w:val="center"/>
                </w:tcPr>
                <w:p w14:paraId="21BAFC50">
                  <w:pPr>
                    <w:spacing w:line="240" w:lineRule="auto"/>
                    <w:ind w:firstLine="0" w:firstLineChars="0"/>
                    <w:jc w:val="center"/>
                    <w:rPr>
                      <w:sz w:val="21"/>
                      <w:szCs w:val="21"/>
                      <w:highlight w:val="none"/>
                    </w:rPr>
                  </w:pPr>
                  <w:r>
                    <w:rPr>
                      <w:sz w:val="21"/>
                      <w:szCs w:val="21"/>
                      <w:highlight w:val="none"/>
                    </w:rPr>
                    <w:t>厂房东侧</w:t>
                  </w:r>
                </w:p>
              </w:tc>
              <w:tc>
                <w:tcPr>
                  <w:tcW w:w="1170" w:type="dxa"/>
                  <w:tcBorders>
                    <w:tl2br w:val="nil"/>
                    <w:tr2bl w:val="nil"/>
                  </w:tcBorders>
                  <w:vAlign w:val="center"/>
                </w:tcPr>
                <w:p w14:paraId="69AB4FE7">
                  <w:pPr>
                    <w:widowControl/>
                    <w:spacing w:line="240" w:lineRule="auto"/>
                    <w:ind w:firstLine="0" w:firstLineChars="0"/>
                    <w:jc w:val="center"/>
                    <w:textAlignment w:val="center"/>
                    <w:rPr>
                      <w:sz w:val="21"/>
                      <w:szCs w:val="21"/>
                      <w:highlight w:val="none"/>
                    </w:rPr>
                  </w:pPr>
                  <w:r>
                    <w:rPr>
                      <w:sz w:val="21"/>
                      <w:szCs w:val="21"/>
                      <w:highlight w:val="none"/>
                    </w:rPr>
                    <w:t>118°1′55.57″</w:t>
                  </w:r>
                </w:p>
              </w:tc>
              <w:tc>
                <w:tcPr>
                  <w:tcW w:w="1202" w:type="dxa"/>
                  <w:tcBorders>
                    <w:tl2br w:val="nil"/>
                    <w:tr2bl w:val="nil"/>
                  </w:tcBorders>
                  <w:vAlign w:val="center"/>
                </w:tcPr>
                <w:p w14:paraId="5AD4E1D3">
                  <w:pPr>
                    <w:widowControl/>
                    <w:spacing w:line="240" w:lineRule="auto"/>
                    <w:ind w:firstLine="0" w:firstLineChars="0"/>
                    <w:jc w:val="center"/>
                    <w:textAlignment w:val="center"/>
                    <w:rPr>
                      <w:sz w:val="21"/>
                      <w:szCs w:val="21"/>
                      <w:highlight w:val="none"/>
                    </w:rPr>
                  </w:pPr>
                  <w:r>
                    <w:rPr>
                      <w:sz w:val="21"/>
                      <w:szCs w:val="21"/>
                      <w:highlight w:val="none"/>
                    </w:rPr>
                    <w:t>39°42′40.03″</w:t>
                  </w:r>
                </w:p>
              </w:tc>
              <w:tc>
                <w:tcPr>
                  <w:tcW w:w="1245" w:type="dxa"/>
                  <w:vMerge w:val="restart"/>
                  <w:tcBorders>
                    <w:tl2br w:val="nil"/>
                    <w:tr2bl w:val="nil"/>
                  </w:tcBorders>
                  <w:vAlign w:val="center"/>
                </w:tcPr>
                <w:p w14:paraId="1F19D0A9">
                  <w:pPr>
                    <w:spacing w:line="240" w:lineRule="auto"/>
                    <w:ind w:firstLine="0" w:firstLineChars="0"/>
                    <w:jc w:val="center"/>
                    <w:rPr>
                      <w:sz w:val="21"/>
                      <w:szCs w:val="21"/>
                      <w:highlight w:val="none"/>
                    </w:rPr>
                  </w:pPr>
                  <w:r>
                    <w:rPr>
                      <w:sz w:val="21"/>
                      <w:szCs w:val="21"/>
                      <w:highlight w:val="none"/>
                    </w:rPr>
                    <w:t>pH、</w:t>
                  </w:r>
                  <w:r>
                    <w:rPr>
                      <w:rFonts w:hint="eastAsia"/>
                      <w:sz w:val="21"/>
                      <w:szCs w:val="21"/>
                      <w:highlight w:val="none"/>
                    </w:rPr>
                    <w:t>阳离子交换量、</w:t>
                  </w:r>
                  <w:r>
                    <w:rPr>
                      <w:sz w:val="21"/>
                      <w:szCs w:val="21"/>
                      <w:highlight w:val="none"/>
                    </w:rPr>
                    <w:t>石油烃、锰、铁、</w:t>
                  </w:r>
                </w:p>
              </w:tc>
              <w:tc>
                <w:tcPr>
                  <w:tcW w:w="945" w:type="dxa"/>
                  <w:tcBorders>
                    <w:tl2br w:val="nil"/>
                    <w:tr2bl w:val="nil"/>
                  </w:tcBorders>
                  <w:vAlign w:val="center"/>
                </w:tcPr>
                <w:p w14:paraId="52DF65CD">
                  <w:pPr>
                    <w:spacing w:line="240" w:lineRule="auto"/>
                    <w:ind w:firstLine="0" w:firstLineChars="0"/>
                    <w:jc w:val="center"/>
                    <w:rPr>
                      <w:sz w:val="21"/>
                      <w:szCs w:val="21"/>
                      <w:highlight w:val="none"/>
                    </w:rPr>
                  </w:pPr>
                  <w:r>
                    <w:rPr>
                      <w:sz w:val="21"/>
                      <w:szCs w:val="21"/>
                      <w:highlight w:val="none"/>
                    </w:rPr>
                    <w:t>1次/</w:t>
                  </w:r>
                  <w:r>
                    <w:rPr>
                      <w:rFonts w:hint="eastAsia"/>
                      <w:sz w:val="21"/>
                      <w:szCs w:val="21"/>
                      <w:highlight w:val="none"/>
                    </w:rPr>
                    <w:t>5</w:t>
                  </w:r>
                  <w:r>
                    <w:rPr>
                      <w:sz w:val="21"/>
                      <w:szCs w:val="21"/>
                      <w:highlight w:val="none"/>
                    </w:rPr>
                    <w:t>年</w:t>
                  </w:r>
                </w:p>
              </w:tc>
              <w:tc>
                <w:tcPr>
                  <w:tcW w:w="825" w:type="dxa"/>
                  <w:tcBorders>
                    <w:tl2br w:val="nil"/>
                    <w:tr2bl w:val="nil"/>
                  </w:tcBorders>
                  <w:vAlign w:val="center"/>
                </w:tcPr>
                <w:p w14:paraId="73A893BE">
                  <w:pPr>
                    <w:spacing w:line="240" w:lineRule="auto"/>
                    <w:ind w:firstLine="0" w:firstLineChars="0"/>
                    <w:jc w:val="center"/>
                    <w:rPr>
                      <w:sz w:val="21"/>
                      <w:szCs w:val="21"/>
                      <w:highlight w:val="none"/>
                    </w:rPr>
                  </w:pPr>
                  <w:r>
                    <w:rPr>
                      <w:sz w:val="21"/>
                      <w:szCs w:val="21"/>
                      <w:highlight w:val="none"/>
                    </w:rPr>
                    <w:t>厂区</w:t>
                  </w:r>
                </w:p>
              </w:tc>
              <w:tc>
                <w:tcPr>
                  <w:tcW w:w="960" w:type="dxa"/>
                  <w:tcBorders>
                    <w:tl2br w:val="nil"/>
                    <w:tr2bl w:val="nil"/>
                  </w:tcBorders>
                  <w:vAlign w:val="center"/>
                </w:tcPr>
                <w:p w14:paraId="13990AD1">
                  <w:pPr>
                    <w:pStyle w:val="2"/>
                    <w:spacing w:line="240" w:lineRule="auto"/>
                    <w:ind w:leftChars="0" w:firstLine="0" w:firstLineChars="0"/>
                    <w:jc w:val="center"/>
                    <w:rPr>
                      <w:szCs w:val="21"/>
                      <w:highlight w:val="none"/>
                    </w:rPr>
                  </w:pPr>
                  <w:r>
                    <w:rPr>
                      <w:szCs w:val="21"/>
                      <w:highlight w:val="none"/>
                    </w:rPr>
                    <w:t>/</w:t>
                  </w:r>
                </w:p>
              </w:tc>
              <w:tc>
                <w:tcPr>
                  <w:tcW w:w="631" w:type="dxa"/>
                  <w:tcBorders>
                    <w:tl2br w:val="nil"/>
                    <w:tr2bl w:val="nil"/>
                  </w:tcBorders>
                  <w:vAlign w:val="center"/>
                </w:tcPr>
                <w:p w14:paraId="590DA81B">
                  <w:pPr>
                    <w:pStyle w:val="2"/>
                    <w:spacing w:line="240" w:lineRule="auto"/>
                    <w:ind w:leftChars="0" w:firstLine="0" w:firstLineChars="0"/>
                    <w:jc w:val="center"/>
                    <w:rPr>
                      <w:szCs w:val="21"/>
                      <w:highlight w:val="none"/>
                    </w:rPr>
                  </w:pPr>
                  <w:r>
                    <w:rPr>
                      <w:szCs w:val="21"/>
                      <w:highlight w:val="none"/>
                    </w:rPr>
                    <w:t>厂区</w:t>
                  </w:r>
                </w:p>
              </w:tc>
            </w:tr>
            <w:tr w14:paraId="2844A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46" w:type="dxa"/>
                  <w:vMerge w:val="continue"/>
                  <w:tcBorders>
                    <w:tl2br w:val="nil"/>
                    <w:tr2bl w:val="nil"/>
                  </w:tcBorders>
                  <w:vAlign w:val="center"/>
                </w:tcPr>
                <w:p w14:paraId="78D5A327">
                  <w:pPr>
                    <w:widowControl/>
                    <w:spacing w:line="240" w:lineRule="auto"/>
                    <w:ind w:firstLine="0" w:firstLineChars="0"/>
                    <w:jc w:val="center"/>
                    <w:rPr>
                      <w:sz w:val="21"/>
                      <w:szCs w:val="21"/>
                      <w:highlight w:val="none"/>
                    </w:rPr>
                  </w:pPr>
                </w:p>
              </w:tc>
              <w:tc>
                <w:tcPr>
                  <w:tcW w:w="660" w:type="dxa"/>
                  <w:tcBorders>
                    <w:tl2br w:val="nil"/>
                    <w:tr2bl w:val="nil"/>
                  </w:tcBorders>
                  <w:vAlign w:val="center"/>
                </w:tcPr>
                <w:p w14:paraId="1822F129">
                  <w:pPr>
                    <w:spacing w:line="240" w:lineRule="auto"/>
                    <w:ind w:firstLine="0" w:firstLineChars="0"/>
                    <w:jc w:val="center"/>
                    <w:rPr>
                      <w:sz w:val="21"/>
                      <w:szCs w:val="21"/>
                      <w:highlight w:val="none"/>
                    </w:rPr>
                  </w:pPr>
                  <w:r>
                    <w:rPr>
                      <w:rFonts w:hint="eastAsia"/>
                      <w:sz w:val="21"/>
                      <w:szCs w:val="21"/>
                      <w:highlight w:val="none"/>
                    </w:rPr>
                    <w:t>绿化带</w:t>
                  </w:r>
                </w:p>
              </w:tc>
              <w:tc>
                <w:tcPr>
                  <w:tcW w:w="1170" w:type="dxa"/>
                  <w:tcBorders>
                    <w:tl2br w:val="nil"/>
                    <w:tr2bl w:val="nil"/>
                  </w:tcBorders>
                  <w:vAlign w:val="center"/>
                </w:tcPr>
                <w:p w14:paraId="29435F21">
                  <w:pPr>
                    <w:widowControl/>
                    <w:spacing w:line="240" w:lineRule="auto"/>
                    <w:ind w:firstLine="0" w:firstLineChars="0"/>
                    <w:jc w:val="center"/>
                    <w:textAlignment w:val="center"/>
                    <w:rPr>
                      <w:sz w:val="21"/>
                      <w:szCs w:val="21"/>
                      <w:highlight w:val="none"/>
                    </w:rPr>
                  </w:pPr>
                  <w:r>
                    <w:rPr>
                      <w:sz w:val="21"/>
                      <w:szCs w:val="21"/>
                      <w:highlight w:val="none"/>
                    </w:rPr>
                    <w:t>118°1′57.07″</w:t>
                  </w:r>
                </w:p>
              </w:tc>
              <w:tc>
                <w:tcPr>
                  <w:tcW w:w="1202" w:type="dxa"/>
                  <w:tcBorders>
                    <w:tl2br w:val="nil"/>
                    <w:tr2bl w:val="nil"/>
                  </w:tcBorders>
                  <w:vAlign w:val="center"/>
                </w:tcPr>
                <w:p w14:paraId="380A6644">
                  <w:pPr>
                    <w:widowControl/>
                    <w:spacing w:line="240" w:lineRule="auto"/>
                    <w:ind w:firstLine="0" w:firstLineChars="0"/>
                    <w:jc w:val="center"/>
                    <w:textAlignment w:val="center"/>
                    <w:rPr>
                      <w:sz w:val="21"/>
                      <w:szCs w:val="21"/>
                      <w:highlight w:val="none"/>
                    </w:rPr>
                  </w:pPr>
                  <w:r>
                    <w:rPr>
                      <w:sz w:val="21"/>
                      <w:szCs w:val="21"/>
                      <w:highlight w:val="none"/>
                    </w:rPr>
                    <w:t>39°42′26.89″</w:t>
                  </w:r>
                </w:p>
              </w:tc>
              <w:tc>
                <w:tcPr>
                  <w:tcW w:w="1245" w:type="dxa"/>
                  <w:vMerge w:val="continue"/>
                  <w:tcBorders>
                    <w:tl2br w:val="nil"/>
                    <w:tr2bl w:val="nil"/>
                  </w:tcBorders>
                  <w:vAlign w:val="center"/>
                </w:tcPr>
                <w:p w14:paraId="2CDD5A0C">
                  <w:pPr>
                    <w:widowControl/>
                    <w:spacing w:line="240" w:lineRule="auto"/>
                    <w:ind w:firstLine="0" w:firstLineChars="0"/>
                    <w:jc w:val="center"/>
                    <w:rPr>
                      <w:sz w:val="21"/>
                      <w:szCs w:val="21"/>
                      <w:highlight w:val="none"/>
                    </w:rPr>
                  </w:pPr>
                </w:p>
              </w:tc>
              <w:tc>
                <w:tcPr>
                  <w:tcW w:w="945" w:type="dxa"/>
                  <w:tcBorders>
                    <w:tl2br w:val="nil"/>
                    <w:tr2bl w:val="nil"/>
                  </w:tcBorders>
                  <w:vAlign w:val="center"/>
                </w:tcPr>
                <w:p w14:paraId="64FD0301">
                  <w:pPr>
                    <w:spacing w:line="240" w:lineRule="auto"/>
                    <w:ind w:firstLine="0" w:firstLineChars="0"/>
                    <w:jc w:val="center"/>
                    <w:rPr>
                      <w:sz w:val="21"/>
                      <w:szCs w:val="21"/>
                      <w:highlight w:val="none"/>
                    </w:rPr>
                  </w:pPr>
                  <w:r>
                    <w:rPr>
                      <w:sz w:val="21"/>
                      <w:szCs w:val="21"/>
                      <w:highlight w:val="none"/>
                    </w:rPr>
                    <w:t>1次/</w:t>
                  </w:r>
                  <w:r>
                    <w:rPr>
                      <w:rFonts w:hint="eastAsia"/>
                      <w:sz w:val="21"/>
                      <w:szCs w:val="21"/>
                      <w:highlight w:val="none"/>
                    </w:rPr>
                    <w:t>5</w:t>
                  </w:r>
                  <w:r>
                    <w:rPr>
                      <w:sz w:val="21"/>
                      <w:szCs w:val="21"/>
                      <w:highlight w:val="none"/>
                    </w:rPr>
                    <w:t>年</w:t>
                  </w:r>
                </w:p>
              </w:tc>
              <w:tc>
                <w:tcPr>
                  <w:tcW w:w="825" w:type="dxa"/>
                  <w:tcBorders>
                    <w:tl2br w:val="nil"/>
                    <w:tr2bl w:val="nil"/>
                  </w:tcBorders>
                  <w:vAlign w:val="center"/>
                </w:tcPr>
                <w:p w14:paraId="3942D100">
                  <w:pPr>
                    <w:spacing w:line="240" w:lineRule="auto"/>
                    <w:ind w:firstLine="0" w:firstLineChars="0"/>
                    <w:jc w:val="center"/>
                    <w:rPr>
                      <w:sz w:val="21"/>
                      <w:szCs w:val="21"/>
                      <w:highlight w:val="none"/>
                    </w:rPr>
                  </w:pPr>
                  <w:r>
                    <w:rPr>
                      <w:sz w:val="21"/>
                      <w:szCs w:val="21"/>
                      <w:highlight w:val="none"/>
                    </w:rPr>
                    <w:t>S</w:t>
                  </w:r>
                </w:p>
              </w:tc>
              <w:tc>
                <w:tcPr>
                  <w:tcW w:w="960" w:type="dxa"/>
                  <w:tcBorders>
                    <w:tl2br w:val="nil"/>
                    <w:tr2bl w:val="nil"/>
                  </w:tcBorders>
                  <w:vAlign w:val="center"/>
                </w:tcPr>
                <w:p w14:paraId="0F905651">
                  <w:pPr>
                    <w:pStyle w:val="2"/>
                    <w:spacing w:line="240" w:lineRule="auto"/>
                    <w:ind w:leftChars="0" w:firstLine="0" w:firstLineChars="0"/>
                    <w:jc w:val="center"/>
                    <w:rPr>
                      <w:szCs w:val="21"/>
                      <w:highlight w:val="none"/>
                    </w:rPr>
                  </w:pPr>
                  <w:r>
                    <w:rPr>
                      <w:rFonts w:hint="eastAsia"/>
                      <w:szCs w:val="21"/>
                      <w:highlight w:val="none"/>
                    </w:rPr>
                    <w:t>100</w:t>
                  </w:r>
                  <w:r>
                    <w:rPr>
                      <w:szCs w:val="21"/>
                      <w:highlight w:val="none"/>
                    </w:rPr>
                    <w:t>m</w:t>
                  </w:r>
                </w:p>
              </w:tc>
              <w:tc>
                <w:tcPr>
                  <w:tcW w:w="631" w:type="dxa"/>
                  <w:tcBorders>
                    <w:tl2br w:val="nil"/>
                    <w:tr2bl w:val="nil"/>
                  </w:tcBorders>
                  <w:vAlign w:val="center"/>
                </w:tcPr>
                <w:p w14:paraId="2F1F6AC0">
                  <w:pPr>
                    <w:pStyle w:val="2"/>
                    <w:spacing w:line="240" w:lineRule="auto"/>
                    <w:ind w:leftChars="0" w:firstLine="0" w:firstLineChars="0"/>
                    <w:jc w:val="center"/>
                    <w:rPr>
                      <w:szCs w:val="21"/>
                      <w:highlight w:val="none"/>
                    </w:rPr>
                  </w:pPr>
                  <w:r>
                    <w:rPr>
                      <w:szCs w:val="21"/>
                      <w:highlight w:val="none"/>
                    </w:rPr>
                    <w:t>场地下游</w:t>
                  </w:r>
                </w:p>
              </w:tc>
            </w:tr>
          </w:tbl>
          <w:p w14:paraId="3EA2CC07">
            <w:pPr>
              <w:ind w:left="480" w:leftChars="200" w:firstLine="0" w:firstLineChars="0"/>
              <w:rPr>
                <w:highlight w:val="none"/>
              </w:rPr>
            </w:pPr>
            <w:r>
              <w:rPr>
                <w:rFonts w:hint="eastAsia"/>
                <w:highlight w:val="none"/>
              </w:rPr>
              <w:t>（2）</w:t>
            </w:r>
            <w:r>
              <w:rPr>
                <w:highlight w:val="none"/>
              </w:rPr>
              <w:t>环境跟踪监测与信息公开计划</w:t>
            </w:r>
          </w:p>
          <w:p w14:paraId="15E5CF06">
            <w:pPr>
              <w:ind w:firstLine="480"/>
              <w:rPr>
                <w:highlight w:val="none"/>
              </w:rPr>
            </w:pPr>
            <w:r>
              <w:rPr>
                <w:highlight w:val="none"/>
              </w:rPr>
              <w:t>建设单位作为跟踪监测报告的责任主体，应按照《环境评价技术导则 地下水环境》（HJ 610-2016）</w:t>
            </w:r>
            <w:r>
              <w:rPr>
                <w:rFonts w:hint="eastAsia"/>
                <w:highlight w:val="none"/>
              </w:rPr>
              <w:t>、</w:t>
            </w:r>
            <w:r>
              <w:rPr>
                <w:highlight w:val="none"/>
              </w:rPr>
              <w:t xml:space="preserve">《环境评价技术导则 </w:t>
            </w:r>
            <w:r>
              <w:rPr>
                <w:rFonts w:hint="eastAsia"/>
                <w:highlight w:val="none"/>
              </w:rPr>
              <w:t>土壤</w:t>
            </w:r>
            <w:r>
              <w:rPr>
                <w:highlight w:val="none"/>
              </w:rPr>
              <w:t>环境</w:t>
            </w:r>
            <w:r>
              <w:rPr>
                <w:rFonts w:hint="eastAsia"/>
                <w:highlight w:val="none"/>
              </w:rPr>
              <w:t>（试行）</w:t>
            </w:r>
            <w:r>
              <w:rPr>
                <w:highlight w:val="none"/>
              </w:rPr>
              <w:t xml:space="preserve">》（HJ </w:t>
            </w:r>
            <w:r>
              <w:rPr>
                <w:rFonts w:hint="eastAsia"/>
                <w:highlight w:val="none"/>
              </w:rPr>
              <w:t>964</w:t>
            </w:r>
            <w:r>
              <w:rPr>
                <w:highlight w:val="none"/>
              </w:rPr>
              <w:t>-201</w:t>
            </w:r>
            <w:r>
              <w:rPr>
                <w:rFonts w:hint="eastAsia"/>
                <w:highlight w:val="none"/>
              </w:rPr>
              <w:t>8</w:t>
            </w:r>
            <w:r>
              <w:rPr>
                <w:highlight w:val="none"/>
              </w:rPr>
              <w:t>）要求制定地下水</w:t>
            </w:r>
            <w:r>
              <w:rPr>
                <w:rFonts w:hint="eastAsia"/>
                <w:highlight w:val="none"/>
              </w:rPr>
              <w:t>及土壤</w:t>
            </w:r>
            <w:r>
              <w:rPr>
                <w:highlight w:val="none"/>
              </w:rPr>
              <w:t>环境跟踪监测报告，报告内容应明确下述内容。</w:t>
            </w:r>
          </w:p>
          <w:p w14:paraId="72E3B805">
            <w:pPr>
              <w:ind w:firstLine="480"/>
              <w:rPr>
                <w:highlight w:val="none"/>
              </w:rPr>
            </w:pPr>
            <w:r>
              <w:rPr>
                <w:highlight w:val="none"/>
              </w:rPr>
              <w:t>①项目场地及影响区域地下水</w:t>
            </w:r>
            <w:r>
              <w:rPr>
                <w:rFonts w:hint="eastAsia"/>
                <w:highlight w:val="none"/>
              </w:rPr>
              <w:t>、土壤</w:t>
            </w:r>
            <w:r>
              <w:rPr>
                <w:highlight w:val="none"/>
              </w:rPr>
              <w:t>环境跟踪监测数据，跟踪监测项目区域地下水</w:t>
            </w:r>
            <w:r>
              <w:rPr>
                <w:rFonts w:hint="eastAsia"/>
                <w:highlight w:val="none"/>
              </w:rPr>
              <w:t>、土壤</w:t>
            </w:r>
            <w:r>
              <w:rPr>
                <w:highlight w:val="none"/>
              </w:rPr>
              <w:t>中</w:t>
            </w:r>
            <w:r>
              <w:rPr>
                <w:rFonts w:hint="eastAsia"/>
                <w:highlight w:val="none"/>
              </w:rPr>
              <w:t>的甲苯、二甲苯</w:t>
            </w:r>
            <w:r>
              <w:rPr>
                <w:highlight w:val="none"/>
              </w:rPr>
              <w:t>等污染因子浓度。</w:t>
            </w:r>
          </w:p>
          <w:p w14:paraId="6DE82749">
            <w:pPr>
              <w:ind w:firstLine="480"/>
              <w:rPr>
                <w:highlight w:val="none"/>
              </w:rPr>
            </w:pPr>
            <w:r>
              <w:rPr>
                <w:highlight w:val="none"/>
              </w:rPr>
              <w:t>②</w:t>
            </w:r>
            <w:r>
              <w:rPr>
                <w:rFonts w:hint="eastAsia"/>
                <w:highlight w:val="none"/>
              </w:rPr>
              <w:t>生产设备、贮存与运输装置、污染物贮存与处理装置等设施的运行状况、跑冒滴漏记录、维护记录。</w:t>
            </w:r>
          </w:p>
          <w:p w14:paraId="524FAB64">
            <w:pPr>
              <w:pStyle w:val="2"/>
              <w:ind w:leftChars="0" w:firstLine="480"/>
              <w:rPr>
                <w:sz w:val="24"/>
                <w:highlight w:val="none"/>
              </w:rPr>
            </w:pPr>
            <w:r>
              <w:rPr>
                <w:rFonts w:hint="eastAsia"/>
                <w:sz w:val="24"/>
                <w:highlight w:val="none"/>
              </w:rPr>
              <w:t>③</w:t>
            </w:r>
            <w:r>
              <w:rPr>
                <w:sz w:val="24"/>
                <w:highlight w:val="none"/>
              </w:rPr>
              <w:t>信息公开计划应至少包括建设项目污染因子的水环境</w:t>
            </w:r>
            <w:r>
              <w:rPr>
                <w:rFonts w:hint="eastAsia"/>
                <w:sz w:val="24"/>
                <w:highlight w:val="none"/>
              </w:rPr>
              <w:t>和土壤环境</w:t>
            </w:r>
            <w:r>
              <w:rPr>
                <w:sz w:val="24"/>
                <w:highlight w:val="none"/>
              </w:rPr>
              <w:t>监测值。</w:t>
            </w:r>
          </w:p>
          <w:p w14:paraId="5003AF38">
            <w:pPr>
              <w:adjustRightInd w:val="0"/>
              <w:snapToGrid w:val="0"/>
              <w:ind w:firstLine="0" w:firstLineChars="0"/>
              <w:rPr>
                <w:b/>
                <w:bCs/>
                <w:highlight w:val="none"/>
              </w:rPr>
            </w:pPr>
            <w:r>
              <w:rPr>
                <w:rFonts w:hint="eastAsia"/>
                <w:b/>
                <w:bCs/>
                <w:highlight w:val="none"/>
              </w:rPr>
              <w:t>六、生态</w:t>
            </w:r>
          </w:p>
          <w:p w14:paraId="3AE41695">
            <w:pPr>
              <w:ind w:firstLine="480"/>
            </w:pPr>
            <w:r>
              <w:rPr>
                <w:rFonts w:hint="eastAsia"/>
              </w:rPr>
              <w:t>本项目位于唐山高新区京唐智慧港，用地范围内无生态环境保护目标。对区域生态环境影响较小。</w:t>
            </w:r>
          </w:p>
          <w:p w14:paraId="0F3B024D">
            <w:pPr>
              <w:numPr>
                <w:ilvl w:val="0"/>
                <w:numId w:val="18"/>
              </w:numPr>
              <w:adjustRightInd w:val="0"/>
              <w:snapToGrid w:val="0"/>
              <w:ind w:firstLine="0" w:firstLineChars="0"/>
              <w:rPr>
                <w:b/>
                <w:bCs/>
              </w:rPr>
            </w:pPr>
            <w:r>
              <w:rPr>
                <w:rFonts w:hint="eastAsia"/>
                <w:b/>
                <w:bCs/>
              </w:rPr>
              <w:t>环境风险</w:t>
            </w:r>
          </w:p>
          <w:p w14:paraId="42F79B79">
            <w:pPr>
              <w:pStyle w:val="13"/>
              <w:spacing w:after="0"/>
              <w:ind w:left="0" w:leftChars="0" w:right="0" w:rightChars="0" w:firstLine="0" w:firstLineChars="0"/>
            </w:pPr>
            <w:r>
              <w:rPr>
                <w:rFonts w:hint="eastAsia"/>
              </w:rPr>
              <w:t xml:space="preserve">    本项目涉及到的风险物质主要为废机油。项目根据《建设项目环境风险</w:t>
            </w:r>
          </w:p>
          <w:p w14:paraId="26929791">
            <w:pPr>
              <w:pStyle w:val="13"/>
              <w:spacing w:after="0"/>
              <w:ind w:left="0" w:leftChars="0" w:right="0" w:rightChars="0" w:firstLine="0" w:firstLineChars="0"/>
            </w:pPr>
            <w:r>
              <w:rPr>
                <w:rFonts w:hint="eastAsia"/>
              </w:rPr>
              <w:t>评价技术导则》（HJ169-2018），通过源项分析对生产事故可能引发的环境</w:t>
            </w:r>
          </w:p>
          <w:p w14:paraId="3E2EF2C8">
            <w:pPr>
              <w:pStyle w:val="13"/>
              <w:spacing w:after="0"/>
              <w:ind w:left="0" w:leftChars="0" w:right="0" w:rightChars="0" w:firstLine="0" w:firstLineChars="0"/>
            </w:pPr>
            <w:r>
              <w:rPr>
                <w:rFonts w:hint="eastAsia"/>
              </w:rPr>
              <w:t>风险影响进行分析，并提出相应的处理措施。</w:t>
            </w:r>
          </w:p>
          <w:p w14:paraId="2603D72D">
            <w:pPr>
              <w:ind w:firstLine="480"/>
              <w:rPr>
                <w:color w:val="0070C0"/>
              </w:rPr>
            </w:pPr>
            <w:r>
              <w:rPr>
                <w:rFonts w:hint="eastAsia"/>
              </w:rPr>
              <w:t>1、环境风险的识别</w:t>
            </w:r>
          </w:p>
          <w:p w14:paraId="04705FFE">
            <w:pPr>
              <w:ind w:firstLine="480"/>
              <w:rPr>
                <w:highlight w:val="none"/>
              </w:rPr>
            </w:pPr>
            <w:r>
              <w:t>本项目</w:t>
            </w:r>
            <w:r>
              <w:rPr>
                <w:rFonts w:hint="eastAsia"/>
              </w:rPr>
              <w:t>建成后涉及到的主要为</w:t>
            </w:r>
            <w:r>
              <w:t>风险物质主要为</w:t>
            </w:r>
            <w:r>
              <w:rPr>
                <w:rFonts w:hint="eastAsia"/>
              </w:rPr>
              <w:t>润滑油、液压油、切削液、</w:t>
            </w:r>
            <w:r>
              <w:rPr>
                <w:rFonts w:hint="eastAsia"/>
                <w:lang w:eastAsia="zh-CN"/>
              </w:rPr>
              <w:t>淬火油</w:t>
            </w:r>
            <w:r>
              <w:rPr>
                <w:rFonts w:hint="eastAsia"/>
              </w:rPr>
              <w:t>、甲醇、丙烷以及产生的废润滑油、废液压油、废切削液、废</w:t>
            </w:r>
            <w:r>
              <w:rPr>
                <w:rFonts w:hint="eastAsia"/>
                <w:lang w:eastAsia="zh-CN"/>
              </w:rPr>
              <w:t>淬火油</w:t>
            </w:r>
            <w:r>
              <w:rPr>
                <w:rFonts w:hint="eastAsia"/>
              </w:rPr>
              <w:t>、</w:t>
            </w:r>
            <w:r>
              <w:rPr>
                <w:rFonts w:hint="eastAsia"/>
                <w:highlight w:val="none"/>
              </w:rPr>
              <w:t>油污、废活性炭。风险单元为危险品库房、危废暂存间、治理设施。风险类型主要为润滑油、液压油、切削液、</w:t>
            </w:r>
            <w:r>
              <w:rPr>
                <w:rFonts w:hint="eastAsia"/>
                <w:highlight w:val="none"/>
                <w:lang w:eastAsia="zh-CN"/>
              </w:rPr>
              <w:t>淬火油</w:t>
            </w:r>
            <w:r>
              <w:rPr>
                <w:rFonts w:hint="eastAsia"/>
                <w:highlight w:val="none"/>
              </w:rPr>
              <w:t>、甲醇、丙烷、废润滑油、废液压油、废切削液、废</w:t>
            </w:r>
            <w:r>
              <w:rPr>
                <w:rFonts w:hint="eastAsia"/>
                <w:highlight w:val="none"/>
                <w:lang w:eastAsia="zh-CN"/>
              </w:rPr>
              <w:t>淬火油</w:t>
            </w:r>
            <w:r>
              <w:rPr>
                <w:rFonts w:hint="eastAsia"/>
                <w:highlight w:val="none"/>
              </w:rPr>
              <w:t>、油污、废活性炭泄漏。</w:t>
            </w:r>
          </w:p>
          <w:p w14:paraId="49D765B1">
            <w:pPr>
              <w:adjustRightInd w:val="0"/>
              <w:snapToGrid w:val="0"/>
              <w:ind w:firstLine="422"/>
              <w:jc w:val="center"/>
              <w:rPr>
                <w:b/>
                <w:bCs/>
                <w:sz w:val="21"/>
                <w:szCs w:val="21"/>
              </w:rPr>
            </w:pPr>
            <w:r>
              <w:rPr>
                <w:b/>
                <w:bCs/>
                <w:sz w:val="21"/>
                <w:szCs w:val="21"/>
                <w:lang w:val="zh-CN"/>
              </w:rPr>
              <w:t>表</w:t>
            </w:r>
            <w:r>
              <w:rPr>
                <w:rFonts w:hint="eastAsia"/>
                <w:b/>
                <w:bCs/>
                <w:sz w:val="21"/>
                <w:szCs w:val="21"/>
              </w:rPr>
              <w:t>4-20  风险物质识别及影响途径</w:t>
            </w:r>
            <w:r>
              <w:rPr>
                <w:rFonts w:hint="eastAsia"/>
                <w:b/>
                <w:bCs/>
                <w:sz w:val="21"/>
                <w:szCs w:val="21"/>
                <w:lang w:val="zh-CN"/>
              </w:rPr>
              <w:t>一览</w:t>
            </w:r>
            <w:r>
              <w:rPr>
                <w:b/>
                <w:bCs/>
                <w:sz w:val="21"/>
                <w:szCs w:val="21"/>
                <w:lang w:val="zh-CN"/>
              </w:rPr>
              <w:t>表</w:t>
            </w:r>
          </w:p>
          <w:tbl>
            <w:tblPr>
              <w:tblStyle w:val="22"/>
              <w:tblW w:w="83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91"/>
              <w:gridCol w:w="1267"/>
              <w:gridCol w:w="1381"/>
              <w:gridCol w:w="946"/>
              <w:gridCol w:w="1215"/>
              <w:gridCol w:w="2097"/>
            </w:tblGrid>
            <w:tr w14:paraId="5C04E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4A123F99">
                  <w:pPr>
                    <w:widowControl/>
                    <w:spacing w:line="240" w:lineRule="auto"/>
                    <w:ind w:firstLine="0" w:firstLineChars="0"/>
                    <w:jc w:val="center"/>
                    <w:textAlignment w:val="center"/>
                    <w:rPr>
                      <w:sz w:val="21"/>
                      <w:szCs w:val="21"/>
                    </w:rPr>
                  </w:pPr>
                  <w:r>
                    <w:rPr>
                      <w:rFonts w:hint="eastAsia"/>
                      <w:sz w:val="21"/>
                      <w:szCs w:val="21"/>
                    </w:rPr>
                    <w:t>风险物质名称</w:t>
                  </w:r>
                </w:p>
              </w:tc>
              <w:tc>
                <w:tcPr>
                  <w:tcW w:w="1267" w:type="dxa"/>
                  <w:tcBorders>
                    <w:tl2br w:val="nil"/>
                    <w:tr2bl w:val="nil"/>
                  </w:tcBorders>
                  <w:tcMar>
                    <w:top w:w="15" w:type="dxa"/>
                    <w:left w:w="15" w:type="dxa"/>
                    <w:right w:w="15" w:type="dxa"/>
                  </w:tcMar>
                  <w:vAlign w:val="center"/>
                </w:tcPr>
                <w:p w14:paraId="47815B07">
                  <w:pPr>
                    <w:widowControl/>
                    <w:spacing w:line="240" w:lineRule="auto"/>
                    <w:ind w:firstLine="0" w:firstLineChars="0"/>
                    <w:jc w:val="center"/>
                    <w:textAlignment w:val="center"/>
                    <w:rPr>
                      <w:sz w:val="21"/>
                      <w:szCs w:val="21"/>
                    </w:rPr>
                  </w:pPr>
                  <w:r>
                    <w:rPr>
                      <w:rFonts w:hint="eastAsia"/>
                      <w:sz w:val="21"/>
                      <w:szCs w:val="21"/>
                    </w:rPr>
                    <w:t>储存场所</w:t>
                  </w:r>
                </w:p>
              </w:tc>
              <w:tc>
                <w:tcPr>
                  <w:tcW w:w="1381" w:type="dxa"/>
                  <w:tcBorders>
                    <w:tl2br w:val="nil"/>
                    <w:tr2bl w:val="nil"/>
                  </w:tcBorders>
                  <w:tcMar>
                    <w:top w:w="15" w:type="dxa"/>
                    <w:left w:w="15" w:type="dxa"/>
                    <w:right w:w="15" w:type="dxa"/>
                  </w:tcMar>
                  <w:vAlign w:val="center"/>
                </w:tcPr>
                <w:p w14:paraId="6B67721E">
                  <w:pPr>
                    <w:widowControl/>
                    <w:spacing w:line="240" w:lineRule="auto"/>
                    <w:ind w:firstLine="0" w:firstLineChars="0"/>
                    <w:jc w:val="center"/>
                    <w:textAlignment w:val="center"/>
                    <w:rPr>
                      <w:sz w:val="21"/>
                      <w:szCs w:val="21"/>
                    </w:rPr>
                  </w:pPr>
                  <w:r>
                    <w:rPr>
                      <w:rFonts w:hint="eastAsia"/>
                      <w:sz w:val="21"/>
                      <w:szCs w:val="21"/>
                    </w:rPr>
                    <w:t>最大储存量（t）</w:t>
                  </w:r>
                </w:p>
              </w:tc>
              <w:tc>
                <w:tcPr>
                  <w:tcW w:w="946" w:type="dxa"/>
                  <w:tcBorders>
                    <w:tl2br w:val="nil"/>
                    <w:tr2bl w:val="nil"/>
                  </w:tcBorders>
                  <w:tcMar>
                    <w:top w:w="15" w:type="dxa"/>
                    <w:left w:w="15" w:type="dxa"/>
                    <w:right w:w="15" w:type="dxa"/>
                  </w:tcMar>
                  <w:vAlign w:val="center"/>
                </w:tcPr>
                <w:p w14:paraId="26804D6A">
                  <w:pPr>
                    <w:widowControl/>
                    <w:spacing w:line="240" w:lineRule="auto"/>
                    <w:ind w:firstLine="0" w:firstLineChars="0"/>
                    <w:jc w:val="center"/>
                    <w:textAlignment w:val="center"/>
                    <w:rPr>
                      <w:sz w:val="21"/>
                      <w:szCs w:val="21"/>
                    </w:rPr>
                  </w:pPr>
                  <w:r>
                    <w:rPr>
                      <w:rFonts w:hint="eastAsia"/>
                      <w:sz w:val="21"/>
                      <w:szCs w:val="21"/>
                    </w:rPr>
                    <w:t>临界量（t）</w:t>
                  </w:r>
                </w:p>
              </w:tc>
              <w:tc>
                <w:tcPr>
                  <w:tcW w:w="1215" w:type="dxa"/>
                  <w:tcBorders>
                    <w:tl2br w:val="nil"/>
                    <w:tr2bl w:val="nil"/>
                  </w:tcBorders>
                  <w:tcMar>
                    <w:top w:w="15" w:type="dxa"/>
                    <w:left w:w="15" w:type="dxa"/>
                    <w:right w:w="15" w:type="dxa"/>
                  </w:tcMar>
                  <w:vAlign w:val="center"/>
                </w:tcPr>
                <w:p w14:paraId="40BE501B">
                  <w:pPr>
                    <w:widowControl/>
                    <w:spacing w:line="240" w:lineRule="auto"/>
                    <w:ind w:firstLine="0" w:firstLineChars="0"/>
                    <w:jc w:val="center"/>
                    <w:textAlignment w:val="center"/>
                    <w:rPr>
                      <w:sz w:val="21"/>
                      <w:szCs w:val="21"/>
                    </w:rPr>
                  </w:pPr>
                  <w:r>
                    <w:rPr>
                      <w:rFonts w:hint="eastAsia"/>
                      <w:sz w:val="21"/>
                      <w:szCs w:val="21"/>
                    </w:rPr>
                    <w:t>Q值</w:t>
                  </w:r>
                </w:p>
              </w:tc>
              <w:tc>
                <w:tcPr>
                  <w:tcW w:w="2097" w:type="dxa"/>
                  <w:tcBorders>
                    <w:tl2br w:val="nil"/>
                    <w:tr2bl w:val="nil"/>
                  </w:tcBorders>
                  <w:tcMar>
                    <w:top w:w="15" w:type="dxa"/>
                    <w:left w:w="15" w:type="dxa"/>
                    <w:right w:w="15" w:type="dxa"/>
                  </w:tcMar>
                  <w:vAlign w:val="center"/>
                </w:tcPr>
                <w:p w14:paraId="5E4F5795">
                  <w:pPr>
                    <w:widowControl/>
                    <w:spacing w:line="240" w:lineRule="auto"/>
                    <w:ind w:firstLine="0" w:firstLineChars="0"/>
                    <w:jc w:val="center"/>
                    <w:textAlignment w:val="center"/>
                    <w:rPr>
                      <w:rFonts w:hint="eastAsia" w:eastAsia="宋体"/>
                      <w:sz w:val="21"/>
                      <w:szCs w:val="21"/>
                      <w:lang w:eastAsia="zh-CN"/>
                    </w:rPr>
                  </w:pPr>
                  <w:r>
                    <w:rPr>
                      <w:rFonts w:hint="eastAsia"/>
                      <w:sz w:val="21"/>
                      <w:szCs w:val="21"/>
                    </w:rPr>
                    <w:t>影响</w:t>
                  </w:r>
                  <w:r>
                    <w:rPr>
                      <w:rFonts w:hint="eastAsia"/>
                      <w:sz w:val="21"/>
                      <w:szCs w:val="21"/>
                      <w:lang w:eastAsia="zh-CN"/>
                    </w:rPr>
                    <w:t>途径</w:t>
                  </w:r>
                </w:p>
              </w:tc>
            </w:tr>
            <w:tr w14:paraId="23B5F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1C20E8E7">
                  <w:pPr>
                    <w:spacing w:line="240" w:lineRule="auto"/>
                    <w:ind w:firstLine="0" w:firstLineChars="0"/>
                    <w:jc w:val="center"/>
                    <w:rPr>
                      <w:sz w:val="21"/>
                      <w:szCs w:val="21"/>
                      <w:highlight w:val="none"/>
                    </w:rPr>
                  </w:pPr>
                  <w:r>
                    <w:rPr>
                      <w:rFonts w:hint="eastAsia"/>
                      <w:sz w:val="21"/>
                      <w:szCs w:val="21"/>
                      <w:highlight w:val="none"/>
                    </w:rPr>
                    <w:t>润滑油</w:t>
                  </w:r>
                </w:p>
              </w:tc>
              <w:tc>
                <w:tcPr>
                  <w:tcW w:w="1267" w:type="dxa"/>
                  <w:vMerge w:val="restart"/>
                  <w:tcBorders>
                    <w:tl2br w:val="nil"/>
                    <w:tr2bl w:val="nil"/>
                  </w:tcBorders>
                  <w:tcMar>
                    <w:top w:w="15" w:type="dxa"/>
                    <w:left w:w="15" w:type="dxa"/>
                    <w:right w:w="15" w:type="dxa"/>
                  </w:tcMar>
                  <w:vAlign w:val="center"/>
                </w:tcPr>
                <w:p w14:paraId="1451E9D5">
                  <w:pPr>
                    <w:widowControl/>
                    <w:spacing w:line="240" w:lineRule="auto"/>
                    <w:ind w:firstLine="0" w:firstLineChars="0"/>
                    <w:jc w:val="center"/>
                    <w:textAlignment w:val="center"/>
                    <w:rPr>
                      <w:sz w:val="21"/>
                      <w:szCs w:val="21"/>
                      <w:highlight w:val="none"/>
                    </w:rPr>
                  </w:pPr>
                  <w:r>
                    <w:rPr>
                      <w:rFonts w:hint="eastAsia"/>
                      <w:sz w:val="21"/>
                      <w:szCs w:val="21"/>
                      <w:highlight w:val="none"/>
                    </w:rPr>
                    <w:t>危险品库房</w:t>
                  </w:r>
                </w:p>
              </w:tc>
              <w:tc>
                <w:tcPr>
                  <w:tcW w:w="1381" w:type="dxa"/>
                  <w:tcBorders>
                    <w:tl2br w:val="nil"/>
                    <w:tr2bl w:val="nil"/>
                  </w:tcBorders>
                  <w:tcMar>
                    <w:top w:w="15" w:type="dxa"/>
                    <w:left w:w="15" w:type="dxa"/>
                    <w:right w:w="15" w:type="dxa"/>
                  </w:tcMar>
                  <w:vAlign w:val="center"/>
                </w:tcPr>
                <w:p w14:paraId="51D7B24A">
                  <w:pPr>
                    <w:widowControl/>
                    <w:spacing w:line="240" w:lineRule="auto"/>
                    <w:ind w:firstLine="0" w:firstLineChars="0"/>
                    <w:jc w:val="center"/>
                    <w:textAlignment w:val="center"/>
                    <w:rPr>
                      <w:sz w:val="21"/>
                      <w:szCs w:val="21"/>
                      <w:highlight w:val="none"/>
                    </w:rPr>
                  </w:pPr>
                  <w:r>
                    <w:rPr>
                      <w:rFonts w:hint="eastAsia"/>
                      <w:sz w:val="21"/>
                      <w:szCs w:val="21"/>
                      <w:highlight w:val="none"/>
                    </w:rPr>
                    <w:t>4.5</w:t>
                  </w:r>
                </w:p>
              </w:tc>
              <w:tc>
                <w:tcPr>
                  <w:tcW w:w="946" w:type="dxa"/>
                  <w:tcBorders>
                    <w:tl2br w:val="nil"/>
                    <w:tr2bl w:val="nil"/>
                  </w:tcBorders>
                  <w:tcMar>
                    <w:top w:w="15" w:type="dxa"/>
                    <w:left w:w="15" w:type="dxa"/>
                    <w:right w:w="15" w:type="dxa"/>
                  </w:tcMar>
                  <w:vAlign w:val="center"/>
                </w:tcPr>
                <w:p w14:paraId="235C5BE7">
                  <w:pPr>
                    <w:widowControl/>
                    <w:spacing w:line="240" w:lineRule="auto"/>
                    <w:ind w:firstLine="0" w:firstLineChars="0"/>
                    <w:jc w:val="center"/>
                    <w:textAlignment w:val="center"/>
                    <w:rPr>
                      <w:sz w:val="21"/>
                      <w:szCs w:val="21"/>
                      <w:highlight w:val="none"/>
                    </w:rPr>
                  </w:pPr>
                  <w:r>
                    <w:rPr>
                      <w:rFonts w:hint="eastAsia"/>
                      <w:sz w:val="21"/>
                      <w:szCs w:val="21"/>
                      <w:highlight w:val="none"/>
                    </w:rPr>
                    <w:t>2500</w:t>
                  </w:r>
                </w:p>
              </w:tc>
              <w:tc>
                <w:tcPr>
                  <w:tcW w:w="1215" w:type="dxa"/>
                  <w:tcBorders>
                    <w:tl2br w:val="nil"/>
                    <w:tr2bl w:val="nil"/>
                  </w:tcBorders>
                  <w:tcMar>
                    <w:top w:w="15" w:type="dxa"/>
                    <w:left w:w="15" w:type="dxa"/>
                    <w:right w:w="15" w:type="dxa"/>
                  </w:tcMar>
                  <w:vAlign w:val="center"/>
                </w:tcPr>
                <w:p w14:paraId="0573D4C2">
                  <w:pPr>
                    <w:widowControl/>
                    <w:spacing w:line="240" w:lineRule="auto"/>
                    <w:ind w:firstLine="0" w:firstLineChars="0"/>
                    <w:jc w:val="center"/>
                    <w:textAlignment w:val="center"/>
                    <w:rPr>
                      <w:sz w:val="21"/>
                      <w:szCs w:val="21"/>
                      <w:highlight w:val="none"/>
                    </w:rPr>
                  </w:pPr>
                  <w:r>
                    <w:rPr>
                      <w:rFonts w:hint="eastAsia"/>
                      <w:sz w:val="21"/>
                      <w:szCs w:val="21"/>
                      <w:highlight w:val="none"/>
                    </w:rPr>
                    <w:t>0.0018</w:t>
                  </w:r>
                </w:p>
              </w:tc>
              <w:tc>
                <w:tcPr>
                  <w:tcW w:w="2097" w:type="dxa"/>
                  <w:vMerge w:val="restart"/>
                  <w:tcBorders>
                    <w:tl2br w:val="nil"/>
                    <w:tr2bl w:val="nil"/>
                  </w:tcBorders>
                  <w:tcMar>
                    <w:top w:w="15" w:type="dxa"/>
                    <w:left w:w="15" w:type="dxa"/>
                    <w:right w:w="15" w:type="dxa"/>
                  </w:tcMar>
                  <w:vAlign w:val="center"/>
                </w:tcPr>
                <w:p w14:paraId="0A074719">
                  <w:pPr>
                    <w:widowControl/>
                    <w:spacing w:line="240" w:lineRule="auto"/>
                    <w:ind w:firstLine="0" w:firstLineChars="0"/>
                    <w:jc w:val="center"/>
                    <w:textAlignment w:val="center"/>
                    <w:rPr>
                      <w:sz w:val="21"/>
                      <w:szCs w:val="21"/>
                    </w:rPr>
                  </w:pPr>
                  <w:r>
                    <w:rPr>
                      <w:rFonts w:hint="eastAsia"/>
                      <w:sz w:val="21"/>
                      <w:szCs w:val="21"/>
                    </w:rPr>
                    <w:t>泄漏下渗影响土壤及地下水环境，引起火灾产生废气、消防废水等</w:t>
                  </w:r>
                </w:p>
              </w:tc>
            </w:tr>
            <w:tr w14:paraId="1627F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2952BD6D">
                  <w:pPr>
                    <w:spacing w:line="240" w:lineRule="auto"/>
                    <w:ind w:firstLine="0" w:firstLineChars="0"/>
                    <w:jc w:val="center"/>
                    <w:rPr>
                      <w:sz w:val="21"/>
                      <w:szCs w:val="21"/>
                      <w:highlight w:val="none"/>
                    </w:rPr>
                  </w:pPr>
                  <w:r>
                    <w:rPr>
                      <w:rFonts w:hint="eastAsia"/>
                      <w:sz w:val="21"/>
                      <w:szCs w:val="21"/>
                      <w:highlight w:val="none"/>
                    </w:rPr>
                    <w:t>液压油</w:t>
                  </w:r>
                </w:p>
              </w:tc>
              <w:tc>
                <w:tcPr>
                  <w:tcW w:w="1267" w:type="dxa"/>
                  <w:vMerge w:val="continue"/>
                  <w:tcBorders>
                    <w:tl2br w:val="nil"/>
                    <w:tr2bl w:val="nil"/>
                  </w:tcBorders>
                  <w:tcMar>
                    <w:top w:w="15" w:type="dxa"/>
                    <w:left w:w="15" w:type="dxa"/>
                    <w:right w:w="15" w:type="dxa"/>
                  </w:tcMar>
                  <w:vAlign w:val="center"/>
                </w:tcPr>
                <w:p w14:paraId="37E8FF88">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4D460F0E">
                  <w:pPr>
                    <w:widowControl/>
                    <w:spacing w:line="240" w:lineRule="auto"/>
                    <w:ind w:firstLine="0" w:firstLineChars="0"/>
                    <w:jc w:val="center"/>
                    <w:textAlignment w:val="center"/>
                    <w:rPr>
                      <w:sz w:val="21"/>
                      <w:szCs w:val="21"/>
                      <w:highlight w:val="none"/>
                    </w:rPr>
                  </w:pPr>
                  <w:r>
                    <w:rPr>
                      <w:rFonts w:hint="eastAsia"/>
                      <w:sz w:val="21"/>
                      <w:szCs w:val="21"/>
                      <w:highlight w:val="none"/>
                    </w:rPr>
                    <w:t>8.3</w:t>
                  </w:r>
                </w:p>
              </w:tc>
              <w:tc>
                <w:tcPr>
                  <w:tcW w:w="946" w:type="dxa"/>
                  <w:tcBorders>
                    <w:tl2br w:val="nil"/>
                    <w:tr2bl w:val="nil"/>
                  </w:tcBorders>
                  <w:tcMar>
                    <w:top w:w="15" w:type="dxa"/>
                    <w:left w:w="15" w:type="dxa"/>
                    <w:right w:w="15" w:type="dxa"/>
                  </w:tcMar>
                  <w:vAlign w:val="center"/>
                </w:tcPr>
                <w:p w14:paraId="2FD22027">
                  <w:pPr>
                    <w:widowControl/>
                    <w:spacing w:line="240" w:lineRule="auto"/>
                    <w:ind w:firstLine="0" w:firstLineChars="0"/>
                    <w:jc w:val="center"/>
                    <w:textAlignment w:val="center"/>
                    <w:rPr>
                      <w:sz w:val="21"/>
                      <w:szCs w:val="21"/>
                      <w:highlight w:val="none"/>
                    </w:rPr>
                  </w:pPr>
                  <w:r>
                    <w:rPr>
                      <w:rFonts w:hint="eastAsia"/>
                      <w:sz w:val="21"/>
                      <w:szCs w:val="21"/>
                      <w:highlight w:val="none"/>
                    </w:rPr>
                    <w:t>2500</w:t>
                  </w:r>
                </w:p>
              </w:tc>
              <w:tc>
                <w:tcPr>
                  <w:tcW w:w="1215" w:type="dxa"/>
                  <w:tcBorders>
                    <w:tl2br w:val="nil"/>
                    <w:tr2bl w:val="nil"/>
                  </w:tcBorders>
                  <w:tcMar>
                    <w:top w:w="15" w:type="dxa"/>
                    <w:left w:w="15" w:type="dxa"/>
                    <w:right w:w="15" w:type="dxa"/>
                  </w:tcMar>
                  <w:vAlign w:val="center"/>
                </w:tcPr>
                <w:p w14:paraId="701EE869">
                  <w:pPr>
                    <w:widowControl/>
                    <w:spacing w:line="240" w:lineRule="auto"/>
                    <w:ind w:firstLine="0" w:firstLineChars="0"/>
                    <w:jc w:val="center"/>
                    <w:textAlignment w:val="center"/>
                    <w:rPr>
                      <w:sz w:val="21"/>
                      <w:szCs w:val="21"/>
                      <w:highlight w:val="none"/>
                    </w:rPr>
                  </w:pPr>
                  <w:r>
                    <w:rPr>
                      <w:rFonts w:hint="eastAsia"/>
                      <w:sz w:val="21"/>
                      <w:szCs w:val="21"/>
                      <w:highlight w:val="none"/>
                    </w:rPr>
                    <w:t>0.00332</w:t>
                  </w:r>
                </w:p>
              </w:tc>
              <w:tc>
                <w:tcPr>
                  <w:tcW w:w="2097" w:type="dxa"/>
                  <w:vMerge w:val="continue"/>
                  <w:tcBorders>
                    <w:tl2br w:val="nil"/>
                    <w:tr2bl w:val="nil"/>
                  </w:tcBorders>
                  <w:tcMar>
                    <w:top w:w="15" w:type="dxa"/>
                    <w:left w:w="15" w:type="dxa"/>
                    <w:right w:w="15" w:type="dxa"/>
                  </w:tcMar>
                  <w:vAlign w:val="center"/>
                </w:tcPr>
                <w:p w14:paraId="14A143D8">
                  <w:pPr>
                    <w:widowControl/>
                    <w:spacing w:line="240" w:lineRule="auto"/>
                    <w:ind w:firstLine="0" w:firstLineChars="0"/>
                    <w:jc w:val="center"/>
                    <w:textAlignment w:val="center"/>
                    <w:rPr>
                      <w:sz w:val="21"/>
                      <w:szCs w:val="21"/>
                    </w:rPr>
                  </w:pPr>
                </w:p>
              </w:tc>
            </w:tr>
            <w:tr w14:paraId="67B6A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492A9CDC">
                  <w:pPr>
                    <w:spacing w:line="240" w:lineRule="auto"/>
                    <w:ind w:firstLine="0" w:firstLineChars="0"/>
                    <w:jc w:val="center"/>
                    <w:rPr>
                      <w:sz w:val="21"/>
                      <w:szCs w:val="21"/>
                      <w:highlight w:val="none"/>
                    </w:rPr>
                  </w:pPr>
                  <w:r>
                    <w:rPr>
                      <w:rFonts w:hint="eastAsia"/>
                      <w:sz w:val="21"/>
                      <w:szCs w:val="21"/>
                      <w:highlight w:val="none"/>
                    </w:rPr>
                    <w:t>切削液</w:t>
                  </w:r>
                </w:p>
              </w:tc>
              <w:tc>
                <w:tcPr>
                  <w:tcW w:w="1267" w:type="dxa"/>
                  <w:vMerge w:val="continue"/>
                  <w:tcBorders>
                    <w:tl2br w:val="nil"/>
                    <w:tr2bl w:val="nil"/>
                  </w:tcBorders>
                  <w:tcMar>
                    <w:top w:w="15" w:type="dxa"/>
                    <w:left w:w="15" w:type="dxa"/>
                    <w:right w:w="15" w:type="dxa"/>
                  </w:tcMar>
                  <w:vAlign w:val="center"/>
                </w:tcPr>
                <w:p w14:paraId="4D06E330">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23912149">
                  <w:pPr>
                    <w:widowControl/>
                    <w:spacing w:line="240" w:lineRule="auto"/>
                    <w:ind w:firstLine="0" w:firstLineChars="0"/>
                    <w:jc w:val="center"/>
                    <w:textAlignment w:val="center"/>
                    <w:rPr>
                      <w:sz w:val="21"/>
                      <w:szCs w:val="21"/>
                      <w:highlight w:val="none"/>
                    </w:rPr>
                  </w:pPr>
                  <w:r>
                    <w:rPr>
                      <w:rFonts w:hint="eastAsia"/>
                      <w:sz w:val="21"/>
                      <w:szCs w:val="21"/>
                      <w:highlight w:val="none"/>
                    </w:rPr>
                    <w:t>12</w:t>
                  </w:r>
                </w:p>
              </w:tc>
              <w:tc>
                <w:tcPr>
                  <w:tcW w:w="946" w:type="dxa"/>
                  <w:tcBorders>
                    <w:tl2br w:val="nil"/>
                    <w:tr2bl w:val="nil"/>
                  </w:tcBorders>
                  <w:tcMar>
                    <w:top w:w="15" w:type="dxa"/>
                    <w:left w:w="15" w:type="dxa"/>
                    <w:right w:w="15" w:type="dxa"/>
                  </w:tcMar>
                  <w:vAlign w:val="center"/>
                </w:tcPr>
                <w:p w14:paraId="5289ED6B">
                  <w:pPr>
                    <w:widowControl/>
                    <w:spacing w:line="240" w:lineRule="auto"/>
                    <w:ind w:firstLine="0" w:firstLineChars="0"/>
                    <w:jc w:val="center"/>
                    <w:textAlignment w:val="center"/>
                    <w:rPr>
                      <w:sz w:val="21"/>
                      <w:szCs w:val="21"/>
                      <w:highlight w:val="none"/>
                    </w:rPr>
                  </w:pPr>
                  <w:r>
                    <w:rPr>
                      <w:rFonts w:hint="eastAsia"/>
                      <w:sz w:val="21"/>
                      <w:szCs w:val="21"/>
                      <w:highlight w:val="none"/>
                    </w:rPr>
                    <w:t>2500</w:t>
                  </w:r>
                </w:p>
              </w:tc>
              <w:tc>
                <w:tcPr>
                  <w:tcW w:w="1215" w:type="dxa"/>
                  <w:tcBorders>
                    <w:tl2br w:val="nil"/>
                    <w:tr2bl w:val="nil"/>
                  </w:tcBorders>
                  <w:tcMar>
                    <w:top w:w="15" w:type="dxa"/>
                    <w:left w:w="15" w:type="dxa"/>
                    <w:right w:w="15" w:type="dxa"/>
                  </w:tcMar>
                  <w:vAlign w:val="center"/>
                </w:tcPr>
                <w:p w14:paraId="155F4DFB">
                  <w:pPr>
                    <w:widowControl/>
                    <w:spacing w:line="240" w:lineRule="auto"/>
                    <w:ind w:firstLine="0" w:firstLineChars="0"/>
                    <w:jc w:val="center"/>
                    <w:textAlignment w:val="center"/>
                    <w:rPr>
                      <w:sz w:val="21"/>
                      <w:szCs w:val="21"/>
                      <w:highlight w:val="none"/>
                    </w:rPr>
                  </w:pPr>
                  <w:r>
                    <w:rPr>
                      <w:rFonts w:hint="eastAsia"/>
                      <w:sz w:val="21"/>
                      <w:szCs w:val="21"/>
                      <w:highlight w:val="none"/>
                    </w:rPr>
                    <w:t>0.0048</w:t>
                  </w:r>
                </w:p>
              </w:tc>
              <w:tc>
                <w:tcPr>
                  <w:tcW w:w="2097" w:type="dxa"/>
                  <w:vMerge w:val="continue"/>
                  <w:tcBorders>
                    <w:tl2br w:val="nil"/>
                    <w:tr2bl w:val="nil"/>
                  </w:tcBorders>
                  <w:tcMar>
                    <w:top w:w="15" w:type="dxa"/>
                    <w:left w:w="15" w:type="dxa"/>
                    <w:right w:w="15" w:type="dxa"/>
                  </w:tcMar>
                  <w:vAlign w:val="center"/>
                </w:tcPr>
                <w:p w14:paraId="17A44EC3">
                  <w:pPr>
                    <w:widowControl/>
                    <w:spacing w:line="240" w:lineRule="auto"/>
                    <w:ind w:firstLine="0" w:firstLineChars="0"/>
                    <w:jc w:val="center"/>
                    <w:textAlignment w:val="center"/>
                    <w:rPr>
                      <w:sz w:val="21"/>
                      <w:szCs w:val="21"/>
                    </w:rPr>
                  </w:pPr>
                </w:p>
              </w:tc>
            </w:tr>
            <w:tr w14:paraId="353B6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0360F391">
                  <w:pPr>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eastAsia="zh-CN"/>
                    </w:rPr>
                    <w:t>淬火油</w:t>
                  </w:r>
                </w:p>
              </w:tc>
              <w:tc>
                <w:tcPr>
                  <w:tcW w:w="1267" w:type="dxa"/>
                  <w:vMerge w:val="continue"/>
                  <w:tcBorders>
                    <w:tl2br w:val="nil"/>
                    <w:tr2bl w:val="nil"/>
                  </w:tcBorders>
                  <w:tcMar>
                    <w:top w:w="15" w:type="dxa"/>
                    <w:left w:w="15" w:type="dxa"/>
                    <w:right w:w="15" w:type="dxa"/>
                  </w:tcMar>
                  <w:vAlign w:val="center"/>
                </w:tcPr>
                <w:p w14:paraId="2933FF94">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0CD0F917">
                  <w:pPr>
                    <w:widowControl/>
                    <w:spacing w:line="240" w:lineRule="auto"/>
                    <w:ind w:firstLine="0" w:firstLineChars="0"/>
                    <w:jc w:val="center"/>
                    <w:textAlignment w:val="center"/>
                    <w:rPr>
                      <w:sz w:val="21"/>
                      <w:szCs w:val="21"/>
                      <w:highlight w:val="none"/>
                    </w:rPr>
                  </w:pPr>
                  <w:r>
                    <w:rPr>
                      <w:rFonts w:hint="eastAsia"/>
                      <w:sz w:val="21"/>
                      <w:szCs w:val="21"/>
                      <w:highlight w:val="none"/>
                    </w:rPr>
                    <w:t>1.9</w:t>
                  </w:r>
                </w:p>
              </w:tc>
              <w:tc>
                <w:tcPr>
                  <w:tcW w:w="946" w:type="dxa"/>
                  <w:tcBorders>
                    <w:tl2br w:val="nil"/>
                    <w:tr2bl w:val="nil"/>
                  </w:tcBorders>
                  <w:tcMar>
                    <w:top w:w="15" w:type="dxa"/>
                    <w:left w:w="15" w:type="dxa"/>
                    <w:right w:w="15" w:type="dxa"/>
                  </w:tcMar>
                  <w:vAlign w:val="center"/>
                </w:tcPr>
                <w:p w14:paraId="2DCE6B23">
                  <w:pPr>
                    <w:widowControl/>
                    <w:spacing w:line="240" w:lineRule="auto"/>
                    <w:ind w:firstLine="0" w:firstLineChars="0"/>
                    <w:jc w:val="center"/>
                    <w:textAlignment w:val="center"/>
                    <w:rPr>
                      <w:sz w:val="21"/>
                      <w:szCs w:val="21"/>
                      <w:highlight w:val="none"/>
                    </w:rPr>
                  </w:pPr>
                  <w:r>
                    <w:rPr>
                      <w:rFonts w:hint="eastAsia"/>
                      <w:sz w:val="21"/>
                      <w:szCs w:val="21"/>
                      <w:highlight w:val="none"/>
                    </w:rPr>
                    <w:t>2500</w:t>
                  </w:r>
                </w:p>
              </w:tc>
              <w:tc>
                <w:tcPr>
                  <w:tcW w:w="1215" w:type="dxa"/>
                  <w:tcBorders>
                    <w:tl2br w:val="nil"/>
                    <w:tr2bl w:val="nil"/>
                  </w:tcBorders>
                  <w:tcMar>
                    <w:top w:w="15" w:type="dxa"/>
                    <w:left w:w="15" w:type="dxa"/>
                    <w:right w:w="15" w:type="dxa"/>
                  </w:tcMar>
                  <w:vAlign w:val="center"/>
                </w:tcPr>
                <w:p w14:paraId="42705554">
                  <w:pPr>
                    <w:widowControl/>
                    <w:spacing w:line="240" w:lineRule="auto"/>
                    <w:ind w:firstLine="0" w:firstLineChars="0"/>
                    <w:jc w:val="center"/>
                    <w:textAlignment w:val="center"/>
                    <w:rPr>
                      <w:sz w:val="21"/>
                      <w:szCs w:val="21"/>
                      <w:highlight w:val="none"/>
                    </w:rPr>
                  </w:pPr>
                  <w:r>
                    <w:rPr>
                      <w:rFonts w:hint="eastAsia"/>
                      <w:sz w:val="21"/>
                      <w:szCs w:val="21"/>
                      <w:highlight w:val="none"/>
                    </w:rPr>
                    <w:t>0.00076</w:t>
                  </w:r>
                </w:p>
              </w:tc>
              <w:tc>
                <w:tcPr>
                  <w:tcW w:w="2097" w:type="dxa"/>
                  <w:vMerge w:val="continue"/>
                  <w:tcBorders>
                    <w:tl2br w:val="nil"/>
                    <w:tr2bl w:val="nil"/>
                  </w:tcBorders>
                  <w:tcMar>
                    <w:top w:w="15" w:type="dxa"/>
                    <w:left w:w="15" w:type="dxa"/>
                    <w:right w:w="15" w:type="dxa"/>
                  </w:tcMar>
                  <w:vAlign w:val="center"/>
                </w:tcPr>
                <w:p w14:paraId="3BFB4FC4">
                  <w:pPr>
                    <w:widowControl/>
                    <w:spacing w:line="240" w:lineRule="auto"/>
                    <w:ind w:firstLine="0" w:firstLineChars="0"/>
                    <w:jc w:val="center"/>
                    <w:textAlignment w:val="center"/>
                    <w:rPr>
                      <w:sz w:val="21"/>
                      <w:szCs w:val="21"/>
                    </w:rPr>
                  </w:pPr>
                </w:p>
              </w:tc>
            </w:tr>
            <w:tr w14:paraId="6F76E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0C686AFD">
                  <w:pPr>
                    <w:spacing w:line="240" w:lineRule="auto"/>
                    <w:ind w:firstLine="0" w:firstLineChars="0"/>
                    <w:jc w:val="center"/>
                    <w:rPr>
                      <w:sz w:val="21"/>
                      <w:szCs w:val="21"/>
                      <w:highlight w:val="none"/>
                    </w:rPr>
                  </w:pPr>
                  <w:r>
                    <w:rPr>
                      <w:rFonts w:hint="eastAsia"/>
                      <w:sz w:val="21"/>
                      <w:szCs w:val="21"/>
                      <w:highlight w:val="none"/>
                    </w:rPr>
                    <w:t>甲醇</w:t>
                  </w:r>
                </w:p>
              </w:tc>
              <w:tc>
                <w:tcPr>
                  <w:tcW w:w="1267" w:type="dxa"/>
                  <w:vMerge w:val="continue"/>
                  <w:tcBorders>
                    <w:tl2br w:val="nil"/>
                    <w:tr2bl w:val="nil"/>
                  </w:tcBorders>
                  <w:tcMar>
                    <w:top w:w="15" w:type="dxa"/>
                    <w:left w:w="15" w:type="dxa"/>
                    <w:right w:w="15" w:type="dxa"/>
                  </w:tcMar>
                  <w:vAlign w:val="center"/>
                </w:tcPr>
                <w:p w14:paraId="254571EE">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715746AC">
                  <w:pPr>
                    <w:widowControl/>
                    <w:spacing w:line="240" w:lineRule="auto"/>
                    <w:ind w:firstLine="0" w:firstLineChars="0"/>
                    <w:jc w:val="center"/>
                    <w:textAlignment w:val="center"/>
                    <w:rPr>
                      <w:sz w:val="21"/>
                      <w:szCs w:val="21"/>
                      <w:highlight w:val="none"/>
                    </w:rPr>
                  </w:pPr>
                  <w:r>
                    <w:rPr>
                      <w:rFonts w:hint="eastAsia"/>
                      <w:sz w:val="21"/>
                      <w:szCs w:val="21"/>
                      <w:highlight w:val="none"/>
                    </w:rPr>
                    <w:t>11.4</w:t>
                  </w:r>
                </w:p>
              </w:tc>
              <w:tc>
                <w:tcPr>
                  <w:tcW w:w="946" w:type="dxa"/>
                  <w:tcBorders>
                    <w:tl2br w:val="nil"/>
                    <w:tr2bl w:val="nil"/>
                  </w:tcBorders>
                  <w:tcMar>
                    <w:top w:w="15" w:type="dxa"/>
                    <w:left w:w="15" w:type="dxa"/>
                    <w:right w:w="15" w:type="dxa"/>
                  </w:tcMar>
                  <w:vAlign w:val="center"/>
                </w:tcPr>
                <w:p w14:paraId="7A078C26">
                  <w:pPr>
                    <w:widowControl/>
                    <w:spacing w:line="240" w:lineRule="auto"/>
                    <w:ind w:firstLine="0" w:firstLineChars="0"/>
                    <w:jc w:val="center"/>
                    <w:textAlignment w:val="center"/>
                    <w:rPr>
                      <w:sz w:val="21"/>
                      <w:szCs w:val="21"/>
                      <w:highlight w:val="none"/>
                    </w:rPr>
                  </w:pPr>
                  <w:r>
                    <w:rPr>
                      <w:rFonts w:hint="eastAsia"/>
                      <w:sz w:val="21"/>
                      <w:szCs w:val="21"/>
                      <w:highlight w:val="none"/>
                    </w:rPr>
                    <w:t>500</w:t>
                  </w:r>
                </w:p>
              </w:tc>
              <w:tc>
                <w:tcPr>
                  <w:tcW w:w="1215" w:type="dxa"/>
                  <w:tcBorders>
                    <w:tl2br w:val="nil"/>
                    <w:tr2bl w:val="nil"/>
                  </w:tcBorders>
                  <w:tcMar>
                    <w:top w:w="15" w:type="dxa"/>
                    <w:left w:w="15" w:type="dxa"/>
                    <w:right w:w="15" w:type="dxa"/>
                  </w:tcMar>
                  <w:vAlign w:val="center"/>
                </w:tcPr>
                <w:p w14:paraId="784473F9">
                  <w:pPr>
                    <w:widowControl/>
                    <w:spacing w:line="240" w:lineRule="auto"/>
                    <w:ind w:firstLine="0" w:firstLineChars="0"/>
                    <w:jc w:val="center"/>
                    <w:textAlignment w:val="center"/>
                    <w:rPr>
                      <w:sz w:val="21"/>
                      <w:szCs w:val="21"/>
                      <w:highlight w:val="none"/>
                    </w:rPr>
                  </w:pPr>
                  <w:r>
                    <w:rPr>
                      <w:rFonts w:hint="eastAsia"/>
                      <w:sz w:val="21"/>
                      <w:szCs w:val="21"/>
                      <w:highlight w:val="none"/>
                    </w:rPr>
                    <w:t>0.0228</w:t>
                  </w:r>
                </w:p>
              </w:tc>
              <w:tc>
                <w:tcPr>
                  <w:tcW w:w="2097" w:type="dxa"/>
                  <w:vMerge w:val="continue"/>
                  <w:tcBorders>
                    <w:tl2br w:val="nil"/>
                    <w:tr2bl w:val="nil"/>
                  </w:tcBorders>
                  <w:tcMar>
                    <w:top w:w="15" w:type="dxa"/>
                    <w:left w:w="15" w:type="dxa"/>
                    <w:right w:w="15" w:type="dxa"/>
                  </w:tcMar>
                  <w:vAlign w:val="center"/>
                </w:tcPr>
                <w:p w14:paraId="5F94D368">
                  <w:pPr>
                    <w:widowControl/>
                    <w:spacing w:line="240" w:lineRule="auto"/>
                    <w:ind w:firstLine="0" w:firstLineChars="0"/>
                    <w:jc w:val="center"/>
                    <w:textAlignment w:val="center"/>
                    <w:rPr>
                      <w:sz w:val="21"/>
                      <w:szCs w:val="21"/>
                    </w:rPr>
                  </w:pPr>
                </w:p>
              </w:tc>
            </w:tr>
            <w:tr w14:paraId="1203F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251B518D">
                  <w:pPr>
                    <w:spacing w:line="240" w:lineRule="auto"/>
                    <w:ind w:firstLine="0" w:firstLineChars="0"/>
                    <w:jc w:val="center"/>
                    <w:rPr>
                      <w:sz w:val="21"/>
                      <w:szCs w:val="21"/>
                      <w:highlight w:val="none"/>
                    </w:rPr>
                  </w:pPr>
                  <w:r>
                    <w:rPr>
                      <w:rFonts w:hint="eastAsia"/>
                      <w:sz w:val="21"/>
                      <w:szCs w:val="21"/>
                      <w:highlight w:val="none"/>
                    </w:rPr>
                    <w:t>丙烷</w:t>
                  </w:r>
                </w:p>
              </w:tc>
              <w:tc>
                <w:tcPr>
                  <w:tcW w:w="1267" w:type="dxa"/>
                  <w:vMerge w:val="continue"/>
                  <w:tcBorders>
                    <w:tl2br w:val="nil"/>
                    <w:tr2bl w:val="nil"/>
                  </w:tcBorders>
                  <w:tcMar>
                    <w:top w:w="15" w:type="dxa"/>
                    <w:left w:w="15" w:type="dxa"/>
                    <w:right w:w="15" w:type="dxa"/>
                  </w:tcMar>
                  <w:vAlign w:val="center"/>
                </w:tcPr>
                <w:p w14:paraId="085C5FB6">
                  <w:pPr>
                    <w:spacing w:line="240" w:lineRule="auto"/>
                    <w:ind w:firstLine="0" w:firstLineChars="0"/>
                    <w:jc w:val="center"/>
                    <w:rPr>
                      <w:sz w:val="21"/>
                      <w:szCs w:val="21"/>
                      <w:highlight w:val="none"/>
                    </w:rPr>
                  </w:pPr>
                </w:p>
              </w:tc>
              <w:tc>
                <w:tcPr>
                  <w:tcW w:w="1381" w:type="dxa"/>
                  <w:tcBorders>
                    <w:tl2br w:val="nil"/>
                    <w:tr2bl w:val="nil"/>
                  </w:tcBorders>
                  <w:tcMar>
                    <w:top w:w="15" w:type="dxa"/>
                    <w:left w:w="15" w:type="dxa"/>
                    <w:right w:w="15" w:type="dxa"/>
                  </w:tcMar>
                  <w:vAlign w:val="center"/>
                </w:tcPr>
                <w:p w14:paraId="5D508F50">
                  <w:pPr>
                    <w:widowControl/>
                    <w:spacing w:line="240" w:lineRule="auto"/>
                    <w:ind w:firstLine="0" w:firstLineChars="0"/>
                    <w:jc w:val="center"/>
                    <w:textAlignment w:val="center"/>
                    <w:rPr>
                      <w:sz w:val="21"/>
                      <w:szCs w:val="21"/>
                      <w:highlight w:val="none"/>
                    </w:rPr>
                  </w:pPr>
                  <w:r>
                    <w:rPr>
                      <w:rFonts w:hint="eastAsia"/>
                      <w:sz w:val="21"/>
                      <w:szCs w:val="21"/>
                      <w:highlight w:val="none"/>
                    </w:rPr>
                    <w:t>8.2</w:t>
                  </w:r>
                </w:p>
              </w:tc>
              <w:tc>
                <w:tcPr>
                  <w:tcW w:w="946" w:type="dxa"/>
                  <w:tcBorders>
                    <w:tl2br w:val="nil"/>
                    <w:tr2bl w:val="nil"/>
                  </w:tcBorders>
                  <w:tcMar>
                    <w:top w:w="15" w:type="dxa"/>
                    <w:left w:w="15" w:type="dxa"/>
                    <w:right w:w="15" w:type="dxa"/>
                  </w:tcMar>
                  <w:vAlign w:val="center"/>
                </w:tcPr>
                <w:p w14:paraId="33285F0D">
                  <w:pPr>
                    <w:widowControl/>
                    <w:spacing w:line="240" w:lineRule="auto"/>
                    <w:ind w:firstLine="0" w:firstLineChars="0"/>
                    <w:jc w:val="center"/>
                    <w:textAlignment w:val="center"/>
                    <w:rPr>
                      <w:sz w:val="21"/>
                      <w:szCs w:val="21"/>
                      <w:highlight w:val="none"/>
                    </w:rPr>
                  </w:pPr>
                  <w:r>
                    <w:rPr>
                      <w:rFonts w:hint="eastAsia"/>
                      <w:sz w:val="21"/>
                      <w:szCs w:val="21"/>
                      <w:highlight w:val="none"/>
                    </w:rPr>
                    <w:t>50</w:t>
                  </w:r>
                </w:p>
              </w:tc>
              <w:tc>
                <w:tcPr>
                  <w:tcW w:w="1215" w:type="dxa"/>
                  <w:tcBorders>
                    <w:tl2br w:val="nil"/>
                    <w:tr2bl w:val="nil"/>
                  </w:tcBorders>
                  <w:tcMar>
                    <w:top w:w="15" w:type="dxa"/>
                    <w:left w:w="15" w:type="dxa"/>
                    <w:right w:w="15" w:type="dxa"/>
                  </w:tcMar>
                  <w:vAlign w:val="center"/>
                </w:tcPr>
                <w:p w14:paraId="4C251B56">
                  <w:pPr>
                    <w:widowControl/>
                    <w:spacing w:line="240" w:lineRule="auto"/>
                    <w:ind w:firstLine="0" w:firstLineChars="0"/>
                    <w:jc w:val="center"/>
                    <w:textAlignment w:val="center"/>
                    <w:rPr>
                      <w:sz w:val="21"/>
                      <w:szCs w:val="21"/>
                      <w:highlight w:val="none"/>
                    </w:rPr>
                  </w:pPr>
                  <w:r>
                    <w:rPr>
                      <w:rFonts w:hint="eastAsia"/>
                      <w:sz w:val="21"/>
                      <w:szCs w:val="21"/>
                      <w:highlight w:val="none"/>
                    </w:rPr>
                    <w:t>0.164</w:t>
                  </w:r>
                </w:p>
              </w:tc>
              <w:tc>
                <w:tcPr>
                  <w:tcW w:w="2097" w:type="dxa"/>
                  <w:vMerge w:val="continue"/>
                  <w:tcBorders>
                    <w:tl2br w:val="nil"/>
                    <w:tr2bl w:val="nil"/>
                  </w:tcBorders>
                  <w:tcMar>
                    <w:top w:w="15" w:type="dxa"/>
                    <w:left w:w="15" w:type="dxa"/>
                    <w:right w:w="15" w:type="dxa"/>
                  </w:tcMar>
                  <w:vAlign w:val="center"/>
                </w:tcPr>
                <w:p w14:paraId="718E95A7">
                  <w:pPr>
                    <w:widowControl/>
                    <w:spacing w:line="240" w:lineRule="auto"/>
                    <w:ind w:firstLine="0" w:firstLineChars="0"/>
                    <w:jc w:val="center"/>
                    <w:textAlignment w:val="center"/>
                    <w:rPr>
                      <w:sz w:val="21"/>
                      <w:szCs w:val="21"/>
                    </w:rPr>
                  </w:pPr>
                </w:p>
              </w:tc>
            </w:tr>
            <w:tr w14:paraId="5276E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05426D01">
                  <w:pPr>
                    <w:spacing w:line="240" w:lineRule="auto"/>
                    <w:ind w:firstLine="0" w:firstLineChars="0"/>
                    <w:jc w:val="center"/>
                    <w:rPr>
                      <w:sz w:val="21"/>
                      <w:szCs w:val="21"/>
                      <w:highlight w:val="none"/>
                    </w:rPr>
                  </w:pPr>
                  <w:r>
                    <w:rPr>
                      <w:rFonts w:hint="eastAsia"/>
                      <w:sz w:val="21"/>
                      <w:szCs w:val="21"/>
                      <w:highlight w:val="none"/>
                    </w:rPr>
                    <w:t>废润滑油</w:t>
                  </w:r>
                </w:p>
              </w:tc>
              <w:tc>
                <w:tcPr>
                  <w:tcW w:w="1267" w:type="dxa"/>
                  <w:vMerge w:val="restart"/>
                  <w:tcBorders>
                    <w:tl2br w:val="nil"/>
                    <w:tr2bl w:val="nil"/>
                  </w:tcBorders>
                  <w:tcMar>
                    <w:top w:w="15" w:type="dxa"/>
                    <w:left w:w="15" w:type="dxa"/>
                    <w:right w:w="15" w:type="dxa"/>
                  </w:tcMar>
                  <w:vAlign w:val="center"/>
                </w:tcPr>
                <w:p w14:paraId="48414E39">
                  <w:pPr>
                    <w:spacing w:line="240" w:lineRule="auto"/>
                    <w:ind w:firstLine="0" w:firstLineChars="0"/>
                    <w:jc w:val="center"/>
                    <w:rPr>
                      <w:sz w:val="21"/>
                      <w:szCs w:val="21"/>
                      <w:highlight w:val="none"/>
                    </w:rPr>
                  </w:pPr>
                  <w:r>
                    <w:rPr>
                      <w:rFonts w:hint="eastAsia"/>
                      <w:sz w:val="21"/>
                      <w:szCs w:val="21"/>
                      <w:highlight w:val="none"/>
                    </w:rPr>
                    <w:t>危废暂存间</w:t>
                  </w:r>
                </w:p>
              </w:tc>
              <w:tc>
                <w:tcPr>
                  <w:tcW w:w="1381" w:type="dxa"/>
                  <w:tcBorders>
                    <w:tl2br w:val="nil"/>
                    <w:tr2bl w:val="nil"/>
                  </w:tcBorders>
                  <w:tcMar>
                    <w:top w:w="15" w:type="dxa"/>
                    <w:left w:w="15" w:type="dxa"/>
                    <w:right w:w="15" w:type="dxa"/>
                  </w:tcMar>
                  <w:vAlign w:val="center"/>
                </w:tcPr>
                <w:p w14:paraId="145442A5">
                  <w:pPr>
                    <w:widowControl/>
                    <w:spacing w:line="240" w:lineRule="auto"/>
                    <w:ind w:firstLine="0" w:firstLineChars="0"/>
                    <w:jc w:val="center"/>
                    <w:textAlignment w:val="center"/>
                    <w:rPr>
                      <w:sz w:val="21"/>
                      <w:szCs w:val="21"/>
                      <w:highlight w:val="none"/>
                    </w:rPr>
                  </w:pPr>
                  <w:r>
                    <w:rPr>
                      <w:rFonts w:hint="eastAsia"/>
                      <w:sz w:val="21"/>
                      <w:szCs w:val="21"/>
                      <w:highlight w:val="none"/>
                    </w:rPr>
                    <w:t>0.5</w:t>
                  </w:r>
                </w:p>
              </w:tc>
              <w:tc>
                <w:tcPr>
                  <w:tcW w:w="946" w:type="dxa"/>
                  <w:tcBorders>
                    <w:tl2br w:val="nil"/>
                    <w:tr2bl w:val="nil"/>
                  </w:tcBorders>
                  <w:tcMar>
                    <w:top w:w="15" w:type="dxa"/>
                    <w:left w:w="15" w:type="dxa"/>
                    <w:right w:w="15" w:type="dxa"/>
                  </w:tcMar>
                  <w:vAlign w:val="center"/>
                </w:tcPr>
                <w:p w14:paraId="7F744F5D">
                  <w:pPr>
                    <w:widowControl/>
                    <w:spacing w:line="240" w:lineRule="auto"/>
                    <w:ind w:firstLine="0" w:firstLineChars="0"/>
                    <w:jc w:val="center"/>
                    <w:textAlignment w:val="center"/>
                    <w:rPr>
                      <w:sz w:val="21"/>
                      <w:szCs w:val="21"/>
                      <w:highlight w:val="none"/>
                    </w:rPr>
                  </w:pPr>
                  <w:r>
                    <w:rPr>
                      <w:rFonts w:hint="eastAsia"/>
                      <w:sz w:val="21"/>
                      <w:szCs w:val="21"/>
                      <w:highlight w:val="none"/>
                    </w:rPr>
                    <w:t>100</w:t>
                  </w:r>
                </w:p>
              </w:tc>
              <w:tc>
                <w:tcPr>
                  <w:tcW w:w="1215" w:type="dxa"/>
                  <w:tcBorders>
                    <w:tl2br w:val="nil"/>
                    <w:tr2bl w:val="nil"/>
                  </w:tcBorders>
                  <w:tcMar>
                    <w:top w:w="15" w:type="dxa"/>
                    <w:left w:w="15" w:type="dxa"/>
                    <w:right w:w="15" w:type="dxa"/>
                  </w:tcMar>
                  <w:vAlign w:val="center"/>
                </w:tcPr>
                <w:p w14:paraId="5C3B6168">
                  <w:pPr>
                    <w:widowControl/>
                    <w:spacing w:line="240" w:lineRule="auto"/>
                    <w:ind w:firstLine="0" w:firstLineChars="0"/>
                    <w:jc w:val="center"/>
                    <w:textAlignment w:val="center"/>
                    <w:rPr>
                      <w:sz w:val="21"/>
                      <w:szCs w:val="21"/>
                      <w:highlight w:val="none"/>
                    </w:rPr>
                  </w:pPr>
                  <w:r>
                    <w:rPr>
                      <w:rFonts w:hint="eastAsia"/>
                      <w:sz w:val="21"/>
                      <w:szCs w:val="21"/>
                      <w:highlight w:val="none"/>
                    </w:rPr>
                    <w:t>0.005</w:t>
                  </w:r>
                </w:p>
              </w:tc>
              <w:tc>
                <w:tcPr>
                  <w:tcW w:w="2097" w:type="dxa"/>
                  <w:vMerge w:val="continue"/>
                  <w:tcBorders>
                    <w:tl2br w:val="nil"/>
                    <w:tr2bl w:val="nil"/>
                  </w:tcBorders>
                  <w:tcMar>
                    <w:top w:w="15" w:type="dxa"/>
                    <w:left w:w="15" w:type="dxa"/>
                    <w:right w:w="15" w:type="dxa"/>
                  </w:tcMar>
                  <w:vAlign w:val="center"/>
                </w:tcPr>
                <w:p w14:paraId="354BDED0">
                  <w:pPr>
                    <w:widowControl/>
                    <w:spacing w:line="240" w:lineRule="auto"/>
                    <w:ind w:firstLine="0" w:firstLineChars="0"/>
                    <w:jc w:val="center"/>
                    <w:textAlignment w:val="center"/>
                    <w:rPr>
                      <w:sz w:val="21"/>
                      <w:szCs w:val="21"/>
                    </w:rPr>
                  </w:pPr>
                </w:p>
              </w:tc>
            </w:tr>
            <w:tr w14:paraId="41538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347F6F66">
                  <w:pPr>
                    <w:spacing w:line="240" w:lineRule="auto"/>
                    <w:ind w:firstLine="0" w:firstLineChars="0"/>
                    <w:jc w:val="center"/>
                    <w:rPr>
                      <w:sz w:val="21"/>
                      <w:szCs w:val="21"/>
                      <w:highlight w:val="none"/>
                    </w:rPr>
                  </w:pPr>
                  <w:r>
                    <w:rPr>
                      <w:rFonts w:hint="eastAsia"/>
                      <w:sz w:val="21"/>
                      <w:szCs w:val="21"/>
                      <w:highlight w:val="none"/>
                    </w:rPr>
                    <w:t>废液压油</w:t>
                  </w:r>
                </w:p>
              </w:tc>
              <w:tc>
                <w:tcPr>
                  <w:tcW w:w="1267" w:type="dxa"/>
                  <w:vMerge w:val="continue"/>
                  <w:tcBorders>
                    <w:tl2br w:val="nil"/>
                    <w:tr2bl w:val="nil"/>
                  </w:tcBorders>
                  <w:tcMar>
                    <w:top w:w="15" w:type="dxa"/>
                    <w:left w:w="15" w:type="dxa"/>
                    <w:right w:w="15" w:type="dxa"/>
                  </w:tcMar>
                  <w:vAlign w:val="center"/>
                </w:tcPr>
                <w:p w14:paraId="275FB299">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6D3AEADE">
                  <w:pPr>
                    <w:spacing w:line="240" w:lineRule="auto"/>
                    <w:ind w:firstLine="0" w:firstLineChars="0"/>
                    <w:jc w:val="center"/>
                    <w:rPr>
                      <w:sz w:val="21"/>
                      <w:szCs w:val="21"/>
                      <w:highlight w:val="none"/>
                    </w:rPr>
                  </w:pPr>
                  <w:r>
                    <w:rPr>
                      <w:rFonts w:hint="eastAsia"/>
                      <w:sz w:val="21"/>
                      <w:szCs w:val="21"/>
                      <w:highlight w:val="none"/>
                    </w:rPr>
                    <w:t>0.8</w:t>
                  </w:r>
                </w:p>
              </w:tc>
              <w:tc>
                <w:tcPr>
                  <w:tcW w:w="946" w:type="dxa"/>
                  <w:tcBorders>
                    <w:tl2br w:val="nil"/>
                    <w:tr2bl w:val="nil"/>
                  </w:tcBorders>
                  <w:tcMar>
                    <w:top w:w="15" w:type="dxa"/>
                    <w:left w:w="15" w:type="dxa"/>
                    <w:right w:w="15" w:type="dxa"/>
                  </w:tcMar>
                  <w:vAlign w:val="center"/>
                </w:tcPr>
                <w:p w14:paraId="5A76131E">
                  <w:pPr>
                    <w:widowControl/>
                    <w:spacing w:line="240" w:lineRule="auto"/>
                    <w:ind w:firstLine="0" w:firstLineChars="0"/>
                    <w:jc w:val="center"/>
                    <w:textAlignment w:val="center"/>
                    <w:rPr>
                      <w:sz w:val="21"/>
                      <w:szCs w:val="21"/>
                      <w:highlight w:val="none"/>
                    </w:rPr>
                  </w:pPr>
                  <w:r>
                    <w:rPr>
                      <w:rFonts w:hint="eastAsia"/>
                      <w:sz w:val="21"/>
                      <w:szCs w:val="21"/>
                      <w:highlight w:val="none"/>
                    </w:rPr>
                    <w:t>100</w:t>
                  </w:r>
                </w:p>
              </w:tc>
              <w:tc>
                <w:tcPr>
                  <w:tcW w:w="1215" w:type="dxa"/>
                  <w:tcBorders>
                    <w:tl2br w:val="nil"/>
                    <w:tr2bl w:val="nil"/>
                  </w:tcBorders>
                  <w:tcMar>
                    <w:top w:w="15" w:type="dxa"/>
                    <w:left w:w="15" w:type="dxa"/>
                    <w:right w:w="15" w:type="dxa"/>
                  </w:tcMar>
                  <w:vAlign w:val="center"/>
                </w:tcPr>
                <w:p w14:paraId="4C619A42">
                  <w:pPr>
                    <w:widowControl/>
                    <w:spacing w:line="240" w:lineRule="auto"/>
                    <w:ind w:firstLine="0" w:firstLineChars="0"/>
                    <w:jc w:val="center"/>
                    <w:textAlignment w:val="center"/>
                    <w:rPr>
                      <w:sz w:val="21"/>
                      <w:szCs w:val="21"/>
                      <w:highlight w:val="none"/>
                    </w:rPr>
                  </w:pPr>
                  <w:r>
                    <w:rPr>
                      <w:rFonts w:hint="eastAsia"/>
                      <w:sz w:val="21"/>
                      <w:szCs w:val="21"/>
                      <w:highlight w:val="none"/>
                    </w:rPr>
                    <w:t>0.008</w:t>
                  </w:r>
                </w:p>
              </w:tc>
              <w:tc>
                <w:tcPr>
                  <w:tcW w:w="2097" w:type="dxa"/>
                  <w:vMerge w:val="continue"/>
                  <w:tcBorders>
                    <w:tl2br w:val="nil"/>
                    <w:tr2bl w:val="nil"/>
                  </w:tcBorders>
                  <w:tcMar>
                    <w:top w:w="15" w:type="dxa"/>
                    <w:left w:w="15" w:type="dxa"/>
                    <w:right w:w="15" w:type="dxa"/>
                  </w:tcMar>
                  <w:vAlign w:val="center"/>
                </w:tcPr>
                <w:p w14:paraId="290355A2">
                  <w:pPr>
                    <w:widowControl/>
                    <w:spacing w:line="240" w:lineRule="auto"/>
                    <w:ind w:firstLine="0" w:firstLineChars="0"/>
                    <w:jc w:val="center"/>
                    <w:textAlignment w:val="center"/>
                    <w:rPr>
                      <w:sz w:val="21"/>
                      <w:szCs w:val="21"/>
                    </w:rPr>
                  </w:pPr>
                </w:p>
              </w:tc>
            </w:tr>
            <w:tr w14:paraId="0057B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4431B8C4">
                  <w:pPr>
                    <w:spacing w:line="240" w:lineRule="auto"/>
                    <w:ind w:firstLine="0" w:firstLineChars="0"/>
                    <w:jc w:val="center"/>
                    <w:rPr>
                      <w:sz w:val="21"/>
                      <w:szCs w:val="21"/>
                      <w:highlight w:val="none"/>
                    </w:rPr>
                  </w:pPr>
                  <w:r>
                    <w:rPr>
                      <w:rFonts w:hint="eastAsia"/>
                      <w:sz w:val="21"/>
                      <w:szCs w:val="21"/>
                      <w:highlight w:val="none"/>
                    </w:rPr>
                    <w:t>废切削液</w:t>
                  </w:r>
                </w:p>
              </w:tc>
              <w:tc>
                <w:tcPr>
                  <w:tcW w:w="1267" w:type="dxa"/>
                  <w:vMerge w:val="continue"/>
                  <w:tcBorders>
                    <w:tl2br w:val="nil"/>
                    <w:tr2bl w:val="nil"/>
                  </w:tcBorders>
                  <w:tcMar>
                    <w:top w:w="15" w:type="dxa"/>
                    <w:left w:w="15" w:type="dxa"/>
                    <w:right w:w="15" w:type="dxa"/>
                  </w:tcMar>
                  <w:vAlign w:val="center"/>
                </w:tcPr>
                <w:p w14:paraId="2E3FB359">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577A16C7">
                  <w:pPr>
                    <w:spacing w:line="240" w:lineRule="auto"/>
                    <w:ind w:firstLine="0" w:firstLineChars="0"/>
                    <w:jc w:val="center"/>
                    <w:rPr>
                      <w:sz w:val="21"/>
                      <w:szCs w:val="21"/>
                      <w:highlight w:val="none"/>
                    </w:rPr>
                  </w:pPr>
                  <w:r>
                    <w:rPr>
                      <w:rFonts w:hint="eastAsia"/>
                      <w:sz w:val="21"/>
                      <w:szCs w:val="21"/>
                      <w:highlight w:val="none"/>
                    </w:rPr>
                    <w:t>1.2</w:t>
                  </w:r>
                </w:p>
              </w:tc>
              <w:tc>
                <w:tcPr>
                  <w:tcW w:w="946" w:type="dxa"/>
                  <w:tcBorders>
                    <w:tl2br w:val="nil"/>
                    <w:tr2bl w:val="nil"/>
                  </w:tcBorders>
                  <w:tcMar>
                    <w:top w:w="15" w:type="dxa"/>
                    <w:left w:w="15" w:type="dxa"/>
                    <w:right w:w="15" w:type="dxa"/>
                  </w:tcMar>
                  <w:vAlign w:val="center"/>
                </w:tcPr>
                <w:p w14:paraId="072AD7E7">
                  <w:pPr>
                    <w:widowControl/>
                    <w:spacing w:line="240" w:lineRule="auto"/>
                    <w:ind w:firstLine="0" w:firstLineChars="0"/>
                    <w:jc w:val="center"/>
                    <w:textAlignment w:val="center"/>
                    <w:rPr>
                      <w:sz w:val="21"/>
                      <w:szCs w:val="21"/>
                      <w:highlight w:val="none"/>
                    </w:rPr>
                  </w:pPr>
                  <w:r>
                    <w:rPr>
                      <w:rFonts w:hint="eastAsia"/>
                      <w:sz w:val="21"/>
                      <w:szCs w:val="21"/>
                      <w:highlight w:val="none"/>
                    </w:rPr>
                    <w:t>100</w:t>
                  </w:r>
                </w:p>
              </w:tc>
              <w:tc>
                <w:tcPr>
                  <w:tcW w:w="1215" w:type="dxa"/>
                  <w:tcBorders>
                    <w:tl2br w:val="nil"/>
                    <w:tr2bl w:val="nil"/>
                  </w:tcBorders>
                  <w:tcMar>
                    <w:top w:w="15" w:type="dxa"/>
                    <w:left w:w="15" w:type="dxa"/>
                    <w:right w:w="15" w:type="dxa"/>
                  </w:tcMar>
                  <w:vAlign w:val="center"/>
                </w:tcPr>
                <w:p w14:paraId="17EECEDE">
                  <w:pPr>
                    <w:widowControl/>
                    <w:spacing w:line="240" w:lineRule="auto"/>
                    <w:ind w:firstLine="0" w:firstLineChars="0"/>
                    <w:jc w:val="center"/>
                    <w:textAlignment w:val="center"/>
                    <w:rPr>
                      <w:sz w:val="21"/>
                      <w:szCs w:val="21"/>
                      <w:highlight w:val="none"/>
                    </w:rPr>
                  </w:pPr>
                  <w:r>
                    <w:rPr>
                      <w:rFonts w:hint="eastAsia"/>
                      <w:sz w:val="21"/>
                      <w:szCs w:val="21"/>
                      <w:highlight w:val="none"/>
                    </w:rPr>
                    <w:t>0.012</w:t>
                  </w:r>
                </w:p>
              </w:tc>
              <w:tc>
                <w:tcPr>
                  <w:tcW w:w="2097" w:type="dxa"/>
                  <w:vMerge w:val="continue"/>
                  <w:tcBorders>
                    <w:tl2br w:val="nil"/>
                    <w:tr2bl w:val="nil"/>
                  </w:tcBorders>
                  <w:tcMar>
                    <w:top w:w="15" w:type="dxa"/>
                    <w:left w:w="15" w:type="dxa"/>
                    <w:right w:w="15" w:type="dxa"/>
                  </w:tcMar>
                  <w:vAlign w:val="center"/>
                </w:tcPr>
                <w:p w14:paraId="0C25FB95">
                  <w:pPr>
                    <w:widowControl/>
                    <w:spacing w:line="240" w:lineRule="auto"/>
                    <w:ind w:firstLine="0" w:firstLineChars="0"/>
                    <w:jc w:val="center"/>
                    <w:textAlignment w:val="center"/>
                    <w:rPr>
                      <w:sz w:val="21"/>
                      <w:szCs w:val="21"/>
                    </w:rPr>
                  </w:pPr>
                </w:p>
              </w:tc>
            </w:tr>
            <w:tr w14:paraId="7D976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399CC826">
                  <w:pPr>
                    <w:spacing w:line="240" w:lineRule="auto"/>
                    <w:ind w:firstLine="0" w:firstLineChars="0"/>
                    <w:jc w:val="center"/>
                    <w:rPr>
                      <w:rFonts w:hint="eastAsia" w:eastAsia="宋体"/>
                      <w:color w:val="FF0000"/>
                      <w:sz w:val="21"/>
                      <w:szCs w:val="21"/>
                      <w:highlight w:val="none"/>
                      <w:lang w:eastAsia="zh-CN"/>
                    </w:rPr>
                  </w:pPr>
                  <w:r>
                    <w:rPr>
                      <w:rFonts w:hint="eastAsia"/>
                      <w:sz w:val="21"/>
                      <w:szCs w:val="21"/>
                      <w:highlight w:val="none"/>
                    </w:rPr>
                    <w:t>废</w:t>
                  </w:r>
                  <w:r>
                    <w:rPr>
                      <w:rFonts w:hint="eastAsia"/>
                      <w:sz w:val="21"/>
                      <w:szCs w:val="21"/>
                      <w:highlight w:val="none"/>
                      <w:lang w:eastAsia="zh-CN"/>
                    </w:rPr>
                    <w:t>淬火油</w:t>
                  </w:r>
                </w:p>
              </w:tc>
              <w:tc>
                <w:tcPr>
                  <w:tcW w:w="1267" w:type="dxa"/>
                  <w:vMerge w:val="continue"/>
                  <w:tcBorders>
                    <w:tl2br w:val="nil"/>
                    <w:tr2bl w:val="nil"/>
                  </w:tcBorders>
                  <w:tcMar>
                    <w:top w:w="15" w:type="dxa"/>
                    <w:left w:w="15" w:type="dxa"/>
                    <w:right w:w="15" w:type="dxa"/>
                  </w:tcMar>
                  <w:vAlign w:val="center"/>
                </w:tcPr>
                <w:p w14:paraId="188379D3">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00AFD758">
                  <w:pPr>
                    <w:spacing w:line="240" w:lineRule="auto"/>
                    <w:ind w:firstLine="0" w:firstLineChars="0"/>
                    <w:jc w:val="center"/>
                    <w:rPr>
                      <w:sz w:val="21"/>
                      <w:szCs w:val="21"/>
                      <w:highlight w:val="none"/>
                    </w:rPr>
                  </w:pPr>
                  <w:r>
                    <w:rPr>
                      <w:rFonts w:hint="eastAsia"/>
                      <w:sz w:val="21"/>
                      <w:szCs w:val="21"/>
                      <w:highlight w:val="none"/>
                    </w:rPr>
                    <w:t>5.6</w:t>
                  </w:r>
                </w:p>
              </w:tc>
              <w:tc>
                <w:tcPr>
                  <w:tcW w:w="946" w:type="dxa"/>
                  <w:tcBorders>
                    <w:tl2br w:val="nil"/>
                    <w:tr2bl w:val="nil"/>
                  </w:tcBorders>
                  <w:tcMar>
                    <w:top w:w="15" w:type="dxa"/>
                    <w:left w:w="15" w:type="dxa"/>
                    <w:right w:w="15" w:type="dxa"/>
                  </w:tcMar>
                  <w:vAlign w:val="center"/>
                </w:tcPr>
                <w:p w14:paraId="62ED23FC">
                  <w:pPr>
                    <w:widowControl/>
                    <w:spacing w:line="240" w:lineRule="auto"/>
                    <w:ind w:firstLine="0" w:firstLineChars="0"/>
                    <w:jc w:val="center"/>
                    <w:textAlignment w:val="center"/>
                    <w:rPr>
                      <w:sz w:val="21"/>
                      <w:szCs w:val="21"/>
                      <w:highlight w:val="none"/>
                    </w:rPr>
                  </w:pPr>
                  <w:r>
                    <w:rPr>
                      <w:rFonts w:hint="eastAsia"/>
                      <w:sz w:val="21"/>
                      <w:szCs w:val="21"/>
                      <w:highlight w:val="none"/>
                    </w:rPr>
                    <w:t>100</w:t>
                  </w:r>
                </w:p>
              </w:tc>
              <w:tc>
                <w:tcPr>
                  <w:tcW w:w="1215" w:type="dxa"/>
                  <w:tcBorders>
                    <w:tl2br w:val="nil"/>
                    <w:tr2bl w:val="nil"/>
                  </w:tcBorders>
                  <w:tcMar>
                    <w:top w:w="15" w:type="dxa"/>
                    <w:left w:w="15" w:type="dxa"/>
                    <w:right w:w="15" w:type="dxa"/>
                  </w:tcMar>
                  <w:vAlign w:val="center"/>
                </w:tcPr>
                <w:p w14:paraId="57C9314D">
                  <w:pPr>
                    <w:widowControl/>
                    <w:spacing w:line="240" w:lineRule="auto"/>
                    <w:ind w:firstLine="0" w:firstLineChars="0"/>
                    <w:jc w:val="center"/>
                    <w:textAlignment w:val="center"/>
                    <w:rPr>
                      <w:sz w:val="21"/>
                      <w:szCs w:val="21"/>
                      <w:highlight w:val="none"/>
                    </w:rPr>
                  </w:pPr>
                  <w:r>
                    <w:rPr>
                      <w:rFonts w:hint="eastAsia"/>
                      <w:sz w:val="21"/>
                      <w:szCs w:val="21"/>
                      <w:highlight w:val="none"/>
                    </w:rPr>
                    <w:t>0.056</w:t>
                  </w:r>
                </w:p>
              </w:tc>
              <w:tc>
                <w:tcPr>
                  <w:tcW w:w="2097" w:type="dxa"/>
                  <w:vMerge w:val="continue"/>
                  <w:tcBorders>
                    <w:tl2br w:val="nil"/>
                    <w:tr2bl w:val="nil"/>
                  </w:tcBorders>
                  <w:tcMar>
                    <w:top w:w="15" w:type="dxa"/>
                    <w:left w:w="15" w:type="dxa"/>
                    <w:right w:w="15" w:type="dxa"/>
                  </w:tcMar>
                  <w:vAlign w:val="center"/>
                </w:tcPr>
                <w:p w14:paraId="27AF91DF">
                  <w:pPr>
                    <w:widowControl/>
                    <w:spacing w:line="240" w:lineRule="auto"/>
                    <w:ind w:firstLine="0" w:firstLineChars="0"/>
                    <w:jc w:val="center"/>
                    <w:textAlignment w:val="center"/>
                    <w:rPr>
                      <w:sz w:val="21"/>
                      <w:szCs w:val="21"/>
                    </w:rPr>
                  </w:pPr>
                </w:p>
              </w:tc>
            </w:tr>
            <w:tr w14:paraId="362CD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05C27BA8">
                  <w:pPr>
                    <w:spacing w:line="240" w:lineRule="auto"/>
                    <w:ind w:firstLine="0" w:firstLineChars="0"/>
                    <w:jc w:val="center"/>
                    <w:rPr>
                      <w:sz w:val="21"/>
                      <w:szCs w:val="21"/>
                      <w:highlight w:val="none"/>
                    </w:rPr>
                  </w:pPr>
                  <w:r>
                    <w:rPr>
                      <w:rFonts w:hint="eastAsia"/>
                      <w:sz w:val="21"/>
                      <w:szCs w:val="21"/>
                      <w:highlight w:val="none"/>
                    </w:rPr>
                    <w:t>油污</w:t>
                  </w:r>
                </w:p>
              </w:tc>
              <w:tc>
                <w:tcPr>
                  <w:tcW w:w="1267" w:type="dxa"/>
                  <w:vMerge w:val="continue"/>
                  <w:tcBorders>
                    <w:tl2br w:val="nil"/>
                    <w:tr2bl w:val="nil"/>
                  </w:tcBorders>
                  <w:tcMar>
                    <w:top w:w="15" w:type="dxa"/>
                    <w:left w:w="15" w:type="dxa"/>
                    <w:right w:w="15" w:type="dxa"/>
                  </w:tcMar>
                  <w:vAlign w:val="center"/>
                </w:tcPr>
                <w:p w14:paraId="4FFD58B4">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7075181A">
                  <w:pPr>
                    <w:spacing w:line="240" w:lineRule="auto"/>
                    <w:ind w:firstLine="0" w:firstLineChars="0"/>
                    <w:jc w:val="center"/>
                    <w:rPr>
                      <w:sz w:val="21"/>
                      <w:szCs w:val="21"/>
                      <w:highlight w:val="none"/>
                    </w:rPr>
                  </w:pPr>
                  <w:r>
                    <w:rPr>
                      <w:rFonts w:hint="eastAsia"/>
                      <w:sz w:val="21"/>
                      <w:szCs w:val="21"/>
                      <w:highlight w:val="none"/>
                    </w:rPr>
                    <w:t>3</w:t>
                  </w:r>
                </w:p>
              </w:tc>
              <w:tc>
                <w:tcPr>
                  <w:tcW w:w="946" w:type="dxa"/>
                  <w:tcBorders>
                    <w:tl2br w:val="nil"/>
                    <w:tr2bl w:val="nil"/>
                  </w:tcBorders>
                  <w:tcMar>
                    <w:top w:w="15" w:type="dxa"/>
                    <w:left w:w="15" w:type="dxa"/>
                    <w:right w:w="15" w:type="dxa"/>
                  </w:tcMar>
                  <w:vAlign w:val="center"/>
                </w:tcPr>
                <w:p w14:paraId="6347D711">
                  <w:pPr>
                    <w:widowControl/>
                    <w:spacing w:line="240" w:lineRule="auto"/>
                    <w:ind w:firstLine="0" w:firstLineChars="0"/>
                    <w:jc w:val="center"/>
                    <w:textAlignment w:val="center"/>
                    <w:rPr>
                      <w:sz w:val="21"/>
                      <w:szCs w:val="21"/>
                      <w:highlight w:val="none"/>
                    </w:rPr>
                  </w:pPr>
                  <w:r>
                    <w:rPr>
                      <w:rFonts w:hint="eastAsia"/>
                      <w:sz w:val="21"/>
                      <w:szCs w:val="21"/>
                      <w:highlight w:val="none"/>
                    </w:rPr>
                    <w:t>100</w:t>
                  </w:r>
                </w:p>
              </w:tc>
              <w:tc>
                <w:tcPr>
                  <w:tcW w:w="1215" w:type="dxa"/>
                  <w:tcBorders>
                    <w:tl2br w:val="nil"/>
                    <w:tr2bl w:val="nil"/>
                  </w:tcBorders>
                  <w:tcMar>
                    <w:top w:w="15" w:type="dxa"/>
                    <w:left w:w="15" w:type="dxa"/>
                    <w:right w:w="15" w:type="dxa"/>
                  </w:tcMar>
                  <w:vAlign w:val="center"/>
                </w:tcPr>
                <w:p w14:paraId="6816B698">
                  <w:pPr>
                    <w:widowControl/>
                    <w:spacing w:line="240" w:lineRule="auto"/>
                    <w:ind w:firstLine="0" w:firstLineChars="0"/>
                    <w:jc w:val="center"/>
                    <w:textAlignment w:val="center"/>
                    <w:rPr>
                      <w:sz w:val="21"/>
                      <w:szCs w:val="21"/>
                      <w:highlight w:val="none"/>
                    </w:rPr>
                  </w:pPr>
                  <w:r>
                    <w:rPr>
                      <w:rFonts w:hint="eastAsia"/>
                      <w:sz w:val="21"/>
                      <w:szCs w:val="21"/>
                      <w:highlight w:val="none"/>
                    </w:rPr>
                    <w:t>0.03</w:t>
                  </w:r>
                </w:p>
              </w:tc>
              <w:tc>
                <w:tcPr>
                  <w:tcW w:w="2097" w:type="dxa"/>
                  <w:vMerge w:val="continue"/>
                  <w:tcBorders>
                    <w:tl2br w:val="nil"/>
                    <w:tr2bl w:val="nil"/>
                  </w:tcBorders>
                  <w:tcMar>
                    <w:top w:w="15" w:type="dxa"/>
                    <w:left w:w="15" w:type="dxa"/>
                    <w:right w:w="15" w:type="dxa"/>
                  </w:tcMar>
                  <w:vAlign w:val="center"/>
                </w:tcPr>
                <w:p w14:paraId="27E0F737">
                  <w:pPr>
                    <w:widowControl/>
                    <w:spacing w:line="240" w:lineRule="auto"/>
                    <w:ind w:firstLine="0" w:firstLineChars="0"/>
                    <w:jc w:val="center"/>
                    <w:textAlignment w:val="center"/>
                    <w:rPr>
                      <w:sz w:val="21"/>
                      <w:szCs w:val="21"/>
                    </w:rPr>
                  </w:pPr>
                </w:p>
              </w:tc>
            </w:tr>
            <w:tr w14:paraId="5F7D9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91" w:type="dxa"/>
                  <w:tcBorders>
                    <w:tl2br w:val="nil"/>
                    <w:tr2bl w:val="nil"/>
                  </w:tcBorders>
                  <w:tcMar>
                    <w:top w:w="15" w:type="dxa"/>
                    <w:left w:w="15" w:type="dxa"/>
                    <w:right w:w="15" w:type="dxa"/>
                  </w:tcMar>
                  <w:vAlign w:val="center"/>
                </w:tcPr>
                <w:p w14:paraId="1CAF7E06">
                  <w:pPr>
                    <w:spacing w:line="240" w:lineRule="auto"/>
                    <w:ind w:firstLine="0" w:firstLineChars="0"/>
                    <w:jc w:val="center"/>
                    <w:rPr>
                      <w:sz w:val="21"/>
                      <w:szCs w:val="21"/>
                      <w:highlight w:val="none"/>
                    </w:rPr>
                  </w:pPr>
                  <w:r>
                    <w:rPr>
                      <w:rFonts w:hint="eastAsia"/>
                      <w:sz w:val="21"/>
                      <w:szCs w:val="21"/>
                      <w:highlight w:val="none"/>
                    </w:rPr>
                    <w:t>废活性炭</w:t>
                  </w:r>
                </w:p>
              </w:tc>
              <w:tc>
                <w:tcPr>
                  <w:tcW w:w="1267" w:type="dxa"/>
                  <w:vMerge w:val="continue"/>
                  <w:tcBorders>
                    <w:tl2br w:val="nil"/>
                    <w:tr2bl w:val="nil"/>
                  </w:tcBorders>
                  <w:tcMar>
                    <w:top w:w="15" w:type="dxa"/>
                    <w:left w:w="15" w:type="dxa"/>
                    <w:right w:w="15" w:type="dxa"/>
                  </w:tcMar>
                  <w:vAlign w:val="center"/>
                </w:tcPr>
                <w:p w14:paraId="596E3A28">
                  <w:pPr>
                    <w:ind w:firstLine="420"/>
                    <w:jc w:val="center"/>
                    <w:rPr>
                      <w:sz w:val="21"/>
                      <w:szCs w:val="21"/>
                      <w:highlight w:val="none"/>
                    </w:rPr>
                  </w:pPr>
                </w:p>
              </w:tc>
              <w:tc>
                <w:tcPr>
                  <w:tcW w:w="1381" w:type="dxa"/>
                  <w:tcBorders>
                    <w:tl2br w:val="nil"/>
                    <w:tr2bl w:val="nil"/>
                  </w:tcBorders>
                  <w:tcMar>
                    <w:top w:w="15" w:type="dxa"/>
                    <w:left w:w="15" w:type="dxa"/>
                    <w:right w:w="15" w:type="dxa"/>
                  </w:tcMar>
                  <w:vAlign w:val="center"/>
                </w:tcPr>
                <w:p w14:paraId="139B2342">
                  <w:pPr>
                    <w:spacing w:line="240" w:lineRule="auto"/>
                    <w:ind w:firstLine="0" w:firstLineChars="0"/>
                    <w:jc w:val="center"/>
                    <w:rPr>
                      <w:sz w:val="21"/>
                      <w:szCs w:val="21"/>
                      <w:highlight w:val="none"/>
                    </w:rPr>
                  </w:pPr>
                  <w:r>
                    <w:rPr>
                      <w:rFonts w:hint="eastAsia"/>
                      <w:sz w:val="21"/>
                      <w:szCs w:val="21"/>
                      <w:highlight w:val="none"/>
                    </w:rPr>
                    <w:t>0.3</w:t>
                  </w:r>
                </w:p>
              </w:tc>
              <w:tc>
                <w:tcPr>
                  <w:tcW w:w="946" w:type="dxa"/>
                  <w:tcBorders>
                    <w:tl2br w:val="nil"/>
                    <w:tr2bl w:val="nil"/>
                  </w:tcBorders>
                  <w:tcMar>
                    <w:top w:w="15" w:type="dxa"/>
                    <w:left w:w="15" w:type="dxa"/>
                    <w:right w:w="15" w:type="dxa"/>
                  </w:tcMar>
                  <w:vAlign w:val="center"/>
                </w:tcPr>
                <w:p w14:paraId="12386EB2">
                  <w:pPr>
                    <w:widowControl/>
                    <w:spacing w:line="240" w:lineRule="auto"/>
                    <w:ind w:firstLine="0" w:firstLineChars="0"/>
                    <w:jc w:val="center"/>
                    <w:textAlignment w:val="center"/>
                    <w:rPr>
                      <w:sz w:val="21"/>
                      <w:szCs w:val="21"/>
                      <w:highlight w:val="none"/>
                    </w:rPr>
                  </w:pPr>
                  <w:r>
                    <w:rPr>
                      <w:rFonts w:hint="eastAsia"/>
                      <w:sz w:val="21"/>
                      <w:szCs w:val="21"/>
                      <w:highlight w:val="none"/>
                    </w:rPr>
                    <w:t>50</w:t>
                  </w:r>
                </w:p>
              </w:tc>
              <w:tc>
                <w:tcPr>
                  <w:tcW w:w="1215" w:type="dxa"/>
                  <w:tcBorders>
                    <w:tl2br w:val="nil"/>
                    <w:tr2bl w:val="nil"/>
                  </w:tcBorders>
                  <w:tcMar>
                    <w:top w:w="15" w:type="dxa"/>
                    <w:left w:w="15" w:type="dxa"/>
                    <w:right w:w="15" w:type="dxa"/>
                  </w:tcMar>
                  <w:vAlign w:val="center"/>
                </w:tcPr>
                <w:p w14:paraId="5B46AE94">
                  <w:pPr>
                    <w:widowControl/>
                    <w:spacing w:line="240" w:lineRule="auto"/>
                    <w:ind w:firstLine="0" w:firstLineChars="0"/>
                    <w:jc w:val="center"/>
                    <w:textAlignment w:val="center"/>
                    <w:rPr>
                      <w:sz w:val="21"/>
                      <w:szCs w:val="21"/>
                      <w:highlight w:val="none"/>
                    </w:rPr>
                  </w:pPr>
                  <w:r>
                    <w:rPr>
                      <w:rFonts w:hint="eastAsia"/>
                      <w:sz w:val="21"/>
                      <w:szCs w:val="21"/>
                      <w:highlight w:val="none"/>
                    </w:rPr>
                    <w:t>0.006</w:t>
                  </w:r>
                </w:p>
              </w:tc>
              <w:tc>
                <w:tcPr>
                  <w:tcW w:w="2097" w:type="dxa"/>
                  <w:vMerge w:val="continue"/>
                  <w:tcBorders>
                    <w:tl2br w:val="nil"/>
                    <w:tr2bl w:val="nil"/>
                  </w:tcBorders>
                  <w:tcMar>
                    <w:top w:w="15" w:type="dxa"/>
                    <w:left w:w="15" w:type="dxa"/>
                    <w:right w:w="15" w:type="dxa"/>
                  </w:tcMar>
                  <w:vAlign w:val="center"/>
                </w:tcPr>
                <w:p w14:paraId="0774A697">
                  <w:pPr>
                    <w:widowControl/>
                    <w:spacing w:line="240" w:lineRule="auto"/>
                    <w:ind w:firstLine="0" w:firstLineChars="0"/>
                    <w:jc w:val="center"/>
                    <w:textAlignment w:val="center"/>
                    <w:rPr>
                      <w:sz w:val="21"/>
                      <w:szCs w:val="21"/>
                    </w:rPr>
                  </w:pPr>
                </w:p>
              </w:tc>
            </w:tr>
            <w:tr w14:paraId="63FE0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85" w:type="dxa"/>
                  <w:gridSpan w:val="4"/>
                  <w:tcBorders>
                    <w:tl2br w:val="nil"/>
                    <w:tr2bl w:val="nil"/>
                  </w:tcBorders>
                  <w:tcMar>
                    <w:top w:w="15" w:type="dxa"/>
                    <w:left w:w="15" w:type="dxa"/>
                    <w:right w:w="15" w:type="dxa"/>
                  </w:tcMar>
                  <w:vAlign w:val="center"/>
                </w:tcPr>
                <w:p w14:paraId="0353007F">
                  <w:pPr>
                    <w:widowControl/>
                    <w:autoSpaceDE w:val="0"/>
                    <w:autoSpaceDN w:val="0"/>
                    <w:adjustRightInd w:val="0"/>
                    <w:snapToGrid w:val="0"/>
                    <w:spacing w:line="240" w:lineRule="auto"/>
                    <w:ind w:firstLine="0" w:firstLineChars="0"/>
                    <w:jc w:val="center"/>
                    <w:rPr>
                      <w:bCs/>
                      <w:kern w:val="0"/>
                      <w:sz w:val="21"/>
                      <w:szCs w:val="21"/>
                    </w:rPr>
                  </w:pPr>
                  <w:r>
                    <w:rPr>
                      <w:rFonts w:hint="eastAsia"/>
                      <w:bCs/>
                      <w:kern w:val="0"/>
                      <w:sz w:val="21"/>
                      <w:szCs w:val="21"/>
                    </w:rPr>
                    <w:t>项目Q值∑</w:t>
                  </w:r>
                </w:p>
              </w:tc>
              <w:tc>
                <w:tcPr>
                  <w:tcW w:w="1215" w:type="dxa"/>
                  <w:tcBorders>
                    <w:tl2br w:val="nil"/>
                    <w:tr2bl w:val="nil"/>
                  </w:tcBorders>
                  <w:tcMar>
                    <w:top w:w="15" w:type="dxa"/>
                    <w:left w:w="15" w:type="dxa"/>
                    <w:right w:w="15" w:type="dxa"/>
                  </w:tcMar>
                  <w:vAlign w:val="center"/>
                </w:tcPr>
                <w:p w14:paraId="43713AFF">
                  <w:pPr>
                    <w:widowControl/>
                    <w:spacing w:line="240" w:lineRule="auto"/>
                    <w:ind w:firstLine="0" w:firstLineChars="0"/>
                    <w:jc w:val="center"/>
                    <w:textAlignment w:val="center"/>
                    <w:rPr>
                      <w:bCs/>
                      <w:kern w:val="0"/>
                      <w:sz w:val="21"/>
                      <w:szCs w:val="21"/>
                    </w:rPr>
                  </w:pPr>
                  <w:r>
                    <w:rPr>
                      <w:rFonts w:hint="eastAsia"/>
                      <w:kern w:val="0"/>
                      <w:sz w:val="21"/>
                      <w:szCs w:val="21"/>
                    </w:rPr>
                    <w:t>0.31448＜1</w:t>
                  </w:r>
                </w:p>
              </w:tc>
              <w:tc>
                <w:tcPr>
                  <w:tcW w:w="2097" w:type="dxa"/>
                  <w:tcBorders>
                    <w:tl2br w:val="nil"/>
                    <w:tr2bl w:val="nil"/>
                  </w:tcBorders>
                  <w:tcMar>
                    <w:top w:w="15" w:type="dxa"/>
                    <w:left w:w="15" w:type="dxa"/>
                    <w:right w:w="15" w:type="dxa"/>
                  </w:tcMar>
                  <w:vAlign w:val="center"/>
                </w:tcPr>
                <w:p w14:paraId="3D2F9005">
                  <w:pPr>
                    <w:widowControl/>
                    <w:spacing w:line="240" w:lineRule="auto"/>
                    <w:ind w:firstLine="0" w:firstLineChars="0"/>
                    <w:jc w:val="center"/>
                    <w:textAlignment w:val="center"/>
                    <w:rPr>
                      <w:sz w:val="21"/>
                      <w:szCs w:val="21"/>
                    </w:rPr>
                  </w:pPr>
                  <w:r>
                    <w:rPr>
                      <w:rFonts w:hint="eastAsia"/>
                      <w:sz w:val="21"/>
                      <w:szCs w:val="21"/>
                    </w:rPr>
                    <w:t>/</w:t>
                  </w:r>
                </w:p>
              </w:tc>
            </w:tr>
          </w:tbl>
          <w:p w14:paraId="66ECF88E">
            <w:pPr>
              <w:ind w:firstLine="480"/>
            </w:pPr>
            <w:r>
              <w:rPr>
                <w:rFonts w:hint="eastAsia"/>
              </w:rPr>
              <w:t>润滑油、液压油主要理化性质见下表。</w:t>
            </w:r>
          </w:p>
          <w:p w14:paraId="3B35450B">
            <w:pPr>
              <w:ind w:firstLine="422"/>
              <w:jc w:val="center"/>
              <w:rPr>
                <w:b/>
                <w:bCs/>
                <w:sz w:val="21"/>
                <w:szCs w:val="21"/>
              </w:rPr>
            </w:pPr>
            <w:r>
              <w:rPr>
                <w:rFonts w:hint="eastAsia"/>
                <w:b/>
                <w:bCs/>
                <w:sz w:val="21"/>
                <w:szCs w:val="21"/>
              </w:rPr>
              <w:t>表4-21  润滑油、液压油的理化性质及危险性识别</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0"/>
              <w:gridCol w:w="1312"/>
              <w:gridCol w:w="1534"/>
              <w:gridCol w:w="1940"/>
            </w:tblGrid>
            <w:tr w14:paraId="03E4B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5D2F3829">
                  <w:pPr>
                    <w:spacing w:line="240" w:lineRule="auto"/>
                    <w:ind w:firstLine="0" w:firstLineChars="0"/>
                    <w:jc w:val="center"/>
                    <w:rPr>
                      <w:sz w:val="21"/>
                      <w:szCs w:val="21"/>
                    </w:rPr>
                  </w:pPr>
                  <w:r>
                    <w:rPr>
                      <w:sz w:val="21"/>
                      <w:szCs w:val="21"/>
                    </w:rPr>
                    <w:t>物质名称</w:t>
                  </w:r>
                </w:p>
              </w:tc>
              <w:tc>
                <w:tcPr>
                  <w:tcW w:w="1660" w:type="dxa"/>
                  <w:vAlign w:val="center"/>
                </w:tcPr>
                <w:p w14:paraId="5F784142">
                  <w:pPr>
                    <w:spacing w:line="240" w:lineRule="auto"/>
                    <w:ind w:firstLine="0" w:firstLineChars="0"/>
                    <w:jc w:val="center"/>
                    <w:rPr>
                      <w:sz w:val="21"/>
                      <w:szCs w:val="21"/>
                    </w:rPr>
                  </w:pPr>
                  <w:r>
                    <w:rPr>
                      <w:sz w:val="21"/>
                      <w:szCs w:val="21"/>
                    </w:rPr>
                    <w:t>分子式</w:t>
                  </w:r>
                </w:p>
              </w:tc>
              <w:tc>
                <w:tcPr>
                  <w:tcW w:w="1312" w:type="dxa"/>
                  <w:vAlign w:val="center"/>
                </w:tcPr>
                <w:p w14:paraId="0B14A65B">
                  <w:pPr>
                    <w:spacing w:line="240" w:lineRule="auto"/>
                    <w:ind w:firstLine="0" w:firstLineChars="0"/>
                    <w:jc w:val="center"/>
                    <w:rPr>
                      <w:sz w:val="21"/>
                      <w:szCs w:val="21"/>
                    </w:rPr>
                  </w:pPr>
                  <w:r>
                    <w:rPr>
                      <w:sz w:val="21"/>
                      <w:szCs w:val="21"/>
                    </w:rPr>
                    <w:t>分子量</w:t>
                  </w:r>
                </w:p>
              </w:tc>
              <w:tc>
                <w:tcPr>
                  <w:tcW w:w="1534" w:type="dxa"/>
                  <w:vAlign w:val="center"/>
                </w:tcPr>
                <w:p w14:paraId="2A4CADAC">
                  <w:pPr>
                    <w:spacing w:line="240" w:lineRule="auto"/>
                    <w:ind w:firstLine="0" w:firstLineChars="0"/>
                    <w:jc w:val="center"/>
                    <w:rPr>
                      <w:sz w:val="21"/>
                      <w:szCs w:val="21"/>
                    </w:rPr>
                  </w:pPr>
                  <w:r>
                    <w:rPr>
                      <w:sz w:val="21"/>
                      <w:szCs w:val="21"/>
                    </w:rPr>
                    <w:t>沸点</w:t>
                  </w:r>
                </w:p>
              </w:tc>
              <w:tc>
                <w:tcPr>
                  <w:tcW w:w="1940" w:type="dxa"/>
                  <w:vAlign w:val="center"/>
                </w:tcPr>
                <w:p w14:paraId="4630486B">
                  <w:pPr>
                    <w:spacing w:line="240" w:lineRule="auto"/>
                    <w:ind w:firstLine="0" w:firstLineChars="0"/>
                    <w:jc w:val="center"/>
                    <w:rPr>
                      <w:sz w:val="21"/>
                      <w:szCs w:val="21"/>
                    </w:rPr>
                  </w:pPr>
                  <w:r>
                    <w:rPr>
                      <w:sz w:val="21"/>
                      <w:szCs w:val="21"/>
                    </w:rPr>
                    <w:t>自燃点</w:t>
                  </w:r>
                </w:p>
              </w:tc>
            </w:tr>
            <w:tr w14:paraId="4D175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4B236539">
                  <w:pPr>
                    <w:spacing w:line="240" w:lineRule="auto"/>
                    <w:ind w:firstLine="0" w:firstLineChars="0"/>
                    <w:jc w:val="center"/>
                    <w:rPr>
                      <w:sz w:val="21"/>
                      <w:szCs w:val="21"/>
                    </w:rPr>
                  </w:pPr>
                  <w:r>
                    <w:rPr>
                      <w:sz w:val="21"/>
                      <w:szCs w:val="21"/>
                    </w:rPr>
                    <w:t>润滑油</w:t>
                  </w:r>
                  <w:r>
                    <w:rPr>
                      <w:rFonts w:hint="eastAsia"/>
                      <w:sz w:val="21"/>
                      <w:szCs w:val="21"/>
                    </w:rPr>
                    <w:t>、液压油</w:t>
                  </w:r>
                </w:p>
              </w:tc>
              <w:tc>
                <w:tcPr>
                  <w:tcW w:w="1660" w:type="dxa"/>
                  <w:vAlign w:val="center"/>
                </w:tcPr>
                <w:p w14:paraId="6212B137">
                  <w:pPr>
                    <w:spacing w:line="240" w:lineRule="auto"/>
                    <w:ind w:firstLine="0" w:firstLineChars="0"/>
                    <w:jc w:val="center"/>
                    <w:rPr>
                      <w:sz w:val="21"/>
                      <w:szCs w:val="21"/>
                    </w:rPr>
                  </w:pPr>
                  <w:r>
                    <w:rPr>
                      <w:rFonts w:hint="eastAsia"/>
                      <w:sz w:val="21"/>
                      <w:szCs w:val="21"/>
                    </w:rPr>
                    <w:t>-</w:t>
                  </w:r>
                </w:p>
              </w:tc>
              <w:tc>
                <w:tcPr>
                  <w:tcW w:w="1312" w:type="dxa"/>
                  <w:vAlign w:val="center"/>
                </w:tcPr>
                <w:p w14:paraId="12082449">
                  <w:pPr>
                    <w:spacing w:line="240" w:lineRule="auto"/>
                    <w:ind w:firstLine="0" w:firstLineChars="0"/>
                    <w:jc w:val="center"/>
                    <w:rPr>
                      <w:sz w:val="21"/>
                      <w:szCs w:val="21"/>
                    </w:rPr>
                  </w:pPr>
                  <w:r>
                    <w:rPr>
                      <w:rFonts w:hint="eastAsia"/>
                      <w:sz w:val="21"/>
                      <w:szCs w:val="21"/>
                    </w:rPr>
                    <w:t>-</w:t>
                  </w:r>
                </w:p>
              </w:tc>
              <w:tc>
                <w:tcPr>
                  <w:tcW w:w="1534" w:type="dxa"/>
                  <w:vAlign w:val="center"/>
                </w:tcPr>
                <w:p w14:paraId="5229684F">
                  <w:pPr>
                    <w:spacing w:line="240" w:lineRule="auto"/>
                    <w:ind w:firstLine="0" w:firstLineChars="0"/>
                    <w:jc w:val="center"/>
                    <w:rPr>
                      <w:sz w:val="21"/>
                      <w:szCs w:val="21"/>
                    </w:rPr>
                  </w:pPr>
                  <w:r>
                    <w:rPr>
                      <w:rFonts w:hint="eastAsia"/>
                      <w:sz w:val="21"/>
                      <w:szCs w:val="21"/>
                    </w:rPr>
                    <w:t>-</w:t>
                  </w:r>
                </w:p>
              </w:tc>
              <w:tc>
                <w:tcPr>
                  <w:tcW w:w="1940" w:type="dxa"/>
                  <w:vAlign w:val="center"/>
                </w:tcPr>
                <w:p w14:paraId="331267CC">
                  <w:pPr>
                    <w:spacing w:line="240" w:lineRule="auto"/>
                    <w:ind w:firstLine="0" w:firstLineChars="0"/>
                    <w:jc w:val="center"/>
                    <w:rPr>
                      <w:sz w:val="21"/>
                      <w:szCs w:val="21"/>
                    </w:rPr>
                  </w:pPr>
                  <w:r>
                    <w:rPr>
                      <w:sz w:val="21"/>
                      <w:szCs w:val="21"/>
                    </w:rPr>
                    <w:t>300-350℃</w:t>
                  </w:r>
                </w:p>
              </w:tc>
            </w:tr>
            <w:tr w14:paraId="57CBC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0FDEB7B">
                  <w:pPr>
                    <w:spacing w:line="240" w:lineRule="auto"/>
                    <w:ind w:firstLine="0" w:firstLineChars="0"/>
                    <w:jc w:val="center"/>
                    <w:rPr>
                      <w:sz w:val="21"/>
                      <w:szCs w:val="21"/>
                    </w:rPr>
                  </w:pPr>
                  <w:r>
                    <w:rPr>
                      <w:sz w:val="21"/>
                      <w:szCs w:val="21"/>
                    </w:rPr>
                    <w:t>闪点（开口）</w:t>
                  </w:r>
                </w:p>
              </w:tc>
              <w:tc>
                <w:tcPr>
                  <w:tcW w:w="1660" w:type="dxa"/>
                  <w:vAlign w:val="center"/>
                </w:tcPr>
                <w:p w14:paraId="35EF9766">
                  <w:pPr>
                    <w:spacing w:line="240" w:lineRule="auto"/>
                    <w:ind w:firstLine="0" w:firstLineChars="0"/>
                    <w:jc w:val="center"/>
                    <w:rPr>
                      <w:sz w:val="21"/>
                      <w:szCs w:val="21"/>
                    </w:rPr>
                  </w:pPr>
                  <w:r>
                    <w:rPr>
                      <w:sz w:val="21"/>
                      <w:szCs w:val="21"/>
                    </w:rPr>
                    <w:t>蒸汽压（145.8℃）</w:t>
                  </w:r>
                </w:p>
              </w:tc>
              <w:tc>
                <w:tcPr>
                  <w:tcW w:w="1312" w:type="dxa"/>
                  <w:vAlign w:val="center"/>
                </w:tcPr>
                <w:p w14:paraId="05AB7A0D">
                  <w:pPr>
                    <w:spacing w:line="240" w:lineRule="auto"/>
                    <w:ind w:firstLine="0" w:firstLineChars="0"/>
                    <w:jc w:val="center"/>
                    <w:rPr>
                      <w:sz w:val="21"/>
                      <w:szCs w:val="21"/>
                    </w:rPr>
                  </w:pPr>
                  <w:r>
                    <w:rPr>
                      <w:sz w:val="21"/>
                      <w:szCs w:val="21"/>
                    </w:rPr>
                    <w:t>引燃温度</w:t>
                  </w:r>
                </w:p>
              </w:tc>
              <w:tc>
                <w:tcPr>
                  <w:tcW w:w="1534" w:type="dxa"/>
                  <w:vAlign w:val="center"/>
                </w:tcPr>
                <w:p w14:paraId="2023D156">
                  <w:pPr>
                    <w:spacing w:line="240" w:lineRule="auto"/>
                    <w:ind w:firstLine="0" w:firstLineChars="0"/>
                    <w:jc w:val="center"/>
                    <w:rPr>
                      <w:sz w:val="21"/>
                      <w:szCs w:val="21"/>
                    </w:rPr>
                  </w:pPr>
                  <w:r>
                    <w:rPr>
                      <w:sz w:val="21"/>
                      <w:szCs w:val="21"/>
                    </w:rPr>
                    <w:t>密度（水=1）</w:t>
                  </w:r>
                </w:p>
              </w:tc>
              <w:tc>
                <w:tcPr>
                  <w:tcW w:w="1940" w:type="dxa"/>
                  <w:vAlign w:val="center"/>
                </w:tcPr>
                <w:p w14:paraId="2BA792C4">
                  <w:pPr>
                    <w:spacing w:line="240" w:lineRule="auto"/>
                    <w:ind w:firstLine="0" w:firstLineChars="0"/>
                    <w:jc w:val="center"/>
                    <w:rPr>
                      <w:sz w:val="21"/>
                      <w:szCs w:val="21"/>
                    </w:rPr>
                  </w:pPr>
                  <w:r>
                    <w:rPr>
                      <w:sz w:val="21"/>
                      <w:szCs w:val="21"/>
                    </w:rPr>
                    <w:t>爆炸下限</w:t>
                  </w:r>
                </w:p>
              </w:tc>
            </w:tr>
            <w:tr w14:paraId="6B732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891" w:type="dxa"/>
                  <w:vAlign w:val="center"/>
                </w:tcPr>
                <w:p w14:paraId="28D8E6BF">
                  <w:pPr>
                    <w:spacing w:line="240" w:lineRule="auto"/>
                    <w:ind w:firstLine="0" w:firstLineChars="0"/>
                    <w:jc w:val="center"/>
                    <w:rPr>
                      <w:sz w:val="21"/>
                      <w:szCs w:val="21"/>
                    </w:rPr>
                  </w:pPr>
                  <w:r>
                    <w:rPr>
                      <w:rFonts w:hint="eastAsia"/>
                      <w:sz w:val="21"/>
                      <w:szCs w:val="21"/>
                    </w:rPr>
                    <w:t>76</w:t>
                  </w:r>
                  <w:r>
                    <w:rPr>
                      <w:sz w:val="21"/>
                      <w:szCs w:val="21"/>
                    </w:rPr>
                    <w:t>℃</w:t>
                  </w:r>
                </w:p>
              </w:tc>
              <w:tc>
                <w:tcPr>
                  <w:tcW w:w="1660" w:type="dxa"/>
                  <w:vAlign w:val="center"/>
                </w:tcPr>
                <w:p w14:paraId="4A561C54">
                  <w:pPr>
                    <w:spacing w:line="240" w:lineRule="auto"/>
                    <w:ind w:firstLine="0" w:firstLineChars="0"/>
                    <w:jc w:val="center"/>
                    <w:rPr>
                      <w:sz w:val="21"/>
                      <w:szCs w:val="21"/>
                    </w:rPr>
                  </w:pPr>
                  <w:r>
                    <w:rPr>
                      <w:sz w:val="21"/>
                      <w:szCs w:val="21"/>
                    </w:rPr>
                    <w:t>0.13Pa</w:t>
                  </w:r>
                </w:p>
              </w:tc>
              <w:tc>
                <w:tcPr>
                  <w:tcW w:w="1312" w:type="dxa"/>
                  <w:vAlign w:val="center"/>
                </w:tcPr>
                <w:p w14:paraId="2D4A5523">
                  <w:pPr>
                    <w:spacing w:line="240" w:lineRule="auto"/>
                    <w:ind w:firstLine="0" w:firstLineChars="0"/>
                    <w:jc w:val="center"/>
                    <w:rPr>
                      <w:sz w:val="21"/>
                      <w:szCs w:val="21"/>
                    </w:rPr>
                  </w:pPr>
                  <w:r>
                    <w:rPr>
                      <w:rFonts w:hint="eastAsia"/>
                      <w:sz w:val="21"/>
                      <w:szCs w:val="21"/>
                    </w:rPr>
                    <w:t>248</w:t>
                  </w:r>
                  <w:r>
                    <w:rPr>
                      <w:sz w:val="21"/>
                      <w:szCs w:val="21"/>
                    </w:rPr>
                    <w:t>℃</w:t>
                  </w:r>
                </w:p>
              </w:tc>
              <w:tc>
                <w:tcPr>
                  <w:tcW w:w="1534" w:type="dxa"/>
                  <w:vAlign w:val="center"/>
                </w:tcPr>
                <w:p w14:paraId="22B12B1F">
                  <w:pPr>
                    <w:spacing w:line="240" w:lineRule="auto"/>
                    <w:ind w:firstLine="0" w:firstLineChars="0"/>
                    <w:jc w:val="center"/>
                    <w:rPr>
                      <w:sz w:val="21"/>
                      <w:szCs w:val="21"/>
                    </w:rPr>
                  </w:pPr>
                  <w:r>
                    <w:rPr>
                      <w:rFonts w:hint="eastAsia"/>
                      <w:sz w:val="21"/>
                      <w:szCs w:val="21"/>
                    </w:rPr>
                    <w:t>0.91</w:t>
                  </w:r>
                </w:p>
              </w:tc>
              <w:tc>
                <w:tcPr>
                  <w:tcW w:w="1940" w:type="dxa"/>
                  <w:vAlign w:val="center"/>
                </w:tcPr>
                <w:p w14:paraId="0E96C117">
                  <w:pPr>
                    <w:spacing w:line="240" w:lineRule="auto"/>
                    <w:ind w:firstLine="0" w:firstLineChars="0"/>
                    <w:jc w:val="center"/>
                    <w:rPr>
                      <w:sz w:val="21"/>
                      <w:szCs w:val="21"/>
                    </w:rPr>
                  </w:pPr>
                  <w:r>
                    <w:rPr>
                      <w:rFonts w:hint="eastAsia"/>
                      <w:sz w:val="21"/>
                      <w:szCs w:val="21"/>
                    </w:rPr>
                    <w:t>-</w:t>
                  </w:r>
                </w:p>
              </w:tc>
            </w:tr>
            <w:tr w14:paraId="29E28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6C918C4">
                  <w:pPr>
                    <w:spacing w:line="240" w:lineRule="auto"/>
                    <w:ind w:firstLine="0" w:firstLineChars="0"/>
                    <w:jc w:val="center"/>
                    <w:rPr>
                      <w:sz w:val="21"/>
                      <w:szCs w:val="21"/>
                    </w:rPr>
                  </w:pPr>
                  <w:r>
                    <w:rPr>
                      <w:sz w:val="21"/>
                      <w:szCs w:val="21"/>
                    </w:rPr>
                    <w:t>形状和溶解性</w:t>
                  </w:r>
                </w:p>
              </w:tc>
              <w:tc>
                <w:tcPr>
                  <w:tcW w:w="6446" w:type="dxa"/>
                  <w:gridSpan w:val="4"/>
                  <w:vAlign w:val="center"/>
                </w:tcPr>
                <w:p w14:paraId="6B153945">
                  <w:pPr>
                    <w:spacing w:line="240" w:lineRule="auto"/>
                    <w:ind w:firstLine="0" w:firstLineChars="0"/>
                    <w:jc w:val="center"/>
                    <w:rPr>
                      <w:sz w:val="21"/>
                      <w:szCs w:val="21"/>
                    </w:rPr>
                  </w:pPr>
                  <w:r>
                    <w:rPr>
                      <w:sz w:val="21"/>
                      <w:szCs w:val="21"/>
                    </w:rPr>
                    <w:t>淡黄色粘稠液体，溶于苯、乙醇、乙醚、氯仿、丙酮等多数有机溶剂。</w:t>
                  </w:r>
                </w:p>
              </w:tc>
            </w:tr>
            <w:tr w14:paraId="23243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6CA39E2">
                  <w:pPr>
                    <w:spacing w:line="240" w:lineRule="auto"/>
                    <w:ind w:firstLine="0" w:firstLineChars="0"/>
                    <w:jc w:val="center"/>
                    <w:rPr>
                      <w:sz w:val="21"/>
                      <w:szCs w:val="21"/>
                    </w:rPr>
                  </w:pPr>
                  <w:r>
                    <w:rPr>
                      <w:sz w:val="21"/>
                      <w:szCs w:val="21"/>
                    </w:rPr>
                    <w:t>储存注意</w:t>
                  </w:r>
                </w:p>
              </w:tc>
              <w:tc>
                <w:tcPr>
                  <w:tcW w:w="6446" w:type="dxa"/>
                  <w:gridSpan w:val="4"/>
                  <w:vAlign w:val="center"/>
                </w:tcPr>
                <w:p w14:paraId="52985810">
                  <w:pPr>
                    <w:spacing w:line="240" w:lineRule="auto"/>
                    <w:ind w:firstLine="0" w:firstLineChars="0"/>
                    <w:jc w:val="center"/>
                    <w:rPr>
                      <w:sz w:val="21"/>
                      <w:szCs w:val="21"/>
                    </w:rPr>
                  </w:pPr>
                  <w:r>
                    <w:rPr>
                      <w:sz w:val="21"/>
                      <w:szCs w:val="21"/>
                    </w:rPr>
                    <w:t>储存于阴凉、通风的库房。远离火种、热源。应与氧化剂分开存放，切忌混储。</w:t>
                  </w:r>
                </w:p>
              </w:tc>
            </w:tr>
            <w:tr w14:paraId="343C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5AE4D444">
                  <w:pPr>
                    <w:spacing w:line="240" w:lineRule="auto"/>
                    <w:ind w:firstLine="0" w:firstLineChars="0"/>
                    <w:jc w:val="center"/>
                    <w:rPr>
                      <w:sz w:val="21"/>
                      <w:szCs w:val="21"/>
                    </w:rPr>
                  </w:pPr>
                  <w:r>
                    <w:rPr>
                      <w:sz w:val="21"/>
                      <w:szCs w:val="21"/>
                    </w:rPr>
                    <w:t>健康危害</w:t>
                  </w:r>
                </w:p>
              </w:tc>
              <w:tc>
                <w:tcPr>
                  <w:tcW w:w="6446" w:type="dxa"/>
                  <w:gridSpan w:val="4"/>
                  <w:vAlign w:val="center"/>
                </w:tcPr>
                <w:p w14:paraId="1CA216C9">
                  <w:pPr>
                    <w:spacing w:line="240" w:lineRule="auto"/>
                    <w:ind w:firstLine="0" w:firstLineChars="0"/>
                    <w:jc w:val="center"/>
                    <w:rPr>
                      <w:sz w:val="21"/>
                      <w:szCs w:val="21"/>
                    </w:rPr>
                  </w:pPr>
                  <w:r>
                    <w:rPr>
                      <w:sz w:val="21"/>
                      <w:szCs w:val="21"/>
                    </w:rPr>
                    <w:t>急性吸入可出现乏力、头痛、头晕、恶心，严重者可引起油脂性肺炎。慢接触者，暴露部位可发生油性痤疮和接触性皮炎，可引发神经衰弱综合征，呼吸道和眼刺激症状及慢性油脂性肺炎。</w:t>
                  </w:r>
                </w:p>
              </w:tc>
            </w:tr>
          </w:tbl>
          <w:p w14:paraId="1C2F5CA2">
            <w:pPr>
              <w:ind w:firstLine="422"/>
              <w:jc w:val="center"/>
              <w:rPr>
                <w:b/>
                <w:bCs/>
                <w:sz w:val="21"/>
                <w:szCs w:val="21"/>
              </w:rPr>
            </w:pPr>
            <w:r>
              <w:rPr>
                <w:rFonts w:hint="eastAsia"/>
                <w:b/>
                <w:bCs/>
                <w:sz w:val="21"/>
                <w:szCs w:val="21"/>
              </w:rPr>
              <w:t xml:space="preserve">表4-22  </w:t>
            </w:r>
            <w:r>
              <w:rPr>
                <w:rFonts w:hint="eastAsia"/>
                <w:b/>
                <w:bCs/>
                <w:sz w:val="21"/>
                <w:szCs w:val="21"/>
                <w:lang w:eastAsia="zh-CN"/>
              </w:rPr>
              <w:t>淬火油</w:t>
            </w:r>
            <w:r>
              <w:rPr>
                <w:rFonts w:hint="eastAsia"/>
                <w:b/>
                <w:bCs/>
                <w:sz w:val="21"/>
                <w:szCs w:val="21"/>
              </w:rPr>
              <w:t>的理化性质及危险性识别</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0"/>
              <w:gridCol w:w="1312"/>
              <w:gridCol w:w="1534"/>
              <w:gridCol w:w="1940"/>
            </w:tblGrid>
            <w:tr w14:paraId="6873E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3C9F5220">
                  <w:pPr>
                    <w:spacing w:line="240" w:lineRule="auto"/>
                    <w:ind w:firstLine="0" w:firstLineChars="0"/>
                    <w:jc w:val="center"/>
                    <w:rPr>
                      <w:sz w:val="21"/>
                      <w:szCs w:val="21"/>
                    </w:rPr>
                  </w:pPr>
                  <w:r>
                    <w:rPr>
                      <w:sz w:val="21"/>
                      <w:szCs w:val="21"/>
                    </w:rPr>
                    <w:t>物质名称</w:t>
                  </w:r>
                </w:p>
              </w:tc>
              <w:tc>
                <w:tcPr>
                  <w:tcW w:w="1660" w:type="dxa"/>
                  <w:vAlign w:val="center"/>
                </w:tcPr>
                <w:p w14:paraId="4078AE68">
                  <w:pPr>
                    <w:spacing w:line="240" w:lineRule="auto"/>
                    <w:ind w:firstLine="0" w:firstLineChars="0"/>
                    <w:jc w:val="center"/>
                    <w:rPr>
                      <w:sz w:val="21"/>
                      <w:szCs w:val="21"/>
                    </w:rPr>
                  </w:pPr>
                  <w:r>
                    <w:rPr>
                      <w:sz w:val="21"/>
                      <w:szCs w:val="21"/>
                    </w:rPr>
                    <w:t>分子式</w:t>
                  </w:r>
                </w:p>
              </w:tc>
              <w:tc>
                <w:tcPr>
                  <w:tcW w:w="1312" w:type="dxa"/>
                  <w:vAlign w:val="center"/>
                </w:tcPr>
                <w:p w14:paraId="398AD38D">
                  <w:pPr>
                    <w:spacing w:line="240" w:lineRule="auto"/>
                    <w:ind w:firstLine="0" w:firstLineChars="0"/>
                    <w:jc w:val="center"/>
                    <w:rPr>
                      <w:sz w:val="21"/>
                      <w:szCs w:val="21"/>
                    </w:rPr>
                  </w:pPr>
                  <w:r>
                    <w:rPr>
                      <w:sz w:val="21"/>
                      <w:szCs w:val="21"/>
                    </w:rPr>
                    <w:t>分子量</w:t>
                  </w:r>
                </w:p>
              </w:tc>
              <w:tc>
                <w:tcPr>
                  <w:tcW w:w="1534" w:type="dxa"/>
                  <w:vAlign w:val="center"/>
                </w:tcPr>
                <w:p w14:paraId="4286C31C">
                  <w:pPr>
                    <w:spacing w:line="240" w:lineRule="auto"/>
                    <w:ind w:firstLine="0" w:firstLineChars="0"/>
                    <w:jc w:val="center"/>
                    <w:rPr>
                      <w:sz w:val="21"/>
                      <w:szCs w:val="21"/>
                    </w:rPr>
                  </w:pPr>
                  <w:r>
                    <w:rPr>
                      <w:sz w:val="21"/>
                      <w:szCs w:val="21"/>
                    </w:rPr>
                    <w:t>沸点</w:t>
                  </w:r>
                </w:p>
              </w:tc>
              <w:tc>
                <w:tcPr>
                  <w:tcW w:w="1940" w:type="dxa"/>
                  <w:vAlign w:val="center"/>
                </w:tcPr>
                <w:p w14:paraId="2B4B24FA">
                  <w:pPr>
                    <w:spacing w:line="240" w:lineRule="auto"/>
                    <w:ind w:firstLine="0" w:firstLineChars="0"/>
                    <w:jc w:val="center"/>
                    <w:rPr>
                      <w:sz w:val="21"/>
                      <w:szCs w:val="21"/>
                    </w:rPr>
                  </w:pPr>
                  <w:r>
                    <w:rPr>
                      <w:rFonts w:hint="eastAsia"/>
                      <w:sz w:val="21"/>
                      <w:szCs w:val="21"/>
                    </w:rPr>
                    <w:t>爆炸上线</w:t>
                  </w:r>
                </w:p>
              </w:tc>
            </w:tr>
            <w:tr w14:paraId="731F7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559C751">
                  <w:pPr>
                    <w:spacing w:line="240" w:lineRule="auto"/>
                    <w:ind w:firstLine="0" w:firstLineChars="0"/>
                    <w:jc w:val="center"/>
                    <w:rPr>
                      <w:rFonts w:hint="eastAsia" w:eastAsia="宋体"/>
                      <w:sz w:val="21"/>
                      <w:szCs w:val="21"/>
                      <w:lang w:eastAsia="zh-CN"/>
                    </w:rPr>
                  </w:pPr>
                  <w:r>
                    <w:rPr>
                      <w:rFonts w:hint="eastAsia"/>
                      <w:sz w:val="21"/>
                      <w:szCs w:val="21"/>
                      <w:lang w:eastAsia="zh-CN"/>
                    </w:rPr>
                    <w:t>淬火油</w:t>
                  </w:r>
                </w:p>
              </w:tc>
              <w:tc>
                <w:tcPr>
                  <w:tcW w:w="1660" w:type="dxa"/>
                  <w:vAlign w:val="center"/>
                </w:tcPr>
                <w:p w14:paraId="6B30E630">
                  <w:pPr>
                    <w:spacing w:line="240" w:lineRule="auto"/>
                    <w:ind w:firstLine="0" w:firstLineChars="0"/>
                    <w:jc w:val="center"/>
                    <w:rPr>
                      <w:sz w:val="21"/>
                      <w:szCs w:val="21"/>
                    </w:rPr>
                  </w:pPr>
                  <w:r>
                    <w:rPr>
                      <w:rFonts w:hint="eastAsia"/>
                      <w:sz w:val="21"/>
                      <w:szCs w:val="21"/>
                    </w:rPr>
                    <w:t>-</w:t>
                  </w:r>
                </w:p>
              </w:tc>
              <w:tc>
                <w:tcPr>
                  <w:tcW w:w="1312" w:type="dxa"/>
                  <w:vAlign w:val="center"/>
                </w:tcPr>
                <w:p w14:paraId="402DC3C7">
                  <w:pPr>
                    <w:spacing w:line="240" w:lineRule="auto"/>
                    <w:ind w:firstLine="0" w:firstLineChars="0"/>
                    <w:jc w:val="center"/>
                    <w:rPr>
                      <w:sz w:val="21"/>
                      <w:szCs w:val="21"/>
                    </w:rPr>
                  </w:pPr>
                  <w:r>
                    <w:rPr>
                      <w:rFonts w:hint="eastAsia"/>
                      <w:sz w:val="21"/>
                      <w:szCs w:val="21"/>
                    </w:rPr>
                    <w:t>-</w:t>
                  </w:r>
                </w:p>
              </w:tc>
              <w:tc>
                <w:tcPr>
                  <w:tcW w:w="1534" w:type="dxa"/>
                  <w:vAlign w:val="center"/>
                </w:tcPr>
                <w:p w14:paraId="14B797F8">
                  <w:pPr>
                    <w:spacing w:line="240" w:lineRule="auto"/>
                    <w:ind w:firstLine="0" w:firstLineChars="0"/>
                    <w:jc w:val="center"/>
                    <w:rPr>
                      <w:sz w:val="21"/>
                      <w:szCs w:val="21"/>
                    </w:rPr>
                  </w:pPr>
                  <w:r>
                    <w:rPr>
                      <w:rFonts w:hint="eastAsia"/>
                      <w:sz w:val="21"/>
                      <w:szCs w:val="21"/>
                    </w:rPr>
                    <w:t>316</w:t>
                  </w:r>
                  <w:r>
                    <w:rPr>
                      <w:sz w:val="21"/>
                      <w:szCs w:val="21"/>
                    </w:rPr>
                    <w:t>℃</w:t>
                  </w:r>
                </w:p>
              </w:tc>
              <w:tc>
                <w:tcPr>
                  <w:tcW w:w="1940" w:type="dxa"/>
                  <w:vAlign w:val="center"/>
                </w:tcPr>
                <w:p w14:paraId="2861C87F">
                  <w:pPr>
                    <w:spacing w:line="240" w:lineRule="auto"/>
                    <w:ind w:firstLine="0" w:firstLineChars="0"/>
                    <w:jc w:val="center"/>
                    <w:rPr>
                      <w:sz w:val="21"/>
                      <w:szCs w:val="21"/>
                    </w:rPr>
                  </w:pPr>
                  <w:r>
                    <w:rPr>
                      <w:rFonts w:hint="eastAsia"/>
                      <w:sz w:val="21"/>
                      <w:szCs w:val="21"/>
                    </w:rPr>
                    <w:t>-7.0</w:t>
                  </w:r>
                </w:p>
              </w:tc>
            </w:tr>
            <w:tr w14:paraId="70BC8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91" w:type="dxa"/>
                  <w:vAlign w:val="center"/>
                </w:tcPr>
                <w:p w14:paraId="478B0EEB">
                  <w:pPr>
                    <w:spacing w:line="240" w:lineRule="auto"/>
                    <w:ind w:firstLine="0" w:firstLineChars="0"/>
                    <w:jc w:val="center"/>
                    <w:rPr>
                      <w:sz w:val="21"/>
                      <w:szCs w:val="21"/>
                    </w:rPr>
                  </w:pPr>
                  <w:r>
                    <w:rPr>
                      <w:sz w:val="21"/>
                      <w:szCs w:val="21"/>
                    </w:rPr>
                    <w:t>闪点（开口）</w:t>
                  </w:r>
                </w:p>
              </w:tc>
              <w:tc>
                <w:tcPr>
                  <w:tcW w:w="1660" w:type="dxa"/>
                  <w:vAlign w:val="center"/>
                </w:tcPr>
                <w:p w14:paraId="0ADD8271">
                  <w:pPr>
                    <w:spacing w:line="240" w:lineRule="auto"/>
                    <w:ind w:firstLine="0" w:firstLineChars="0"/>
                    <w:jc w:val="center"/>
                    <w:rPr>
                      <w:sz w:val="21"/>
                      <w:szCs w:val="21"/>
                    </w:rPr>
                  </w:pPr>
                  <w:r>
                    <w:rPr>
                      <w:sz w:val="21"/>
                      <w:szCs w:val="21"/>
                    </w:rPr>
                    <w:t>蒸汽压（</w:t>
                  </w:r>
                  <w:r>
                    <w:rPr>
                      <w:rFonts w:hint="eastAsia"/>
                      <w:sz w:val="21"/>
                      <w:szCs w:val="21"/>
                    </w:rPr>
                    <w:t>204</w:t>
                  </w:r>
                  <w:r>
                    <w:rPr>
                      <w:sz w:val="21"/>
                      <w:szCs w:val="21"/>
                    </w:rPr>
                    <w:t>℃）</w:t>
                  </w:r>
                </w:p>
              </w:tc>
              <w:tc>
                <w:tcPr>
                  <w:tcW w:w="1312" w:type="dxa"/>
                  <w:vAlign w:val="center"/>
                </w:tcPr>
                <w:p w14:paraId="2E120ABB">
                  <w:pPr>
                    <w:spacing w:line="240" w:lineRule="auto"/>
                    <w:ind w:firstLine="0" w:firstLineChars="0"/>
                    <w:jc w:val="center"/>
                    <w:rPr>
                      <w:sz w:val="21"/>
                      <w:szCs w:val="21"/>
                    </w:rPr>
                  </w:pPr>
                  <w:r>
                    <w:rPr>
                      <w:sz w:val="21"/>
                      <w:szCs w:val="21"/>
                    </w:rPr>
                    <w:t>引燃温度</w:t>
                  </w:r>
                </w:p>
              </w:tc>
              <w:tc>
                <w:tcPr>
                  <w:tcW w:w="1534" w:type="dxa"/>
                  <w:vAlign w:val="center"/>
                </w:tcPr>
                <w:p w14:paraId="4DD65E62">
                  <w:pPr>
                    <w:spacing w:line="240" w:lineRule="auto"/>
                    <w:ind w:firstLine="0" w:firstLineChars="0"/>
                    <w:jc w:val="center"/>
                    <w:rPr>
                      <w:sz w:val="21"/>
                      <w:szCs w:val="21"/>
                    </w:rPr>
                  </w:pPr>
                  <w:r>
                    <w:rPr>
                      <w:sz w:val="21"/>
                      <w:szCs w:val="21"/>
                    </w:rPr>
                    <w:t>密度（水=1）</w:t>
                  </w:r>
                </w:p>
              </w:tc>
              <w:tc>
                <w:tcPr>
                  <w:tcW w:w="1940" w:type="dxa"/>
                  <w:vAlign w:val="center"/>
                </w:tcPr>
                <w:p w14:paraId="121F8251">
                  <w:pPr>
                    <w:spacing w:line="240" w:lineRule="auto"/>
                    <w:ind w:firstLine="0" w:firstLineChars="0"/>
                    <w:jc w:val="center"/>
                    <w:rPr>
                      <w:sz w:val="21"/>
                      <w:szCs w:val="21"/>
                    </w:rPr>
                  </w:pPr>
                  <w:r>
                    <w:rPr>
                      <w:sz w:val="21"/>
                      <w:szCs w:val="21"/>
                    </w:rPr>
                    <w:t>爆炸下限</w:t>
                  </w:r>
                </w:p>
              </w:tc>
            </w:tr>
            <w:tr w14:paraId="59FD0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41AD5EC2">
                  <w:pPr>
                    <w:spacing w:line="240" w:lineRule="auto"/>
                    <w:ind w:firstLine="0" w:firstLineChars="0"/>
                    <w:jc w:val="center"/>
                    <w:rPr>
                      <w:sz w:val="21"/>
                      <w:szCs w:val="21"/>
                    </w:rPr>
                  </w:pPr>
                  <w:r>
                    <w:rPr>
                      <w:rFonts w:hint="eastAsia"/>
                      <w:sz w:val="21"/>
                      <w:szCs w:val="21"/>
                    </w:rPr>
                    <w:t>-</w:t>
                  </w:r>
                </w:p>
              </w:tc>
              <w:tc>
                <w:tcPr>
                  <w:tcW w:w="1660" w:type="dxa"/>
                  <w:vAlign w:val="center"/>
                </w:tcPr>
                <w:p w14:paraId="3768B609">
                  <w:pPr>
                    <w:spacing w:line="240" w:lineRule="auto"/>
                    <w:ind w:firstLine="0" w:firstLineChars="0"/>
                    <w:jc w:val="center"/>
                    <w:rPr>
                      <w:sz w:val="21"/>
                      <w:szCs w:val="21"/>
                    </w:rPr>
                  </w:pPr>
                  <w:r>
                    <w:rPr>
                      <w:rFonts w:hint="eastAsia"/>
                      <w:sz w:val="21"/>
                      <w:szCs w:val="21"/>
                    </w:rPr>
                    <w:t>-</w:t>
                  </w:r>
                </w:p>
              </w:tc>
              <w:tc>
                <w:tcPr>
                  <w:tcW w:w="1312" w:type="dxa"/>
                  <w:vAlign w:val="center"/>
                </w:tcPr>
                <w:p w14:paraId="797B2795">
                  <w:pPr>
                    <w:spacing w:line="240" w:lineRule="auto"/>
                    <w:ind w:firstLine="0" w:firstLineChars="0"/>
                    <w:jc w:val="center"/>
                    <w:rPr>
                      <w:sz w:val="21"/>
                      <w:szCs w:val="21"/>
                    </w:rPr>
                  </w:pPr>
                  <w:r>
                    <w:rPr>
                      <w:rFonts w:hint="eastAsia"/>
                      <w:sz w:val="21"/>
                      <w:szCs w:val="21"/>
                    </w:rPr>
                    <w:t>-</w:t>
                  </w:r>
                </w:p>
              </w:tc>
              <w:tc>
                <w:tcPr>
                  <w:tcW w:w="1534" w:type="dxa"/>
                  <w:vAlign w:val="center"/>
                </w:tcPr>
                <w:p w14:paraId="664F407C">
                  <w:pPr>
                    <w:spacing w:line="240" w:lineRule="auto"/>
                    <w:ind w:firstLine="0" w:firstLineChars="0"/>
                    <w:jc w:val="center"/>
                    <w:rPr>
                      <w:sz w:val="21"/>
                      <w:szCs w:val="21"/>
                    </w:rPr>
                  </w:pPr>
                  <w:r>
                    <w:rPr>
                      <w:rFonts w:hint="eastAsia"/>
                      <w:sz w:val="21"/>
                      <w:szCs w:val="21"/>
                    </w:rPr>
                    <w:t>0.881</w:t>
                  </w:r>
                </w:p>
              </w:tc>
              <w:tc>
                <w:tcPr>
                  <w:tcW w:w="1940" w:type="dxa"/>
                  <w:vAlign w:val="center"/>
                </w:tcPr>
                <w:p w14:paraId="31C1FA2E">
                  <w:pPr>
                    <w:spacing w:line="240" w:lineRule="auto"/>
                    <w:ind w:firstLine="0" w:firstLineChars="0"/>
                    <w:jc w:val="center"/>
                    <w:rPr>
                      <w:sz w:val="21"/>
                      <w:szCs w:val="21"/>
                    </w:rPr>
                  </w:pPr>
                  <w:r>
                    <w:rPr>
                      <w:rFonts w:hint="eastAsia"/>
                      <w:sz w:val="21"/>
                      <w:szCs w:val="21"/>
                    </w:rPr>
                    <w:t>0.9</w:t>
                  </w:r>
                </w:p>
              </w:tc>
            </w:tr>
            <w:tr w14:paraId="78192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76F0FE5">
                  <w:pPr>
                    <w:spacing w:line="240" w:lineRule="auto"/>
                    <w:ind w:firstLine="0" w:firstLineChars="0"/>
                    <w:jc w:val="center"/>
                    <w:rPr>
                      <w:sz w:val="21"/>
                      <w:szCs w:val="21"/>
                    </w:rPr>
                  </w:pPr>
                  <w:r>
                    <w:rPr>
                      <w:sz w:val="21"/>
                      <w:szCs w:val="21"/>
                    </w:rPr>
                    <w:t>形状和溶解性</w:t>
                  </w:r>
                </w:p>
              </w:tc>
              <w:tc>
                <w:tcPr>
                  <w:tcW w:w="6446" w:type="dxa"/>
                  <w:gridSpan w:val="4"/>
                  <w:vAlign w:val="center"/>
                </w:tcPr>
                <w:p w14:paraId="6012684D">
                  <w:pPr>
                    <w:spacing w:line="240" w:lineRule="auto"/>
                    <w:ind w:firstLine="0" w:firstLineChars="0"/>
                    <w:jc w:val="center"/>
                    <w:rPr>
                      <w:sz w:val="21"/>
                      <w:szCs w:val="21"/>
                    </w:rPr>
                  </w:pPr>
                  <w:r>
                    <w:rPr>
                      <w:rFonts w:hint="eastAsia"/>
                      <w:sz w:val="21"/>
                      <w:szCs w:val="21"/>
                    </w:rPr>
                    <w:t>清澈、琥珀色液体，特有气味，溶解性可忽略。</w:t>
                  </w:r>
                </w:p>
              </w:tc>
            </w:tr>
            <w:tr w14:paraId="16973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54798357">
                  <w:pPr>
                    <w:spacing w:line="240" w:lineRule="auto"/>
                    <w:ind w:firstLine="0" w:firstLineChars="0"/>
                    <w:jc w:val="center"/>
                    <w:rPr>
                      <w:sz w:val="21"/>
                      <w:szCs w:val="21"/>
                    </w:rPr>
                  </w:pPr>
                  <w:r>
                    <w:rPr>
                      <w:sz w:val="21"/>
                      <w:szCs w:val="21"/>
                    </w:rPr>
                    <w:t>储存注意</w:t>
                  </w:r>
                </w:p>
              </w:tc>
              <w:tc>
                <w:tcPr>
                  <w:tcW w:w="6446" w:type="dxa"/>
                  <w:gridSpan w:val="4"/>
                  <w:vAlign w:val="center"/>
                </w:tcPr>
                <w:p w14:paraId="3AE4BB60">
                  <w:pPr>
                    <w:spacing w:line="240" w:lineRule="auto"/>
                    <w:ind w:firstLine="0" w:firstLineChars="0"/>
                    <w:jc w:val="center"/>
                    <w:rPr>
                      <w:sz w:val="21"/>
                      <w:szCs w:val="21"/>
                    </w:rPr>
                  </w:pPr>
                  <w:r>
                    <w:rPr>
                      <w:rFonts w:hint="eastAsia"/>
                      <w:sz w:val="21"/>
                      <w:szCs w:val="21"/>
                    </w:rPr>
                    <w:t>不可存放于开口或者无标识容器中。</w:t>
                  </w:r>
                </w:p>
              </w:tc>
            </w:tr>
            <w:tr w14:paraId="7B236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5A3937E7">
                  <w:pPr>
                    <w:spacing w:line="240" w:lineRule="auto"/>
                    <w:ind w:firstLine="0" w:firstLineChars="0"/>
                    <w:jc w:val="center"/>
                    <w:rPr>
                      <w:sz w:val="21"/>
                      <w:szCs w:val="21"/>
                    </w:rPr>
                  </w:pPr>
                  <w:r>
                    <w:rPr>
                      <w:sz w:val="21"/>
                      <w:szCs w:val="21"/>
                    </w:rPr>
                    <w:t>健康危害</w:t>
                  </w:r>
                </w:p>
              </w:tc>
              <w:tc>
                <w:tcPr>
                  <w:tcW w:w="6446" w:type="dxa"/>
                  <w:gridSpan w:val="4"/>
                  <w:vAlign w:val="center"/>
                </w:tcPr>
                <w:p w14:paraId="046BC265">
                  <w:pPr>
                    <w:spacing w:line="240" w:lineRule="auto"/>
                    <w:ind w:firstLine="0" w:firstLineChars="0"/>
                    <w:jc w:val="center"/>
                    <w:rPr>
                      <w:sz w:val="21"/>
                      <w:szCs w:val="21"/>
                    </w:rPr>
                  </w:pPr>
                  <w:r>
                    <w:rPr>
                      <w:rFonts w:hint="eastAsia"/>
                      <w:sz w:val="21"/>
                      <w:szCs w:val="21"/>
                    </w:rPr>
                    <w:t>毒性低。过度接触会造成眼部、皮肤或呼吸刺激。皮肤下高压注射可能会引起严重损伤。</w:t>
                  </w:r>
                </w:p>
              </w:tc>
            </w:tr>
          </w:tbl>
          <w:p w14:paraId="4389E5DD">
            <w:pPr>
              <w:ind w:firstLine="422"/>
              <w:jc w:val="center"/>
              <w:rPr>
                <w:b/>
                <w:bCs/>
                <w:sz w:val="21"/>
                <w:szCs w:val="21"/>
              </w:rPr>
            </w:pPr>
            <w:r>
              <w:rPr>
                <w:rFonts w:hint="eastAsia"/>
                <w:b/>
                <w:bCs/>
                <w:sz w:val="21"/>
                <w:szCs w:val="21"/>
              </w:rPr>
              <w:t>表4-23  切削液的理化性质及危险性识别</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0"/>
              <w:gridCol w:w="1312"/>
              <w:gridCol w:w="1534"/>
              <w:gridCol w:w="1940"/>
            </w:tblGrid>
            <w:tr w14:paraId="1698D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7C9D5B87">
                  <w:pPr>
                    <w:spacing w:line="240" w:lineRule="auto"/>
                    <w:ind w:firstLine="0" w:firstLineChars="0"/>
                    <w:jc w:val="center"/>
                    <w:rPr>
                      <w:sz w:val="21"/>
                      <w:szCs w:val="21"/>
                    </w:rPr>
                  </w:pPr>
                  <w:r>
                    <w:rPr>
                      <w:sz w:val="21"/>
                      <w:szCs w:val="21"/>
                    </w:rPr>
                    <w:t>物质名称</w:t>
                  </w:r>
                </w:p>
              </w:tc>
              <w:tc>
                <w:tcPr>
                  <w:tcW w:w="1660" w:type="dxa"/>
                  <w:vAlign w:val="center"/>
                </w:tcPr>
                <w:p w14:paraId="05C87B6F">
                  <w:pPr>
                    <w:spacing w:line="240" w:lineRule="auto"/>
                    <w:ind w:firstLine="0" w:firstLineChars="0"/>
                    <w:jc w:val="center"/>
                    <w:rPr>
                      <w:sz w:val="21"/>
                      <w:szCs w:val="21"/>
                    </w:rPr>
                  </w:pPr>
                  <w:r>
                    <w:rPr>
                      <w:sz w:val="21"/>
                      <w:szCs w:val="21"/>
                    </w:rPr>
                    <w:t>分子式</w:t>
                  </w:r>
                </w:p>
              </w:tc>
              <w:tc>
                <w:tcPr>
                  <w:tcW w:w="1312" w:type="dxa"/>
                  <w:vAlign w:val="center"/>
                </w:tcPr>
                <w:p w14:paraId="274547C9">
                  <w:pPr>
                    <w:spacing w:line="240" w:lineRule="auto"/>
                    <w:ind w:firstLine="0" w:firstLineChars="0"/>
                    <w:jc w:val="center"/>
                    <w:rPr>
                      <w:sz w:val="21"/>
                      <w:szCs w:val="21"/>
                    </w:rPr>
                  </w:pPr>
                  <w:r>
                    <w:rPr>
                      <w:sz w:val="21"/>
                      <w:szCs w:val="21"/>
                    </w:rPr>
                    <w:t>分子量</w:t>
                  </w:r>
                </w:p>
              </w:tc>
              <w:tc>
                <w:tcPr>
                  <w:tcW w:w="1534" w:type="dxa"/>
                  <w:vAlign w:val="center"/>
                </w:tcPr>
                <w:p w14:paraId="003CAF1B">
                  <w:pPr>
                    <w:spacing w:line="240" w:lineRule="auto"/>
                    <w:ind w:firstLine="0" w:firstLineChars="0"/>
                    <w:jc w:val="center"/>
                    <w:rPr>
                      <w:sz w:val="21"/>
                      <w:szCs w:val="21"/>
                    </w:rPr>
                  </w:pPr>
                  <w:r>
                    <w:rPr>
                      <w:sz w:val="21"/>
                      <w:szCs w:val="21"/>
                    </w:rPr>
                    <w:t>沸点</w:t>
                  </w:r>
                </w:p>
              </w:tc>
              <w:tc>
                <w:tcPr>
                  <w:tcW w:w="1940" w:type="dxa"/>
                  <w:vAlign w:val="center"/>
                </w:tcPr>
                <w:p w14:paraId="5CF831B1">
                  <w:pPr>
                    <w:spacing w:line="240" w:lineRule="auto"/>
                    <w:ind w:firstLine="0" w:firstLineChars="0"/>
                    <w:jc w:val="center"/>
                    <w:rPr>
                      <w:sz w:val="21"/>
                      <w:szCs w:val="21"/>
                    </w:rPr>
                  </w:pPr>
                  <w:r>
                    <w:rPr>
                      <w:rFonts w:hint="eastAsia"/>
                      <w:sz w:val="21"/>
                      <w:szCs w:val="21"/>
                    </w:rPr>
                    <w:t>自</w:t>
                  </w:r>
                  <w:r>
                    <w:rPr>
                      <w:sz w:val="21"/>
                      <w:szCs w:val="21"/>
                    </w:rPr>
                    <w:t>燃点</w:t>
                  </w:r>
                </w:p>
              </w:tc>
            </w:tr>
            <w:tr w14:paraId="39676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4D39F0A6">
                  <w:pPr>
                    <w:spacing w:line="240" w:lineRule="auto"/>
                    <w:ind w:firstLine="0" w:firstLineChars="0"/>
                    <w:jc w:val="center"/>
                    <w:rPr>
                      <w:sz w:val="21"/>
                      <w:szCs w:val="21"/>
                    </w:rPr>
                  </w:pPr>
                  <w:r>
                    <w:rPr>
                      <w:rFonts w:hint="eastAsia"/>
                      <w:sz w:val="21"/>
                      <w:szCs w:val="21"/>
                    </w:rPr>
                    <w:t>切削液</w:t>
                  </w:r>
                </w:p>
              </w:tc>
              <w:tc>
                <w:tcPr>
                  <w:tcW w:w="1660" w:type="dxa"/>
                  <w:vAlign w:val="center"/>
                </w:tcPr>
                <w:p w14:paraId="5D1A9B6D">
                  <w:pPr>
                    <w:spacing w:line="240" w:lineRule="auto"/>
                    <w:ind w:firstLine="0" w:firstLineChars="0"/>
                    <w:jc w:val="center"/>
                    <w:rPr>
                      <w:sz w:val="21"/>
                      <w:szCs w:val="21"/>
                    </w:rPr>
                  </w:pPr>
                  <w:r>
                    <w:rPr>
                      <w:rFonts w:hint="eastAsia"/>
                      <w:sz w:val="21"/>
                      <w:szCs w:val="21"/>
                    </w:rPr>
                    <w:t>-</w:t>
                  </w:r>
                </w:p>
              </w:tc>
              <w:tc>
                <w:tcPr>
                  <w:tcW w:w="1312" w:type="dxa"/>
                  <w:vAlign w:val="center"/>
                </w:tcPr>
                <w:p w14:paraId="7728A05B">
                  <w:pPr>
                    <w:spacing w:line="240" w:lineRule="auto"/>
                    <w:ind w:firstLine="0" w:firstLineChars="0"/>
                    <w:jc w:val="center"/>
                    <w:rPr>
                      <w:sz w:val="21"/>
                      <w:szCs w:val="21"/>
                    </w:rPr>
                  </w:pPr>
                  <w:r>
                    <w:rPr>
                      <w:rFonts w:hint="eastAsia"/>
                      <w:sz w:val="21"/>
                      <w:szCs w:val="21"/>
                    </w:rPr>
                    <w:t>-</w:t>
                  </w:r>
                </w:p>
              </w:tc>
              <w:tc>
                <w:tcPr>
                  <w:tcW w:w="1534" w:type="dxa"/>
                  <w:vAlign w:val="center"/>
                </w:tcPr>
                <w:p w14:paraId="6C7C48C7">
                  <w:pPr>
                    <w:spacing w:line="240" w:lineRule="auto"/>
                    <w:ind w:firstLine="0" w:firstLineChars="0"/>
                    <w:jc w:val="center"/>
                    <w:rPr>
                      <w:sz w:val="21"/>
                      <w:szCs w:val="21"/>
                    </w:rPr>
                  </w:pPr>
                  <w:r>
                    <w:rPr>
                      <w:rFonts w:hint="eastAsia"/>
                      <w:sz w:val="21"/>
                      <w:szCs w:val="21"/>
                    </w:rPr>
                    <w:t>-</w:t>
                  </w:r>
                </w:p>
              </w:tc>
              <w:tc>
                <w:tcPr>
                  <w:tcW w:w="1940" w:type="dxa"/>
                  <w:vAlign w:val="center"/>
                </w:tcPr>
                <w:p w14:paraId="0F3576C8">
                  <w:pPr>
                    <w:spacing w:line="240" w:lineRule="auto"/>
                    <w:ind w:firstLine="0" w:firstLineChars="0"/>
                    <w:jc w:val="center"/>
                    <w:rPr>
                      <w:sz w:val="21"/>
                      <w:szCs w:val="21"/>
                    </w:rPr>
                  </w:pPr>
                  <w:r>
                    <w:rPr>
                      <w:rFonts w:hint="eastAsia"/>
                      <w:sz w:val="21"/>
                      <w:szCs w:val="21"/>
                    </w:rPr>
                    <w:t>不自燃</w:t>
                  </w:r>
                </w:p>
              </w:tc>
            </w:tr>
            <w:tr w14:paraId="66820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746F1AD8">
                  <w:pPr>
                    <w:spacing w:line="240" w:lineRule="auto"/>
                    <w:ind w:firstLine="0" w:firstLineChars="0"/>
                    <w:jc w:val="center"/>
                    <w:rPr>
                      <w:sz w:val="21"/>
                      <w:szCs w:val="21"/>
                    </w:rPr>
                  </w:pPr>
                  <w:r>
                    <w:rPr>
                      <w:sz w:val="21"/>
                      <w:szCs w:val="21"/>
                    </w:rPr>
                    <w:t>闪点（开口）</w:t>
                  </w:r>
                </w:p>
              </w:tc>
              <w:tc>
                <w:tcPr>
                  <w:tcW w:w="1660" w:type="dxa"/>
                  <w:vAlign w:val="center"/>
                </w:tcPr>
                <w:p w14:paraId="51FFFC2C">
                  <w:pPr>
                    <w:spacing w:line="240" w:lineRule="auto"/>
                    <w:ind w:firstLine="0" w:firstLineChars="0"/>
                    <w:jc w:val="center"/>
                    <w:rPr>
                      <w:sz w:val="21"/>
                      <w:szCs w:val="21"/>
                    </w:rPr>
                  </w:pPr>
                  <w:r>
                    <w:rPr>
                      <w:sz w:val="21"/>
                      <w:szCs w:val="21"/>
                    </w:rPr>
                    <w:t>蒸汽压（</w:t>
                  </w:r>
                  <w:r>
                    <w:rPr>
                      <w:rFonts w:hint="eastAsia"/>
                      <w:sz w:val="21"/>
                      <w:szCs w:val="21"/>
                    </w:rPr>
                    <w:t>204</w:t>
                  </w:r>
                  <w:r>
                    <w:rPr>
                      <w:sz w:val="21"/>
                      <w:szCs w:val="21"/>
                    </w:rPr>
                    <w:t>℃）</w:t>
                  </w:r>
                </w:p>
              </w:tc>
              <w:tc>
                <w:tcPr>
                  <w:tcW w:w="1312" w:type="dxa"/>
                  <w:vAlign w:val="center"/>
                </w:tcPr>
                <w:p w14:paraId="06BABC73">
                  <w:pPr>
                    <w:spacing w:line="240" w:lineRule="auto"/>
                    <w:ind w:firstLine="0" w:firstLineChars="0"/>
                    <w:jc w:val="center"/>
                    <w:rPr>
                      <w:sz w:val="21"/>
                      <w:szCs w:val="21"/>
                    </w:rPr>
                  </w:pPr>
                  <w:r>
                    <w:rPr>
                      <w:sz w:val="21"/>
                      <w:szCs w:val="21"/>
                    </w:rPr>
                    <w:t>引燃温度</w:t>
                  </w:r>
                </w:p>
              </w:tc>
              <w:tc>
                <w:tcPr>
                  <w:tcW w:w="1534" w:type="dxa"/>
                  <w:vAlign w:val="center"/>
                </w:tcPr>
                <w:p w14:paraId="15DA650D">
                  <w:pPr>
                    <w:spacing w:line="240" w:lineRule="auto"/>
                    <w:ind w:firstLine="0" w:firstLineChars="0"/>
                    <w:jc w:val="center"/>
                    <w:rPr>
                      <w:sz w:val="21"/>
                      <w:szCs w:val="21"/>
                    </w:rPr>
                  </w:pPr>
                  <w:r>
                    <w:rPr>
                      <w:sz w:val="21"/>
                      <w:szCs w:val="21"/>
                    </w:rPr>
                    <w:t>密度（水=1）</w:t>
                  </w:r>
                </w:p>
              </w:tc>
              <w:tc>
                <w:tcPr>
                  <w:tcW w:w="1940" w:type="dxa"/>
                  <w:vAlign w:val="center"/>
                </w:tcPr>
                <w:p w14:paraId="6874A52A">
                  <w:pPr>
                    <w:spacing w:line="240" w:lineRule="auto"/>
                    <w:ind w:firstLine="0" w:firstLineChars="0"/>
                    <w:jc w:val="center"/>
                    <w:rPr>
                      <w:sz w:val="21"/>
                      <w:szCs w:val="21"/>
                    </w:rPr>
                  </w:pPr>
                  <w:r>
                    <w:rPr>
                      <w:sz w:val="21"/>
                      <w:szCs w:val="21"/>
                    </w:rPr>
                    <w:t>爆炸下限</w:t>
                  </w:r>
                </w:p>
              </w:tc>
            </w:tr>
            <w:tr w14:paraId="53332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0AA8A0C">
                  <w:pPr>
                    <w:spacing w:line="240" w:lineRule="auto"/>
                    <w:ind w:firstLine="0" w:firstLineChars="0"/>
                    <w:jc w:val="center"/>
                    <w:rPr>
                      <w:sz w:val="21"/>
                      <w:szCs w:val="21"/>
                    </w:rPr>
                  </w:pPr>
                  <w:r>
                    <w:rPr>
                      <w:rFonts w:hint="eastAsia"/>
                      <w:sz w:val="21"/>
                      <w:szCs w:val="21"/>
                    </w:rPr>
                    <w:t>76</w:t>
                  </w:r>
                  <w:r>
                    <w:rPr>
                      <w:sz w:val="21"/>
                      <w:szCs w:val="21"/>
                    </w:rPr>
                    <w:t>℃</w:t>
                  </w:r>
                </w:p>
              </w:tc>
              <w:tc>
                <w:tcPr>
                  <w:tcW w:w="1660" w:type="dxa"/>
                  <w:vAlign w:val="center"/>
                </w:tcPr>
                <w:p w14:paraId="17019A88">
                  <w:pPr>
                    <w:spacing w:line="240" w:lineRule="auto"/>
                    <w:ind w:firstLine="0" w:firstLineChars="0"/>
                    <w:jc w:val="center"/>
                    <w:rPr>
                      <w:sz w:val="21"/>
                      <w:szCs w:val="21"/>
                    </w:rPr>
                  </w:pPr>
                  <w:r>
                    <w:rPr>
                      <w:sz w:val="21"/>
                      <w:szCs w:val="21"/>
                    </w:rPr>
                    <w:t>0.13Pa</w:t>
                  </w:r>
                </w:p>
              </w:tc>
              <w:tc>
                <w:tcPr>
                  <w:tcW w:w="1312" w:type="dxa"/>
                  <w:vAlign w:val="center"/>
                </w:tcPr>
                <w:p w14:paraId="1AD97697">
                  <w:pPr>
                    <w:spacing w:line="240" w:lineRule="auto"/>
                    <w:ind w:firstLine="0" w:firstLineChars="0"/>
                    <w:jc w:val="center"/>
                    <w:rPr>
                      <w:sz w:val="21"/>
                      <w:szCs w:val="21"/>
                    </w:rPr>
                  </w:pPr>
                  <w:r>
                    <w:rPr>
                      <w:rFonts w:hint="eastAsia"/>
                      <w:sz w:val="21"/>
                      <w:szCs w:val="21"/>
                    </w:rPr>
                    <w:t>248</w:t>
                  </w:r>
                  <w:r>
                    <w:rPr>
                      <w:sz w:val="21"/>
                      <w:szCs w:val="21"/>
                    </w:rPr>
                    <w:t>℃</w:t>
                  </w:r>
                </w:p>
              </w:tc>
              <w:tc>
                <w:tcPr>
                  <w:tcW w:w="1534" w:type="dxa"/>
                  <w:vAlign w:val="center"/>
                </w:tcPr>
                <w:p w14:paraId="2164D251">
                  <w:pPr>
                    <w:spacing w:line="240" w:lineRule="auto"/>
                    <w:ind w:firstLine="0" w:firstLineChars="0"/>
                    <w:jc w:val="center"/>
                    <w:rPr>
                      <w:sz w:val="21"/>
                      <w:szCs w:val="21"/>
                    </w:rPr>
                  </w:pPr>
                  <w:r>
                    <w:rPr>
                      <w:rFonts w:hint="eastAsia"/>
                      <w:sz w:val="21"/>
                      <w:szCs w:val="21"/>
                    </w:rPr>
                    <w:t>1.01</w:t>
                  </w:r>
                </w:p>
              </w:tc>
              <w:tc>
                <w:tcPr>
                  <w:tcW w:w="1940" w:type="dxa"/>
                  <w:vAlign w:val="center"/>
                </w:tcPr>
                <w:p w14:paraId="6EAC8C55">
                  <w:pPr>
                    <w:spacing w:line="240" w:lineRule="auto"/>
                    <w:ind w:firstLine="0" w:firstLineChars="0"/>
                    <w:jc w:val="center"/>
                    <w:rPr>
                      <w:sz w:val="21"/>
                      <w:szCs w:val="21"/>
                    </w:rPr>
                  </w:pPr>
                  <w:r>
                    <w:rPr>
                      <w:rFonts w:hint="eastAsia"/>
                      <w:sz w:val="21"/>
                      <w:szCs w:val="21"/>
                    </w:rPr>
                    <w:t>-</w:t>
                  </w:r>
                </w:p>
              </w:tc>
            </w:tr>
            <w:tr w14:paraId="2A588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1566CDD7">
                  <w:pPr>
                    <w:spacing w:line="240" w:lineRule="auto"/>
                    <w:ind w:firstLine="0" w:firstLineChars="0"/>
                    <w:jc w:val="center"/>
                    <w:rPr>
                      <w:sz w:val="21"/>
                      <w:szCs w:val="21"/>
                    </w:rPr>
                  </w:pPr>
                  <w:r>
                    <w:rPr>
                      <w:rFonts w:hint="eastAsia"/>
                      <w:sz w:val="21"/>
                      <w:szCs w:val="21"/>
                    </w:rPr>
                    <w:t>理化特性</w:t>
                  </w:r>
                </w:p>
              </w:tc>
              <w:tc>
                <w:tcPr>
                  <w:tcW w:w="6446" w:type="dxa"/>
                  <w:gridSpan w:val="4"/>
                  <w:vAlign w:val="center"/>
                </w:tcPr>
                <w:p w14:paraId="0C3D2352">
                  <w:pPr>
                    <w:spacing w:line="240" w:lineRule="auto"/>
                    <w:ind w:firstLine="0" w:firstLineChars="0"/>
                    <w:jc w:val="center"/>
                    <w:rPr>
                      <w:sz w:val="21"/>
                      <w:szCs w:val="21"/>
                    </w:rPr>
                  </w:pPr>
                  <w:r>
                    <w:rPr>
                      <w:rFonts w:hint="eastAsia"/>
                      <w:sz w:val="21"/>
                      <w:szCs w:val="21"/>
                    </w:rPr>
                    <w:t>主要成分：有机醇胺、酯肪酸、精制矿物油、极压机、界面活性剂、无机盐、防腐剂、非铁腐蚀抑制剂、香料、消泡剂、</w:t>
                  </w:r>
                </w:p>
              </w:tc>
            </w:tr>
            <w:tr w14:paraId="352DC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7553EF67">
                  <w:pPr>
                    <w:spacing w:line="240" w:lineRule="auto"/>
                    <w:ind w:firstLine="0" w:firstLineChars="0"/>
                    <w:jc w:val="center"/>
                    <w:rPr>
                      <w:sz w:val="21"/>
                      <w:szCs w:val="21"/>
                    </w:rPr>
                  </w:pPr>
                  <w:r>
                    <w:rPr>
                      <w:sz w:val="21"/>
                      <w:szCs w:val="21"/>
                    </w:rPr>
                    <w:t>储存注意</w:t>
                  </w:r>
                </w:p>
              </w:tc>
              <w:tc>
                <w:tcPr>
                  <w:tcW w:w="6446" w:type="dxa"/>
                  <w:gridSpan w:val="4"/>
                  <w:vAlign w:val="center"/>
                </w:tcPr>
                <w:p w14:paraId="303145EA">
                  <w:pPr>
                    <w:spacing w:line="240" w:lineRule="auto"/>
                    <w:ind w:firstLine="0" w:firstLineChars="0"/>
                    <w:jc w:val="center"/>
                    <w:rPr>
                      <w:sz w:val="21"/>
                      <w:szCs w:val="21"/>
                    </w:rPr>
                  </w:pPr>
                  <w:r>
                    <w:rPr>
                      <w:rFonts w:hint="eastAsia"/>
                      <w:sz w:val="21"/>
                      <w:szCs w:val="21"/>
                    </w:rPr>
                    <w:t>储存在原本之封闭桶子内及固定位置，避免高温储存（室温条件即可）。避免储存接近电源、火源之场所。</w:t>
                  </w:r>
                </w:p>
              </w:tc>
            </w:tr>
            <w:tr w14:paraId="3F96A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5EFEA85F">
                  <w:pPr>
                    <w:spacing w:line="240" w:lineRule="auto"/>
                    <w:ind w:firstLine="0" w:firstLineChars="0"/>
                    <w:jc w:val="center"/>
                    <w:rPr>
                      <w:sz w:val="21"/>
                      <w:szCs w:val="21"/>
                    </w:rPr>
                  </w:pPr>
                  <w:r>
                    <w:rPr>
                      <w:sz w:val="21"/>
                      <w:szCs w:val="21"/>
                    </w:rPr>
                    <w:t>健康危害</w:t>
                  </w:r>
                </w:p>
              </w:tc>
              <w:tc>
                <w:tcPr>
                  <w:tcW w:w="6446" w:type="dxa"/>
                  <w:gridSpan w:val="4"/>
                  <w:vAlign w:val="center"/>
                </w:tcPr>
                <w:p w14:paraId="49D8C6C5">
                  <w:pPr>
                    <w:spacing w:line="240" w:lineRule="auto"/>
                    <w:ind w:firstLine="0" w:firstLineChars="0"/>
                    <w:jc w:val="center"/>
                    <w:rPr>
                      <w:sz w:val="21"/>
                      <w:szCs w:val="21"/>
                    </w:rPr>
                  </w:pPr>
                  <w:r>
                    <w:rPr>
                      <w:rFonts w:hint="eastAsia"/>
                      <w:sz w:val="21"/>
                      <w:szCs w:val="21"/>
                    </w:rPr>
                    <w:t>长期接触对眼、鼻、皮肤等方面有刺激性影响。不属于急性毒性物质之范围内。</w:t>
                  </w:r>
                </w:p>
              </w:tc>
            </w:tr>
          </w:tbl>
          <w:p w14:paraId="3A35C65B">
            <w:pPr>
              <w:ind w:firstLine="422"/>
              <w:jc w:val="center"/>
              <w:rPr>
                <w:b/>
                <w:bCs/>
                <w:sz w:val="21"/>
                <w:szCs w:val="21"/>
              </w:rPr>
            </w:pPr>
            <w:r>
              <w:rPr>
                <w:rFonts w:hint="eastAsia"/>
                <w:b/>
                <w:bCs/>
                <w:sz w:val="21"/>
                <w:szCs w:val="21"/>
              </w:rPr>
              <w:t>表4-24  甲醇的理化性质及危险性识别</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0"/>
              <w:gridCol w:w="1312"/>
              <w:gridCol w:w="1534"/>
              <w:gridCol w:w="1940"/>
            </w:tblGrid>
            <w:tr w14:paraId="5AF22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0C8B5D53">
                  <w:pPr>
                    <w:spacing w:line="240" w:lineRule="auto"/>
                    <w:ind w:firstLine="0" w:firstLineChars="0"/>
                    <w:jc w:val="center"/>
                    <w:rPr>
                      <w:sz w:val="21"/>
                      <w:szCs w:val="21"/>
                    </w:rPr>
                  </w:pPr>
                  <w:r>
                    <w:rPr>
                      <w:sz w:val="21"/>
                      <w:szCs w:val="21"/>
                    </w:rPr>
                    <w:t>物质名称</w:t>
                  </w:r>
                </w:p>
              </w:tc>
              <w:tc>
                <w:tcPr>
                  <w:tcW w:w="1660" w:type="dxa"/>
                  <w:vAlign w:val="center"/>
                </w:tcPr>
                <w:p w14:paraId="6D0AFE44">
                  <w:pPr>
                    <w:spacing w:line="240" w:lineRule="auto"/>
                    <w:ind w:firstLine="0" w:firstLineChars="0"/>
                    <w:jc w:val="center"/>
                    <w:rPr>
                      <w:sz w:val="21"/>
                      <w:szCs w:val="21"/>
                    </w:rPr>
                  </w:pPr>
                  <w:r>
                    <w:rPr>
                      <w:sz w:val="21"/>
                      <w:szCs w:val="21"/>
                    </w:rPr>
                    <w:t>分子式</w:t>
                  </w:r>
                </w:p>
              </w:tc>
              <w:tc>
                <w:tcPr>
                  <w:tcW w:w="1312" w:type="dxa"/>
                  <w:vAlign w:val="center"/>
                </w:tcPr>
                <w:p w14:paraId="02920A4C">
                  <w:pPr>
                    <w:spacing w:line="240" w:lineRule="auto"/>
                    <w:ind w:firstLine="0" w:firstLineChars="0"/>
                    <w:jc w:val="center"/>
                    <w:rPr>
                      <w:sz w:val="21"/>
                      <w:szCs w:val="21"/>
                    </w:rPr>
                  </w:pPr>
                  <w:r>
                    <w:rPr>
                      <w:sz w:val="21"/>
                      <w:szCs w:val="21"/>
                    </w:rPr>
                    <w:t>分子量</w:t>
                  </w:r>
                </w:p>
              </w:tc>
              <w:tc>
                <w:tcPr>
                  <w:tcW w:w="1534" w:type="dxa"/>
                  <w:vAlign w:val="center"/>
                </w:tcPr>
                <w:p w14:paraId="227B5A00">
                  <w:pPr>
                    <w:spacing w:line="240" w:lineRule="auto"/>
                    <w:ind w:firstLine="0" w:firstLineChars="0"/>
                    <w:jc w:val="center"/>
                    <w:rPr>
                      <w:sz w:val="21"/>
                      <w:szCs w:val="21"/>
                    </w:rPr>
                  </w:pPr>
                  <w:r>
                    <w:rPr>
                      <w:sz w:val="21"/>
                      <w:szCs w:val="21"/>
                    </w:rPr>
                    <w:t>沸点</w:t>
                  </w:r>
                </w:p>
              </w:tc>
              <w:tc>
                <w:tcPr>
                  <w:tcW w:w="1940" w:type="dxa"/>
                  <w:vAlign w:val="center"/>
                </w:tcPr>
                <w:p w14:paraId="5C429F15">
                  <w:pPr>
                    <w:spacing w:line="240" w:lineRule="auto"/>
                    <w:ind w:firstLine="0" w:firstLineChars="0"/>
                    <w:jc w:val="center"/>
                    <w:rPr>
                      <w:sz w:val="21"/>
                      <w:szCs w:val="21"/>
                    </w:rPr>
                  </w:pPr>
                  <w:r>
                    <w:rPr>
                      <w:rFonts w:hint="eastAsia"/>
                      <w:sz w:val="21"/>
                      <w:szCs w:val="21"/>
                    </w:rPr>
                    <w:t>熔点</w:t>
                  </w:r>
                </w:p>
              </w:tc>
            </w:tr>
            <w:tr w14:paraId="6F515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7EF5CE1D">
                  <w:pPr>
                    <w:spacing w:line="240" w:lineRule="auto"/>
                    <w:ind w:firstLine="0" w:firstLineChars="0"/>
                    <w:jc w:val="center"/>
                    <w:rPr>
                      <w:sz w:val="21"/>
                      <w:szCs w:val="21"/>
                    </w:rPr>
                  </w:pPr>
                  <w:r>
                    <w:rPr>
                      <w:rFonts w:hint="eastAsia"/>
                      <w:sz w:val="21"/>
                      <w:szCs w:val="21"/>
                    </w:rPr>
                    <w:t>丙烷</w:t>
                  </w:r>
                </w:p>
              </w:tc>
              <w:tc>
                <w:tcPr>
                  <w:tcW w:w="1660" w:type="dxa"/>
                  <w:vAlign w:val="center"/>
                </w:tcPr>
                <w:p w14:paraId="4ABAD7BD">
                  <w:pPr>
                    <w:spacing w:line="240" w:lineRule="auto"/>
                    <w:ind w:firstLine="0" w:firstLineChars="0"/>
                    <w:jc w:val="center"/>
                    <w:rPr>
                      <w:sz w:val="21"/>
                      <w:szCs w:val="21"/>
                    </w:rPr>
                  </w:pPr>
                  <w:r>
                    <w:rPr>
                      <w:rFonts w:hint="eastAsia"/>
                      <w:sz w:val="21"/>
                      <w:szCs w:val="21"/>
                    </w:rPr>
                    <w:t>CH</w:t>
                  </w:r>
                  <w:r>
                    <w:rPr>
                      <w:rFonts w:hint="eastAsia"/>
                      <w:sz w:val="21"/>
                      <w:szCs w:val="21"/>
                      <w:vertAlign w:val="subscript"/>
                    </w:rPr>
                    <w:t>4</w:t>
                  </w:r>
                  <w:r>
                    <w:rPr>
                      <w:rFonts w:hint="eastAsia"/>
                      <w:sz w:val="21"/>
                      <w:szCs w:val="21"/>
                    </w:rPr>
                    <w:t>O</w:t>
                  </w:r>
                </w:p>
              </w:tc>
              <w:tc>
                <w:tcPr>
                  <w:tcW w:w="1312" w:type="dxa"/>
                  <w:vAlign w:val="center"/>
                </w:tcPr>
                <w:p w14:paraId="593B693A">
                  <w:pPr>
                    <w:spacing w:line="240" w:lineRule="auto"/>
                    <w:ind w:firstLine="0" w:firstLineChars="0"/>
                    <w:jc w:val="center"/>
                    <w:rPr>
                      <w:sz w:val="21"/>
                      <w:szCs w:val="21"/>
                    </w:rPr>
                  </w:pPr>
                  <w:r>
                    <w:rPr>
                      <w:rFonts w:hint="eastAsia"/>
                      <w:sz w:val="21"/>
                      <w:szCs w:val="21"/>
                    </w:rPr>
                    <w:t>32.04</w:t>
                  </w:r>
                </w:p>
              </w:tc>
              <w:tc>
                <w:tcPr>
                  <w:tcW w:w="1534" w:type="dxa"/>
                  <w:vAlign w:val="center"/>
                </w:tcPr>
                <w:p w14:paraId="300D03F5">
                  <w:pPr>
                    <w:spacing w:line="240" w:lineRule="auto"/>
                    <w:ind w:firstLine="0" w:firstLineChars="0"/>
                    <w:jc w:val="center"/>
                    <w:rPr>
                      <w:sz w:val="21"/>
                      <w:szCs w:val="21"/>
                    </w:rPr>
                  </w:pPr>
                  <w:r>
                    <w:rPr>
                      <w:rFonts w:hint="eastAsia"/>
                      <w:sz w:val="21"/>
                      <w:szCs w:val="21"/>
                    </w:rPr>
                    <w:t>64.8</w:t>
                  </w:r>
                  <w:r>
                    <w:rPr>
                      <w:sz w:val="21"/>
                      <w:szCs w:val="21"/>
                    </w:rPr>
                    <w:t>℃</w:t>
                  </w:r>
                </w:p>
              </w:tc>
              <w:tc>
                <w:tcPr>
                  <w:tcW w:w="1940" w:type="dxa"/>
                  <w:vAlign w:val="center"/>
                </w:tcPr>
                <w:p w14:paraId="2BD62252">
                  <w:pPr>
                    <w:spacing w:line="240" w:lineRule="auto"/>
                    <w:ind w:firstLine="0" w:firstLineChars="0"/>
                    <w:jc w:val="center"/>
                    <w:rPr>
                      <w:sz w:val="21"/>
                      <w:szCs w:val="21"/>
                    </w:rPr>
                  </w:pPr>
                  <w:r>
                    <w:rPr>
                      <w:rFonts w:hint="eastAsia"/>
                      <w:sz w:val="21"/>
                      <w:szCs w:val="21"/>
                    </w:rPr>
                    <w:t>-97.8</w:t>
                  </w:r>
                  <w:r>
                    <w:rPr>
                      <w:sz w:val="21"/>
                      <w:szCs w:val="21"/>
                    </w:rPr>
                    <w:t>℃</w:t>
                  </w:r>
                </w:p>
              </w:tc>
            </w:tr>
            <w:tr w14:paraId="12C2A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4FDDCFC">
                  <w:pPr>
                    <w:spacing w:line="240" w:lineRule="auto"/>
                    <w:ind w:firstLine="0" w:firstLineChars="0"/>
                    <w:jc w:val="center"/>
                    <w:rPr>
                      <w:sz w:val="21"/>
                      <w:szCs w:val="21"/>
                    </w:rPr>
                  </w:pPr>
                  <w:r>
                    <w:rPr>
                      <w:sz w:val="21"/>
                      <w:szCs w:val="21"/>
                    </w:rPr>
                    <w:t>闪点（开口）</w:t>
                  </w:r>
                </w:p>
              </w:tc>
              <w:tc>
                <w:tcPr>
                  <w:tcW w:w="1660" w:type="dxa"/>
                  <w:vAlign w:val="center"/>
                </w:tcPr>
                <w:p w14:paraId="1A6B8EC6">
                  <w:pPr>
                    <w:spacing w:line="240" w:lineRule="auto"/>
                    <w:ind w:firstLine="0" w:firstLineChars="0"/>
                    <w:jc w:val="center"/>
                    <w:rPr>
                      <w:sz w:val="21"/>
                      <w:szCs w:val="21"/>
                    </w:rPr>
                  </w:pPr>
                  <w:r>
                    <w:rPr>
                      <w:sz w:val="21"/>
                      <w:szCs w:val="21"/>
                    </w:rPr>
                    <w:t>蒸汽压（</w:t>
                  </w:r>
                  <w:r>
                    <w:rPr>
                      <w:rFonts w:hint="eastAsia"/>
                      <w:sz w:val="21"/>
                      <w:szCs w:val="21"/>
                    </w:rPr>
                    <w:t>204</w:t>
                  </w:r>
                  <w:r>
                    <w:rPr>
                      <w:sz w:val="21"/>
                      <w:szCs w:val="21"/>
                    </w:rPr>
                    <w:t>℃）</w:t>
                  </w:r>
                </w:p>
              </w:tc>
              <w:tc>
                <w:tcPr>
                  <w:tcW w:w="1312" w:type="dxa"/>
                  <w:vAlign w:val="center"/>
                </w:tcPr>
                <w:p w14:paraId="44420B69">
                  <w:pPr>
                    <w:spacing w:line="240" w:lineRule="auto"/>
                    <w:ind w:firstLine="0" w:firstLineChars="0"/>
                    <w:jc w:val="center"/>
                    <w:rPr>
                      <w:sz w:val="21"/>
                      <w:szCs w:val="21"/>
                    </w:rPr>
                  </w:pPr>
                  <w:r>
                    <w:rPr>
                      <w:sz w:val="21"/>
                      <w:szCs w:val="21"/>
                    </w:rPr>
                    <w:t>引燃温度</w:t>
                  </w:r>
                </w:p>
              </w:tc>
              <w:tc>
                <w:tcPr>
                  <w:tcW w:w="1534" w:type="dxa"/>
                  <w:vAlign w:val="center"/>
                </w:tcPr>
                <w:p w14:paraId="6C7084A2">
                  <w:pPr>
                    <w:spacing w:line="240" w:lineRule="auto"/>
                    <w:ind w:firstLine="0" w:firstLineChars="0"/>
                    <w:jc w:val="center"/>
                    <w:rPr>
                      <w:sz w:val="21"/>
                      <w:szCs w:val="21"/>
                    </w:rPr>
                  </w:pPr>
                  <w:r>
                    <w:rPr>
                      <w:sz w:val="21"/>
                      <w:szCs w:val="21"/>
                    </w:rPr>
                    <w:t>密度（水=1）</w:t>
                  </w:r>
                </w:p>
              </w:tc>
              <w:tc>
                <w:tcPr>
                  <w:tcW w:w="1940" w:type="dxa"/>
                  <w:vAlign w:val="center"/>
                </w:tcPr>
                <w:p w14:paraId="47ED9A0F">
                  <w:pPr>
                    <w:spacing w:line="240" w:lineRule="auto"/>
                    <w:ind w:firstLine="0" w:firstLineChars="0"/>
                    <w:jc w:val="center"/>
                    <w:rPr>
                      <w:sz w:val="21"/>
                      <w:szCs w:val="21"/>
                    </w:rPr>
                  </w:pPr>
                  <w:r>
                    <w:rPr>
                      <w:sz w:val="21"/>
                      <w:szCs w:val="21"/>
                    </w:rPr>
                    <w:t>爆炸下限</w:t>
                  </w:r>
                </w:p>
              </w:tc>
            </w:tr>
            <w:tr w14:paraId="4FB24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0B740781">
                  <w:pPr>
                    <w:spacing w:line="240" w:lineRule="auto"/>
                    <w:ind w:firstLine="0" w:firstLineChars="0"/>
                    <w:jc w:val="center"/>
                    <w:rPr>
                      <w:sz w:val="21"/>
                      <w:szCs w:val="21"/>
                    </w:rPr>
                  </w:pPr>
                  <w:r>
                    <w:rPr>
                      <w:rFonts w:hint="eastAsia"/>
                      <w:sz w:val="21"/>
                      <w:szCs w:val="21"/>
                    </w:rPr>
                    <w:t>11</w:t>
                  </w:r>
                  <w:r>
                    <w:rPr>
                      <w:sz w:val="21"/>
                      <w:szCs w:val="21"/>
                    </w:rPr>
                    <w:t>℃</w:t>
                  </w:r>
                </w:p>
              </w:tc>
              <w:tc>
                <w:tcPr>
                  <w:tcW w:w="1660" w:type="dxa"/>
                  <w:vAlign w:val="center"/>
                </w:tcPr>
                <w:p w14:paraId="2130B38D">
                  <w:pPr>
                    <w:spacing w:line="240" w:lineRule="auto"/>
                    <w:ind w:firstLine="0" w:firstLineChars="0"/>
                    <w:jc w:val="center"/>
                    <w:rPr>
                      <w:sz w:val="21"/>
                      <w:szCs w:val="21"/>
                    </w:rPr>
                  </w:pPr>
                  <w:r>
                    <w:rPr>
                      <w:rFonts w:hint="eastAsia"/>
                      <w:sz w:val="21"/>
                      <w:szCs w:val="21"/>
                    </w:rPr>
                    <w:t>-</w:t>
                  </w:r>
                </w:p>
              </w:tc>
              <w:tc>
                <w:tcPr>
                  <w:tcW w:w="1312" w:type="dxa"/>
                  <w:vAlign w:val="center"/>
                </w:tcPr>
                <w:p w14:paraId="1E436DD3">
                  <w:pPr>
                    <w:spacing w:line="240" w:lineRule="auto"/>
                    <w:ind w:firstLine="0" w:firstLineChars="0"/>
                    <w:jc w:val="center"/>
                    <w:rPr>
                      <w:sz w:val="21"/>
                      <w:szCs w:val="21"/>
                    </w:rPr>
                  </w:pPr>
                  <w:r>
                    <w:rPr>
                      <w:rFonts w:hint="eastAsia"/>
                      <w:sz w:val="21"/>
                      <w:szCs w:val="21"/>
                    </w:rPr>
                    <w:t>385</w:t>
                  </w:r>
                  <w:r>
                    <w:rPr>
                      <w:sz w:val="21"/>
                      <w:szCs w:val="21"/>
                    </w:rPr>
                    <w:t>℃</w:t>
                  </w:r>
                </w:p>
              </w:tc>
              <w:tc>
                <w:tcPr>
                  <w:tcW w:w="1534" w:type="dxa"/>
                  <w:vAlign w:val="center"/>
                </w:tcPr>
                <w:p w14:paraId="5AAAB884">
                  <w:pPr>
                    <w:spacing w:line="240" w:lineRule="auto"/>
                    <w:ind w:firstLine="0" w:firstLineChars="0"/>
                    <w:jc w:val="center"/>
                    <w:rPr>
                      <w:sz w:val="21"/>
                      <w:szCs w:val="21"/>
                    </w:rPr>
                  </w:pPr>
                  <w:r>
                    <w:rPr>
                      <w:rFonts w:hint="eastAsia"/>
                      <w:sz w:val="21"/>
                      <w:szCs w:val="21"/>
                    </w:rPr>
                    <w:t>1.01</w:t>
                  </w:r>
                </w:p>
              </w:tc>
              <w:tc>
                <w:tcPr>
                  <w:tcW w:w="1940" w:type="dxa"/>
                  <w:vAlign w:val="center"/>
                </w:tcPr>
                <w:p w14:paraId="7477E261">
                  <w:pPr>
                    <w:spacing w:line="240" w:lineRule="auto"/>
                    <w:ind w:firstLine="0" w:firstLineChars="0"/>
                    <w:jc w:val="center"/>
                    <w:rPr>
                      <w:sz w:val="21"/>
                      <w:szCs w:val="21"/>
                    </w:rPr>
                  </w:pPr>
                  <w:r>
                    <w:rPr>
                      <w:rFonts w:hint="eastAsia"/>
                      <w:sz w:val="21"/>
                      <w:szCs w:val="21"/>
                    </w:rPr>
                    <w:t>5.5</w:t>
                  </w:r>
                </w:p>
              </w:tc>
            </w:tr>
            <w:tr w14:paraId="4D5CA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734BEFB">
                  <w:pPr>
                    <w:spacing w:line="240" w:lineRule="auto"/>
                    <w:ind w:firstLine="0" w:firstLineChars="0"/>
                    <w:jc w:val="center"/>
                    <w:rPr>
                      <w:sz w:val="21"/>
                      <w:szCs w:val="21"/>
                    </w:rPr>
                  </w:pPr>
                  <w:r>
                    <w:rPr>
                      <w:rFonts w:hint="eastAsia"/>
                      <w:sz w:val="21"/>
                      <w:szCs w:val="21"/>
                    </w:rPr>
                    <w:t>理化特性</w:t>
                  </w:r>
                </w:p>
              </w:tc>
              <w:tc>
                <w:tcPr>
                  <w:tcW w:w="6446" w:type="dxa"/>
                  <w:gridSpan w:val="4"/>
                  <w:vAlign w:val="center"/>
                </w:tcPr>
                <w:p w14:paraId="5B3F197C">
                  <w:pPr>
                    <w:spacing w:line="240" w:lineRule="auto"/>
                    <w:ind w:firstLine="0" w:firstLineChars="0"/>
                    <w:jc w:val="center"/>
                    <w:rPr>
                      <w:sz w:val="21"/>
                      <w:szCs w:val="21"/>
                    </w:rPr>
                  </w:pPr>
                  <w:r>
                    <w:rPr>
                      <w:rFonts w:hint="eastAsia"/>
                      <w:sz w:val="21"/>
                      <w:szCs w:val="21"/>
                    </w:rPr>
                    <w:t>易燃、有毒液体，溶于水，可混溶于醇、醚等多数有机溶剂。禁配物：酸类、酸酐、强氧化剂、碱金属。</w:t>
                  </w:r>
                </w:p>
              </w:tc>
            </w:tr>
            <w:tr w14:paraId="38735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BEB69B4">
                  <w:pPr>
                    <w:spacing w:line="240" w:lineRule="auto"/>
                    <w:ind w:firstLine="0" w:firstLineChars="0"/>
                    <w:jc w:val="center"/>
                    <w:rPr>
                      <w:sz w:val="21"/>
                      <w:szCs w:val="21"/>
                    </w:rPr>
                  </w:pPr>
                  <w:r>
                    <w:rPr>
                      <w:sz w:val="21"/>
                      <w:szCs w:val="21"/>
                    </w:rPr>
                    <w:t>储存注意</w:t>
                  </w:r>
                </w:p>
              </w:tc>
              <w:tc>
                <w:tcPr>
                  <w:tcW w:w="6446" w:type="dxa"/>
                  <w:gridSpan w:val="4"/>
                  <w:vAlign w:val="center"/>
                </w:tcPr>
                <w:p w14:paraId="33DF7894">
                  <w:pPr>
                    <w:spacing w:line="240" w:lineRule="auto"/>
                    <w:ind w:firstLine="0" w:firstLineChars="0"/>
                    <w:jc w:val="center"/>
                    <w:rPr>
                      <w:sz w:val="21"/>
                      <w:szCs w:val="21"/>
                    </w:rPr>
                  </w:pPr>
                  <w:r>
                    <w:rPr>
                      <w:rFonts w:hint="eastAsia"/>
                      <w:sz w:val="21"/>
                      <w:szCs w:val="21"/>
                    </w:rPr>
                    <w:t>储存于阴凉、通风的库房。远离火种、热源。库温不宜超过30℃.保持容器密封。应与氧化剂、酸类、碱金属等分开存放，切忌混储。采用防爆型照明、通风设施。禁止使用易产生火花的机械设备和工具。储区应备有泄漏应急处理设备和合适的收容材料。</w:t>
                  </w:r>
                </w:p>
              </w:tc>
            </w:tr>
            <w:tr w14:paraId="16F8A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1BB4BDFE">
                  <w:pPr>
                    <w:spacing w:line="240" w:lineRule="auto"/>
                    <w:ind w:firstLine="0" w:firstLineChars="0"/>
                    <w:jc w:val="center"/>
                    <w:rPr>
                      <w:sz w:val="21"/>
                      <w:szCs w:val="21"/>
                    </w:rPr>
                  </w:pPr>
                  <w:r>
                    <w:rPr>
                      <w:sz w:val="21"/>
                      <w:szCs w:val="21"/>
                    </w:rPr>
                    <w:t>健康危害</w:t>
                  </w:r>
                </w:p>
              </w:tc>
              <w:tc>
                <w:tcPr>
                  <w:tcW w:w="6446" w:type="dxa"/>
                  <w:gridSpan w:val="4"/>
                  <w:vAlign w:val="center"/>
                </w:tcPr>
                <w:p w14:paraId="3D30B97B">
                  <w:pPr>
                    <w:spacing w:line="240" w:lineRule="auto"/>
                    <w:ind w:firstLine="0" w:firstLineChars="0"/>
                    <w:jc w:val="left"/>
                    <w:rPr>
                      <w:sz w:val="21"/>
                      <w:szCs w:val="21"/>
                    </w:rPr>
                  </w:pPr>
                  <w:r>
                    <w:rPr>
                      <w:rFonts w:hint="eastAsia"/>
                      <w:sz w:val="21"/>
                      <w:szCs w:val="21"/>
                    </w:rPr>
                    <w:t>健康危害：对中枢神经系统有麻醉作用；对视神经和视膜有特殊选择作用，引起病变；可致代射性酸中毒。</w:t>
                  </w:r>
                </w:p>
                <w:p w14:paraId="05EFC5D1">
                  <w:pPr>
                    <w:spacing w:line="240" w:lineRule="auto"/>
                    <w:ind w:firstLine="0" w:firstLineChars="0"/>
                    <w:jc w:val="left"/>
                    <w:rPr>
                      <w:sz w:val="21"/>
                      <w:szCs w:val="21"/>
                    </w:rPr>
                  </w:pPr>
                  <w:r>
                    <w:rPr>
                      <w:rFonts w:hint="eastAsia"/>
                      <w:sz w:val="21"/>
                      <w:szCs w:val="21"/>
                    </w:rPr>
                    <w:t>急性中毒：短时大量吸入出现轻度眼上呼吸道刺激症状（口服有胃肠道刺激症状）；经一段时间潜伏期后出现头痛、头晕、乏力、眩晕、酒醉感、意识朦胧、谵妄，甚至昏迷。视神经及视网膜病变，可有视物模糊、复视等，重者失。代谢性酸中毒时出现二氧化碳结合力下降、呼吸加速等。</w:t>
                  </w:r>
                </w:p>
                <w:p w14:paraId="28353A7D">
                  <w:pPr>
                    <w:spacing w:line="240" w:lineRule="auto"/>
                    <w:ind w:firstLine="0" w:firstLineChars="0"/>
                    <w:jc w:val="left"/>
                    <w:rPr>
                      <w:sz w:val="21"/>
                      <w:szCs w:val="21"/>
                    </w:rPr>
                  </w:pPr>
                  <w:r>
                    <w:rPr>
                      <w:rFonts w:hint="eastAsia"/>
                      <w:sz w:val="21"/>
                      <w:szCs w:val="21"/>
                    </w:rPr>
                    <w:t>慢性影响：神经衰弱综合征，植物神经功能失调，粘膜刺激，视力减退等。皮肤出现脱脂、皮炎等。</w:t>
                  </w:r>
                </w:p>
              </w:tc>
            </w:tr>
          </w:tbl>
          <w:p w14:paraId="1F9A828F">
            <w:pPr>
              <w:ind w:firstLine="422"/>
              <w:jc w:val="center"/>
              <w:rPr>
                <w:b/>
                <w:bCs/>
                <w:sz w:val="21"/>
                <w:szCs w:val="21"/>
              </w:rPr>
            </w:pPr>
            <w:r>
              <w:rPr>
                <w:rFonts w:hint="eastAsia"/>
                <w:b/>
                <w:bCs/>
                <w:sz w:val="21"/>
                <w:szCs w:val="21"/>
              </w:rPr>
              <w:t>表4-25  丙烷的理化性质及危险性识别</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0"/>
              <w:gridCol w:w="1312"/>
              <w:gridCol w:w="1534"/>
              <w:gridCol w:w="1940"/>
            </w:tblGrid>
            <w:tr w14:paraId="29127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108BB908">
                  <w:pPr>
                    <w:spacing w:line="240" w:lineRule="auto"/>
                    <w:ind w:firstLine="0" w:firstLineChars="0"/>
                    <w:jc w:val="center"/>
                    <w:rPr>
                      <w:sz w:val="21"/>
                      <w:szCs w:val="21"/>
                    </w:rPr>
                  </w:pPr>
                  <w:r>
                    <w:rPr>
                      <w:sz w:val="21"/>
                      <w:szCs w:val="21"/>
                    </w:rPr>
                    <w:t>物质名称</w:t>
                  </w:r>
                </w:p>
              </w:tc>
              <w:tc>
                <w:tcPr>
                  <w:tcW w:w="1660" w:type="dxa"/>
                  <w:vAlign w:val="center"/>
                </w:tcPr>
                <w:p w14:paraId="55AD0C1F">
                  <w:pPr>
                    <w:spacing w:line="240" w:lineRule="auto"/>
                    <w:ind w:firstLine="0" w:firstLineChars="0"/>
                    <w:jc w:val="center"/>
                    <w:rPr>
                      <w:sz w:val="21"/>
                      <w:szCs w:val="21"/>
                    </w:rPr>
                  </w:pPr>
                  <w:r>
                    <w:rPr>
                      <w:sz w:val="21"/>
                      <w:szCs w:val="21"/>
                    </w:rPr>
                    <w:t>分子式</w:t>
                  </w:r>
                </w:p>
              </w:tc>
              <w:tc>
                <w:tcPr>
                  <w:tcW w:w="1312" w:type="dxa"/>
                  <w:vAlign w:val="center"/>
                </w:tcPr>
                <w:p w14:paraId="1163E7AE">
                  <w:pPr>
                    <w:spacing w:line="240" w:lineRule="auto"/>
                    <w:ind w:firstLine="0" w:firstLineChars="0"/>
                    <w:jc w:val="center"/>
                    <w:rPr>
                      <w:sz w:val="21"/>
                      <w:szCs w:val="21"/>
                    </w:rPr>
                  </w:pPr>
                  <w:r>
                    <w:rPr>
                      <w:sz w:val="21"/>
                      <w:szCs w:val="21"/>
                    </w:rPr>
                    <w:t>分子量</w:t>
                  </w:r>
                </w:p>
              </w:tc>
              <w:tc>
                <w:tcPr>
                  <w:tcW w:w="1534" w:type="dxa"/>
                  <w:vAlign w:val="center"/>
                </w:tcPr>
                <w:p w14:paraId="10F8E9FE">
                  <w:pPr>
                    <w:spacing w:line="240" w:lineRule="auto"/>
                    <w:ind w:firstLine="0" w:firstLineChars="0"/>
                    <w:jc w:val="center"/>
                    <w:rPr>
                      <w:sz w:val="21"/>
                      <w:szCs w:val="21"/>
                    </w:rPr>
                  </w:pPr>
                  <w:r>
                    <w:rPr>
                      <w:sz w:val="21"/>
                      <w:szCs w:val="21"/>
                    </w:rPr>
                    <w:t>沸点</w:t>
                  </w:r>
                </w:p>
              </w:tc>
              <w:tc>
                <w:tcPr>
                  <w:tcW w:w="1940" w:type="dxa"/>
                  <w:vAlign w:val="center"/>
                </w:tcPr>
                <w:p w14:paraId="21AE1BF2">
                  <w:pPr>
                    <w:spacing w:line="240" w:lineRule="auto"/>
                    <w:ind w:firstLine="0" w:firstLineChars="0"/>
                    <w:jc w:val="center"/>
                    <w:rPr>
                      <w:sz w:val="21"/>
                      <w:szCs w:val="21"/>
                    </w:rPr>
                  </w:pPr>
                  <w:r>
                    <w:rPr>
                      <w:rFonts w:hint="eastAsia"/>
                      <w:sz w:val="21"/>
                      <w:szCs w:val="21"/>
                    </w:rPr>
                    <w:t>熔点</w:t>
                  </w:r>
                </w:p>
              </w:tc>
            </w:tr>
            <w:tr w14:paraId="4BEAA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565DD27F">
                  <w:pPr>
                    <w:spacing w:line="240" w:lineRule="auto"/>
                    <w:ind w:firstLine="0" w:firstLineChars="0"/>
                    <w:jc w:val="center"/>
                    <w:rPr>
                      <w:sz w:val="21"/>
                      <w:szCs w:val="21"/>
                    </w:rPr>
                  </w:pPr>
                  <w:r>
                    <w:rPr>
                      <w:rFonts w:hint="eastAsia"/>
                      <w:sz w:val="21"/>
                      <w:szCs w:val="21"/>
                    </w:rPr>
                    <w:t>甲醇</w:t>
                  </w:r>
                </w:p>
              </w:tc>
              <w:tc>
                <w:tcPr>
                  <w:tcW w:w="1660" w:type="dxa"/>
                  <w:vAlign w:val="center"/>
                </w:tcPr>
                <w:p w14:paraId="09793AAD">
                  <w:pPr>
                    <w:spacing w:line="240" w:lineRule="auto"/>
                    <w:ind w:firstLine="0" w:firstLineChars="0"/>
                    <w:jc w:val="center"/>
                    <w:rPr>
                      <w:sz w:val="21"/>
                      <w:szCs w:val="21"/>
                    </w:rPr>
                  </w:pPr>
                  <w:r>
                    <w:rPr>
                      <w:rFonts w:hint="eastAsia"/>
                      <w:sz w:val="21"/>
                      <w:szCs w:val="21"/>
                    </w:rPr>
                    <w:t>-</w:t>
                  </w:r>
                </w:p>
              </w:tc>
              <w:tc>
                <w:tcPr>
                  <w:tcW w:w="1312" w:type="dxa"/>
                  <w:vAlign w:val="center"/>
                </w:tcPr>
                <w:p w14:paraId="30967D32">
                  <w:pPr>
                    <w:spacing w:line="240" w:lineRule="auto"/>
                    <w:ind w:firstLine="0" w:firstLineChars="0"/>
                    <w:jc w:val="center"/>
                    <w:rPr>
                      <w:sz w:val="21"/>
                      <w:szCs w:val="21"/>
                    </w:rPr>
                  </w:pPr>
                  <w:r>
                    <w:rPr>
                      <w:rFonts w:hint="eastAsia"/>
                      <w:sz w:val="21"/>
                      <w:szCs w:val="21"/>
                    </w:rPr>
                    <w:t>-</w:t>
                  </w:r>
                </w:p>
              </w:tc>
              <w:tc>
                <w:tcPr>
                  <w:tcW w:w="1534" w:type="dxa"/>
                  <w:vAlign w:val="center"/>
                </w:tcPr>
                <w:p w14:paraId="7C2AB178">
                  <w:pPr>
                    <w:spacing w:line="240" w:lineRule="auto"/>
                    <w:ind w:firstLine="0" w:firstLineChars="0"/>
                    <w:jc w:val="center"/>
                    <w:rPr>
                      <w:sz w:val="21"/>
                      <w:szCs w:val="21"/>
                    </w:rPr>
                  </w:pPr>
                  <w:r>
                    <w:rPr>
                      <w:rFonts w:hint="eastAsia"/>
                      <w:sz w:val="21"/>
                      <w:szCs w:val="21"/>
                    </w:rPr>
                    <w:t>-42.1</w:t>
                  </w:r>
                  <w:r>
                    <w:rPr>
                      <w:sz w:val="21"/>
                      <w:szCs w:val="21"/>
                    </w:rPr>
                    <w:t>℃</w:t>
                  </w:r>
                </w:p>
              </w:tc>
              <w:tc>
                <w:tcPr>
                  <w:tcW w:w="1940" w:type="dxa"/>
                  <w:vAlign w:val="center"/>
                </w:tcPr>
                <w:p w14:paraId="22B271E7">
                  <w:pPr>
                    <w:spacing w:line="240" w:lineRule="auto"/>
                    <w:ind w:firstLine="0" w:firstLineChars="0"/>
                    <w:jc w:val="center"/>
                    <w:rPr>
                      <w:sz w:val="21"/>
                      <w:szCs w:val="21"/>
                    </w:rPr>
                  </w:pPr>
                  <w:r>
                    <w:rPr>
                      <w:rFonts w:hint="eastAsia"/>
                      <w:sz w:val="21"/>
                      <w:szCs w:val="21"/>
                    </w:rPr>
                    <w:t>-187.6</w:t>
                  </w:r>
                  <w:r>
                    <w:rPr>
                      <w:sz w:val="21"/>
                      <w:szCs w:val="21"/>
                    </w:rPr>
                    <w:t>℃</w:t>
                  </w:r>
                </w:p>
              </w:tc>
            </w:tr>
            <w:tr w14:paraId="421CC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03386B01">
                  <w:pPr>
                    <w:spacing w:line="240" w:lineRule="auto"/>
                    <w:ind w:firstLine="0" w:firstLineChars="0"/>
                    <w:jc w:val="center"/>
                    <w:rPr>
                      <w:sz w:val="21"/>
                      <w:szCs w:val="21"/>
                    </w:rPr>
                  </w:pPr>
                  <w:r>
                    <w:rPr>
                      <w:sz w:val="21"/>
                      <w:szCs w:val="21"/>
                    </w:rPr>
                    <w:t>闪点（开口）</w:t>
                  </w:r>
                </w:p>
              </w:tc>
              <w:tc>
                <w:tcPr>
                  <w:tcW w:w="1660" w:type="dxa"/>
                  <w:vAlign w:val="center"/>
                </w:tcPr>
                <w:p w14:paraId="3B2F7425">
                  <w:pPr>
                    <w:spacing w:line="240" w:lineRule="auto"/>
                    <w:ind w:firstLine="0" w:firstLineChars="0"/>
                    <w:jc w:val="center"/>
                    <w:rPr>
                      <w:sz w:val="21"/>
                      <w:szCs w:val="21"/>
                    </w:rPr>
                  </w:pPr>
                  <w:r>
                    <w:rPr>
                      <w:sz w:val="21"/>
                      <w:szCs w:val="21"/>
                    </w:rPr>
                    <w:t>蒸汽压（</w:t>
                  </w:r>
                  <w:r>
                    <w:rPr>
                      <w:rFonts w:hint="eastAsia"/>
                      <w:sz w:val="21"/>
                      <w:szCs w:val="21"/>
                    </w:rPr>
                    <w:t>204</w:t>
                  </w:r>
                  <w:r>
                    <w:rPr>
                      <w:sz w:val="21"/>
                      <w:szCs w:val="21"/>
                    </w:rPr>
                    <w:t>℃）</w:t>
                  </w:r>
                </w:p>
              </w:tc>
              <w:tc>
                <w:tcPr>
                  <w:tcW w:w="1312" w:type="dxa"/>
                  <w:vAlign w:val="center"/>
                </w:tcPr>
                <w:p w14:paraId="5789D976">
                  <w:pPr>
                    <w:spacing w:line="240" w:lineRule="auto"/>
                    <w:ind w:firstLine="0" w:firstLineChars="0"/>
                    <w:jc w:val="center"/>
                    <w:rPr>
                      <w:sz w:val="21"/>
                      <w:szCs w:val="21"/>
                    </w:rPr>
                  </w:pPr>
                  <w:r>
                    <w:rPr>
                      <w:sz w:val="21"/>
                      <w:szCs w:val="21"/>
                    </w:rPr>
                    <w:t>引燃温度</w:t>
                  </w:r>
                </w:p>
              </w:tc>
              <w:tc>
                <w:tcPr>
                  <w:tcW w:w="1534" w:type="dxa"/>
                  <w:vAlign w:val="center"/>
                </w:tcPr>
                <w:p w14:paraId="48FBBBE4">
                  <w:pPr>
                    <w:spacing w:line="240" w:lineRule="auto"/>
                    <w:ind w:firstLine="0" w:firstLineChars="0"/>
                    <w:jc w:val="center"/>
                    <w:rPr>
                      <w:sz w:val="21"/>
                      <w:szCs w:val="21"/>
                    </w:rPr>
                  </w:pPr>
                  <w:r>
                    <w:rPr>
                      <w:sz w:val="21"/>
                      <w:szCs w:val="21"/>
                    </w:rPr>
                    <w:t>密度（水=1）</w:t>
                  </w:r>
                </w:p>
              </w:tc>
              <w:tc>
                <w:tcPr>
                  <w:tcW w:w="1940" w:type="dxa"/>
                  <w:vAlign w:val="center"/>
                </w:tcPr>
                <w:p w14:paraId="6347AF84">
                  <w:pPr>
                    <w:spacing w:line="240" w:lineRule="auto"/>
                    <w:ind w:firstLine="0" w:firstLineChars="0"/>
                    <w:jc w:val="center"/>
                    <w:rPr>
                      <w:sz w:val="21"/>
                      <w:szCs w:val="21"/>
                    </w:rPr>
                  </w:pPr>
                  <w:r>
                    <w:rPr>
                      <w:sz w:val="21"/>
                      <w:szCs w:val="21"/>
                    </w:rPr>
                    <w:t>爆炸下限</w:t>
                  </w:r>
                </w:p>
              </w:tc>
            </w:tr>
            <w:tr w14:paraId="402B0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1121DDB9">
                  <w:pPr>
                    <w:spacing w:line="240" w:lineRule="auto"/>
                    <w:ind w:firstLine="0" w:firstLineChars="0"/>
                    <w:jc w:val="center"/>
                    <w:rPr>
                      <w:sz w:val="21"/>
                      <w:szCs w:val="21"/>
                    </w:rPr>
                  </w:pPr>
                  <w:r>
                    <w:rPr>
                      <w:rFonts w:hint="eastAsia"/>
                      <w:sz w:val="21"/>
                      <w:szCs w:val="21"/>
                    </w:rPr>
                    <w:t>-104</w:t>
                  </w:r>
                  <w:r>
                    <w:rPr>
                      <w:sz w:val="21"/>
                      <w:szCs w:val="21"/>
                    </w:rPr>
                    <w:t>℃</w:t>
                  </w:r>
                </w:p>
              </w:tc>
              <w:tc>
                <w:tcPr>
                  <w:tcW w:w="1660" w:type="dxa"/>
                  <w:vAlign w:val="center"/>
                </w:tcPr>
                <w:p w14:paraId="2110FC5E">
                  <w:pPr>
                    <w:spacing w:line="240" w:lineRule="auto"/>
                    <w:ind w:firstLine="0" w:firstLineChars="0"/>
                    <w:jc w:val="center"/>
                    <w:rPr>
                      <w:sz w:val="21"/>
                      <w:szCs w:val="21"/>
                    </w:rPr>
                  </w:pPr>
                  <w:r>
                    <w:rPr>
                      <w:rFonts w:hint="eastAsia"/>
                      <w:sz w:val="21"/>
                      <w:szCs w:val="21"/>
                    </w:rPr>
                    <w:t>1.56</w:t>
                  </w:r>
                </w:p>
              </w:tc>
              <w:tc>
                <w:tcPr>
                  <w:tcW w:w="1312" w:type="dxa"/>
                  <w:vAlign w:val="center"/>
                </w:tcPr>
                <w:p w14:paraId="0FA55659">
                  <w:pPr>
                    <w:spacing w:line="240" w:lineRule="auto"/>
                    <w:ind w:firstLine="0" w:firstLineChars="0"/>
                    <w:jc w:val="center"/>
                    <w:rPr>
                      <w:sz w:val="21"/>
                      <w:szCs w:val="21"/>
                    </w:rPr>
                  </w:pPr>
                  <w:r>
                    <w:rPr>
                      <w:rFonts w:hint="eastAsia"/>
                      <w:sz w:val="21"/>
                      <w:szCs w:val="21"/>
                    </w:rPr>
                    <w:t>450</w:t>
                  </w:r>
                  <w:r>
                    <w:rPr>
                      <w:sz w:val="21"/>
                      <w:szCs w:val="21"/>
                    </w:rPr>
                    <w:t>℃</w:t>
                  </w:r>
                </w:p>
              </w:tc>
              <w:tc>
                <w:tcPr>
                  <w:tcW w:w="1534" w:type="dxa"/>
                  <w:vAlign w:val="center"/>
                </w:tcPr>
                <w:p w14:paraId="175AACAE">
                  <w:pPr>
                    <w:spacing w:line="240" w:lineRule="auto"/>
                    <w:ind w:firstLine="0" w:firstLineChars="0"/>
                    <w:jc w:val="center"/>
                    <w:rPr>
                      <w:sz w:val="21"/>
                      <w:szCs w:val="21"/>
                    </w:rPr>
                  </w:pPr>
                  <w:r>
                    <w:rPr>
                      <w:rFonts w:hint="eastAsia"/>
                      <w:sz w:val="21"/>
                      <w:szCs w:val="21"/>
                    </w:rPr>
                    <w:t>0.58（-44.5</w:t>
                  </w:r>
                  <w:r>
                    <w:rPr>
                      <w:sz w:val="21"/>
                      <w:szCs w:val="21"/>
                    </w:rPr>
                    <w:t>℃</w:t>
                  </w:r>
                  <w:r>
                    <w:rPr>
                      <w:rFonts w:hint="eastAsia"/>
                      <w:sz w:val="21"/>
                      <w:szCs w:val="21"/>
                    </w:rPr>
                    <w:t>）</w:t>
                  </w:r>
                </w:p>
              </w:tc>
              <w:tc>
                <w:tcPr>
                  <w:tcW w:w="1940" w:type="dxa"/>
                  <w:vAlign w:val="center"/>
                </w:tcPr>
                <w:p w14:paraId="00003E70">
                  <w:pPr>
                    <w:spacing w:line="240" w:lineRule="auto"/>
                    <w:ind w:firstLine="0" w:firstLineChars="0"/>
                    <w:jc w:val="center"/>
                    <w:rPr>
                      <w:sz w:val="21"/>
                      <w:szCs w:val="21"/>
                    </w:rPr>
                  </w:pPr>
                  <w:r>
                    <w:rPr>
                      <w:rFonts w:hint="eastAsia"/>
                      <w:sz w:val="21"/>
                      <w:szCs w:val="21"/>
                    </w:rPr>
                    <w:t>2.1</w:t>
                  </w:r>
                </w:p>
              </w:tc>
            </w:tr>
            <w:tr w14:paraId="28738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6A703EE8">
                  <w:pPr>
                    <w:spacing w:line="240" w:lineRule="auto"/>
                    <w:ind w:firstLine="0" w:firstLineChars="0"/>
                    <w:jc w:val="center"/>
                    <w:rPr>
                      <w:sz w:val="21"/>
                      <w:szCs w:val="21"/>
                    </w:rPr>
                  </w:pPr>
                  <w:r>
                    <w:rPr>
                      <w:rFonts w:hint="eastAsia"/>
                      <w:sz w:val="21"/>
                      <w:szCs w:val="21"/>
                    </w:rPr>
                    <w:t>形状和溶解性</w:t>
                  </w:r>
                </w:p>
              </w:tc>
              <w:tc>
                <w:tcPr>
                  <w:tcW w:w="6446" w:type="dxa"/>
                  <w:gridSpan w:val="4"/>
                  <w:vAlign w:val="center"/>
                </w:tcPr>
                <w:p w14:paraId="5D6C7CE6">
                  <w:pPr>
                    <w:spacing w:line="240" w:lineRule="auto"/>
                    <w:ind w:firstLine="0" w:firstLineChars="0"/>
                    <w:jc w:val="center"/>
                    <w:rPr>
                      <w:sz w:val="21"/>
                      <w:szCs w:val="21"/>
                    </w:rPr>
                  </w:pPr>
                  <w:r>
                    <w:rPr>
                      <w:rFonts w:hint="eastAsia"/>
                      <w:sz w:val="21"/>
                      <w:szCs w:val="21"/>
                    </w:rPr>
                    <w:t>无色气体、纯品无臭，微溶于水、溶于乙醇、乙醚、易燃。</w:t>
                  </w:r>
                </w:p>
              </w:tc>
            </w:tr>
            <w:tr w14:paraId="28FB8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4073E2EF">
                  <w:pPr>
                    <w:spacing w:line="240" w:lineRule="auto"/>
                    <w:ind w:firstLine="0" w:firstLineChars="0"/>
                    <w:jc w:val="center"/>
                    <w:rPr>
                      <w:sz w:val="21"/>
                      <w:szCs w:val="21"/>
                    </w:rPr>
                  </w:pPr>
                  <w:r>
                    <w:rPr>
                      <w:sz w:val="21"/>
                      <w:szCs w:val="21"/>
                    </w:rPr>
                    <w:t>储存注意</w:t>
                  </w:r>
                </w:p>
              </w:tc>
              <w:tc>
                <w:tcPr>
                  <w:tcW w:w="6446" w:type="dxa"/>
                  <w:gridSpan w:val="4"/>
                  <w:vAlign w:val="center"/>
                </w:tcPr>
                <w:p w14:paraId="04EFB44E">
                  <w:pPr>
                    <w:spacing w:line="240" w:lineRule="auto"/>
                    <w:ind w:firstLine="0" w:firstLineChars="0"/>
                    <w:jc w:val="center"/>
                    <w:rPr>
                      <w:sz w:val="21"/>
                      <w:szCs w:val="21"/>
                    </w:rPr>
                  </w:pPr>
                  <w:r>
                    <w:rPr>
                      <w:rFonts w:hint="eastAsia"/>
                      <w:sz w:val="21"/>
                      <w:szCs w:val="21"/>
                    </w:rPr>
                    <w:t>储存于阴凉、通风的库房。远离火种、热源。库温不宜超过30℃.应与氧化剂、卤素分开存放，切忌混储。采用防爆型照明、通风设施。禁止使用易产生火花的机械设备和工具。储区应备有泄漏应急处理设备。</w:t>
                  </w:r>
                </w:p>
              </w:tc>
            </w:tr>
            <w:tr w14:paraId="01595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Align w:val="center"/>
                </w:tcPr>
                <w:p w14:paraId="132CE8A6">
                  <w:pPr>
                    <w:spacing w:line="240" w:lineRule="auto"/>
                    <w:ind w:firstLine="0" w:firstLineChars="0"/>
                    <w:jc w:val="center"/>
                    <w:rPr>
                      <w:sz w:val="21"/>
                      <w:szCs w:val="21"/>
                    </w:rPr>
                  </w:pPr>
                  <w:r>
                    <w:rPr>
                      <w:sz w:val="21"/>
                      <w:szCs w:val="21"/>
                    </w:rPr>
                    <w:t>健康危害</w:t>
                  </w:r>
                </w:p>
              </w:tc>
              <w:tc>
                <w:tcPr>
                  <w:tcW w:w="6446" w:type="dxa"/>
                  <w:gridSpan w:val="4"/>
                  <w:vAlign w:val="center"/>
                </w:tcPr>
                <w:p w14:paraId="14362029">
                  <w:pPr>
                    <w:spacing w:line="240" w:lineRule="auto"/>
                    <w:ind w:firstLine="0" w:firstLineChars="0"/>
                    <w:jc w:val="left"/>
                    <w:rPr>
                      <w:sz w:val="21"/>
                      <w:szCs w:val="21"/>
                    </w:rPr>
                  </w:pPr>
                  <w:r>
                    <w:rPr>
                      <w:rFonts w:hint="eastAsia"/>
                      <w:sz w:val="21"/>
                      <w:szCs w:val="21"/>
                    </w:rPr>
                    <w:t>本品有单纯性窒息及麻醉作用。人短暂接触1%丙烷，不引起症状；10%以下的浓度，只引起轻度头晕；接触高浓度时可出现麻醉状态、意识丧失；极高浓度时可致窒息。</w:t>
                  </w:r>
                </w:p>
              </w:tc>
            </w:tr>
          </w:tbl>
          <w:p w14:paraId="5D14F536">
            <w:pPr>
              <w:keepNext w:val="0"/>
              <w:keepLines w:val="0"/>
              <w:pageBreakBefore w:val="0"/>
              <w:widowControl w:val="0"/>
              <w:kinsoku/>
              <w:wordWrap/>
              <w:overflowPunct/>
              <w:topLinePunct w:val="0"/>
              <w:autoSpaceDE/>
              <w:autoSpaceDN/>
              <w:bidi w:val="0"/>
              <w:ind w:left="480" w:leftChars="200" w:firstLine="0" w:firstLineChars="0"/>
            </w:pPr>
            <w:r>
              <w:rPr>
                <w:rFonts w:hint="eastAsia"/>
              </w:rPr>
              <w:t>2、环境影响途径</w:t>
            </w:r>
          </w:p>
          <w:p w14:paraId="543610F0">
            <w:pPr>
              <w:keepNext w:val="0"/>
              <w:keepLines w:val="0"/>
              <w:pageBreakBefore w:val="0"/>
              <w:widowControl w:val="0"/>
              <w:kinsoku/>
              <w:wordWrap/>
              <w:overflowPunct/>
              <w:topLinePunct w:val="0"/>
              <w:autoSpaceDE/>
              <w:autoSpaceDN/>
              <w:bidi w:val="0"/>
              <w:ind w:firstLine="480"/>
            </w:pPr>
            <w:r>
              <w:t>本项目可能影响环境的途径分别为：</w:t>
            </w:r>
          </w:p>
          <w:p w14:paraId="6446F756">
            <w:pPr>
              <w:pStyle w:val="43"/>
              <w:keepNext w:val="0"/>
              <w:keepLines w:val="0"/>
              <w:pageBreakBefore w:val="0"/>
              <w:widowControl w:val="0"/>
              <w:kinsoku/>
              <w:wordWrap/>
              <w:overflowPunct/>
              <w:topLinePunct w:val="0"/>
              <w:autoSpaceDE/>
              <w:autoSpaceDN/>
              <w:bidi w:val="0"/>
              <w:ind w:firstLine="480"/>
              <w:rPr>
                <w:rFonts w:eastAsia="宋体"/>
                <w:kern w:val="2"/>
                <w:szCs w:val="24"/>
                <w:highlight w:val="none"/>
              </w:rPr>
            </w:pPr>
            <w:r>
              <w:rPr>
                <w:rFonts w:eastAsia="宋体"/>
                <w:kern w:val="2"/>
                <w:szCs w:val="24"/>
              </w:rPr>
              <w:t>泄漏事故：</w:t>
            </w:r>
            <w:r>
              <w:rPr>
                <w:rFonts w:hint="eastAsia" w:eastAsia="宋体"/>
                <w:kern w:val="2"/>
                <w:szCs w:val="24"/>
              </w:rPr>
              <w:t>润滑油、废润</w:t>
            </w:r>
            <w:r>
              <w:rPr>
                <w:rFonts w:hint="eastAsia" w:eastAsia="宋体"/>
                <w:kern w:val="2"/>
                <w:szCs w:val="24"/>
                <w:highlight w:val="none"/>
              </w:rPr>
              <w:t>滑油、液压油、废液压油、切削液、废切削液、</w:t>
            </w:r>
            <w:r>
              <w:rPr>
                <w:rFonts w:hint="eastAsia" w:eastAsia="宋体"/>
                <w:kern w:val="2"/>
                <w:szCs w:val="24"/>
                <w:highlight w:val="none"/>
                <w:lang w:eastAsia="zh-CN"/>
              </w:rPr>
              <w:t>淬火油</w:t>
            </w:r>
            <w:r>
              <w:rPr>
                <w:rFonts w:hint="eastAsia" w:eastAsia="宋体"/>
                <w:kern w:val="2"/>
                <w:szCs w:val="24"/>
                <w:highlight w:val="none"/>
              </w:rPr>
              <w:t>、废</w:t>
            </w:r>
            <w:r>
              <w:rPr>
                <w:rFonts w:hint="eastAsia" w:eastAsia="宋体"/>
                <w:kern w:val="2"/>
                <w:szCs w:val="24"/>
                <w:highlight w:val="none"/>
                <w:lang w:eastAsia="zh-CN"/>
              </w:rPr>
              <w:t>淬火油</w:t>
            </w:r>
            <w:r>
              <w:rPr>
                <w:rFonts w:hint="eastAsia" w:eastAsia="宋体"/>
                <w:kern w:val="2"/>
                <w:szCs w:val="24"/>
                <w:highlight w:val="none"/>
              </w:rPr>
              <w:t>、甲醇、丙烷、油污、废活性炭泄漏</w:t>
            </w:r>
            <w:r>
              <w:rPr>
                <w:rFonts w:eastAsia="宋体"/>
                <w:kern w:val="2"/>
                <w:szCs w:val="24"/>
                <w:highlight w:val="none"/>
              </w:rPr>
              <w:t>主要为因碰撞、包装不合格、设备损坏等原因导致泄漏，污染地下水</w:t>
            </w:r>
            <w:r>
              <w:rPr>
                <w:rFonts w:hint="eastAsia" w:eastAsia="宋体"/>
                <w:kern w:val="2"/>
                <w:szCs w:val="24"/>
                <w:highlight w:val="none"/>
              </w:rPr>
              <w:t>或大气</w:t>
            </w:r>
            <w:r>
              <w:rPr>
                <w:rFonts w:eastAsia="宋体"/>
                <w:kern w:val="2"/>
                <w:szCs w:val="24"/>
                <w:highlight w:val="none"/>
              </w:rPr>
              <w:t>；或于雨天发生泄漏，随雨水散排流出厂界，对外界环境造成影响。</w:t>
            </w:r>
          </w:p>
          <w:p w14:paraId="25E74B3D">
            <w:pPr>
              <w:keepNext w:val="0"/>
              <w:keepLines w:val="0"/>
              <w:pageBreakBefore w:val="0"/>
              <w:widowControl w:val="0"/>
              <w:kinsoku/>
              <w:wordWrap/>
              <w:overflowPunct/>
              <w:topLinePunct w:val="0"/>
              <w:autoSpaceDE/>
              <w:autoSpaceDN/>
              <w:bidi w:val="0"/>
              <w:ind w:firstLine="480"/>
              <w:rPr>
                <w:highlight w:val="none"/>
              </w:rPr>
            </w:pPr>
            <w:r>
              <w:rPr>
                <w:highlight w:val="none"/>
              </w:rPr>
              <w:t>火灾事故次生环境风险事故：火灾事故对环境的危害主要为有毒烟雾和灭火过程中产生的消防废水散流造成的次生环境污染问题，同时消防水中携带了一定量的风险物质，若不能及时收集可能排出厂界，对外界水环境造成影响。</w:t>
            </w:r>
          </w:p>
          <w:p w14:paraId="5F355C33">
            <w:pPr>
              <w:keepNext w:val="0"/>
              <w:keepLines w:val="0"/>
              <w:pageBreakBefore w:val="0"/>
              <w:widowControl w:val="0"/>
              <w:kinsoku/>
              <w:wordWrap/>
              <w:overflowPunct/>
              <w:topLinePunct w:val="0"/>
              <w:autoSpaceDE/>
              <w:autoSpaceDN/>
              <w:bidi w:val="0"/>
              <w:ind w:left="480" w:leftChars="200" w:firstLine="0" w:firstLineChars="0"/>
              <w:rPr>
                <w:highlight w:val="none"/>
              </w:rPr>
            </w:pPr>
            <w:r>
              <w:rPr>
                <w:rFonts w:hint="eastAsia"/>
                <w:highlight w:val="none"/>
              </w:rPr>
              <w:t>3、环境风险分析</w:t>
            </w:r>
          </w:p>
          <w:p w14:paraId="054D3DBD">
            <w:pPr>
              <w:keepNext w:val="0"/>
              <w:keepLines w:val="0"/>
              <w:pageBreakBefore w:val="0"/>
              <w:widowControl w:val="0"/>
              <w:kinsoku/>
              <w:wordWrap/>
              <w:overflowPunct/>
              <w:topLinePunct w:val="0"/>
              <w:autoSpaceDE/>
              <w:autoSpaceDN/>
              <w:bidi w:val="0"/>
              <w:ind w:firstLine="480"/>
            </w:pPr>
            <w:r>
              <w:rPr>
                <w:highlight w:val="none"/>
              </w:rPr>
              <w:t>泄漏事故：</w:t>
            </w:r>
            <w:r>
              <w:rPr>
                <w:rFonts w:hint="eastAsia"/>
                <w:highlight w:val="none"/>
              </w:rPr>
              <w:t>润滑油、废润滑油、液压油、废液压油、切削液、废切削液、</w:t>
            </w:r>
            <w:r>
              <w:rPr>
                <w:rFonts w:hint="eastAsia"/>
                <w:highlight w:val="none"/>
                <w:lang w:eastAsia="zh-CN"/>
              </w:rPr>
              <w:t>淬火油</w:t>
            </w:r>
            <w:r>
              <w:rPr>
                <w:rFonts w:hint="eastAsia"/>
                <w:highlight w:val="none"/>
              </w:rPr>
              <w:t>、废</w:t>
            </w:r>
            <w:r>
              <w:rPr>
                <w:rFonts w:hint="eastAsia"/>
                <w:highlight w:val="none"/>
                <w:lang w:eastAsia="zh-CN"/>
              </w:rPr>
              <w:t>淬火油</w:t>
            </w:r>
            <w:r>
              <w:rPr>
                <w:rFonts w:hint="eastAsia"/>
                <w:highlight w:val="none"/>
              </w:rPr>
              <w:t>、甲醇、油污</w:t>
            </w:r>
            <w:r>
              <w:rPr>
                <w:highlight w:val="none"/>
              </w:rPr>
              <w:t>在生产使用区及储存区泄漏时，生产使用区及储存区均设置防渗、防流失措施，不会溢流</w:t>
            </w:r>
            <w:r>
              <w:t>出生产使用区及储存区，不会对外界环境产生影响。风险物质在厂区运输过程泄漏，泄漏量较小，基本能够将泄漏物围堵在厂区范围内，基本不会对外部水环境产生影响。</w:t>
            </w:r>
            <w:r>
              <w:rPr>
                <w:rFonts w:hint="eastAsia"/>
              </w:rPr>
              <w:t>丙烷</w:t>
            </w:r>
            <w:r>
              <w:rPr>
                <w:rFonts w:hint="eastAsia"/>
                <w:lang w:eastAsia="zh-CN"/>
              </w:rPr>
              <w:t>或</w:t>
            </w:r>
            <w:r>
              <w:rPr>
                <w:rFonts w:hint="eastAsia"/>
              </w:rPr>
              <w:t>废活性炭泄漏</w:t>
            </w:r>
            <w:r>
              <w:rPr>
                <w:rFonts w:hint="eastAsia"/>
                <w:lang w:eastAsia="zh-CN"/>
              </w:rPr>
              <w:t>时，</w:t>
            </w:r>
            <w:r>
              <w:rPr>
                <w:rFonts w:hint="eastAsia"/>
              </w:rPr>
              <w:t>迅速撤离泄漏污染区人员至上风处，并进行隔离，严格控制出入。切断火源、气源。建议应急处理人员戴自给式正压呼吸器，穿防静电工作服。尽可能切断泄露气源。合理通风，加速扩散。喷雾状水稀释、溶解。构筑围堤或挖坑收容产生的大量废水。如有可能，将漏出气用引风机送至空旷地方或装设适当喷头烧掉。漏气容器要妥善处修复、检修后再用。丙烷气瓶夹具等连接处泄漏，可关闭瓶阀，更换垫片处置。漏气容器和气瓶要妥善处理，严禁用户自行焊补、任意敲打等，应送专业检验单位修复并作检验合格后再用。</w:t>
            </w:r>
          </w:p>
          <w:p w14:paraId="19D2E7DD">
            <w:pPr>
              <w:keepNext w:val="0"/>
              <w:keepLines w:val="0"/>
              <w:pageBreakBefore w:val="0"/>
              <w:widowControl w:val="0"/>
              <w:kinsoku/>
              <w:wordWrap/>
              <w:overflowPunct/>
              <w:topLinePunct w:val="0"/>
              <w:autoSpaceDE/>
              <w:autoSpaceDN/>
              <w:bidi w:val="0"/>
              <w:ind w:firstLine="480"/>
            </w:pPr>
            <w:r>
              <w:t>火灾本身是安全事故，但会产生消防废水，最坏情景是消防废水未控制住溢漏出厂外，本项目泄漏量小，对环境影响不大。</w:t>
            </w:r>
          </w:p>
          <w:p w14:paraId="3CC41130">
            <w:pPr>
              <w:keepNext w:val="0"/>
              <w:keepLines w:val="0"/>
              <w:pageBreakBefore w:val="0"/>
              <w:widowControl w:val="0"/>
              <w:kinsoku/>
              <w:wordWrap/>
              <w:overflowPunct/>
              <w:topLinePunct w:val="0"/>
              <w:autoSpaceDE/>
              <w:autoSpaceDN/>
              <w:bidi w:val="0"/>
              <w:ind w:firstLine="480"/>
            </w:pPr>
            <w:r>
              <w:rPr>
                <w:rFonts w:hint="eastAsia"/>
              </w:rPr>
              <w:t>4、环境风险防范措施及应急措施</w:t>
            </w:r>
          </w:p>
          <w:p w14:paraId="3AEA1EFE">
            <w:pPr>
              <w:pStyle w:val="43"/>
              <w:keepNext w:val="0"/>
              <w:keepLines w:val="0"/>
              <w:pageBreakBefore w:val="0"/>
              <w:widowControl w:val="0"/>
              <w:kinsoku/>
              <w:wordWrap/>
              <w:overflowPunct/>
              <w:topLinePunct w:val="0"/>
              <w:autoSpaceDE/>
              <w:autoSpaceDN/>
              <w:bidi w:val="0"/>
              <w:ind w:firstLine="480"/>
              <w:rPr>
                <w:rFonts w:eastAsia="宋体"/>
                <w:kern w:val="2"/>
                <w:szCs w:val="24"/>
              </w:rPr>
            </w:pPr>
            <w:r>
              <w:rPr>
                <w:rFonts w:hint="eastAsia" w:eastAsia="宋体"/>
                <w:kern w:val="2"/>
                <w:szCs w:val="24"/>
              </w:rPr>
              <w:t>（1）风险防范措施</w:t>
            </w:r>
          </w:p>
          <w:p w14:paraId="6F1B47DE">
            <w:pPr>
              <w:pStyle w:val="43"/>
              <w:keepNext w:val="0"/>
              <w:keepLines w:val="0"/>
              <w:pageBreakBefore w:val="0"/>
              <w:widowControl w:val="0"/>
              <w:kinsoku/>
              <w:wordWrap/>
              <w:overflowPunct/>
              <w:topLinePunct w:val="0"/>
              <w:autoSpaceDE/>
              <w:autoSpaceDN/>
              <w:bidi w:val="0"/>
              <w:ind w:firstLine="480"/>
              <w:rPr>
                <w:rFonts w:eastAsia="宋体"/>
                <w:kern w:val="2"/>
                <w:szCs w:val="24"/>
              </w:rPr>
            </w:pPr>
            <w:r>
              <w:rPr>
                <w:rFonts w:hint="eastAsia" w:eastAsia="宋体"/>
                <w:kern w:val="2"/>
                <w:szCs w:val="24"/>
              </w:rPr>
              <w:fldChar w:fldCharType="begin"/>
            </w:r>
            <w:r>
              <w:rPr>
                <w:rFonts w:hint="eastAsia" w:eastAsia="宋体"/>
                <w:kern w:val="2"/>
                <w:szCs w:val="24"/>
              </w:rPr>
              <w:instrText xml:space="preserve"> = 1 \* GB3 \* MERGEFORMAT </w:instrText>
            </w:r>
            <w:r>
              <w:rPr>
                <w:rFonts w:hint="eastAsia" w:eastAsia="宋体"/>
                <w:kern w:val="2"/>
                <w:szCs w:val="24"/>
              </w:rPr>
              <w:fldChar w:fldCharType="separate"/>
            </w:r>
            <w:r>
              <w:t>①</w:t>
            </w:r>
            <w:r>
              <w:rPr>
                <w:rFonts w:hint="eastAsia" w:eastAsia="宋体"/>
                <w:kern w:val="2"/>
                <w:szCs w:val="24"/>
              </w:rPr>
              <w:fldChar w:fldCharType="end"/>
            </w:r>
            <w:r>
              <w:rPr>
                <w:rFonts w:hint="eastAsia" w:eastAsia="宋体"/>
                <w:kern w:val="2"/>
                <w:szCs w:val="24"/>
              </w:rPr>
              <w:t>企业应</w:t>
            </w:r>
            <w:r>
              <w:rPr>
                <w:rFonts w:eastAsia="宋体"/>
                <w:kern w:val="2"/>
                <w:szCs w:val="24"/>
              </w:rPr>
              <w:t>配备较好的设备和相应的抢险设施、风险物质储存区有防扬散、防流失、防渗漏等防治措施并参照国家标准《危险废物贮存污染控制标准》</w:t>
            </w:r>
            <w:r>
              <w:rPr>
                <w:rFonts w:hint="eastAsia" w:eastAsia="宋体"/>
                <w:kern w:val="2"/>
                <w:szCs w:val="24"/>
              </w:rPr>
              <w:t>（</w:t>
            </w:r>
            <w:r>
              <w:rPr>
                <w:rFonts w:eastAsia="宋体"/>
                <w:kern w:val="2"/>
                <w:szCs w:val="24"/>
              </w:rPr>
              <w:t>GB18597-2001</w:t>
            </w:r>
            <w:r>
              <w:rPr>
                <w:rFonts w:hint="eastAsia" w:eastAsia="宋体"/>
                <w:kern w:val="2"/>
                <w:szCs w:val="24"/>
              </w:rPr>
              <w:t>）</w:t>
            </w:r>
            <w:r>
              <w:rPr>
                <w:rFonts w:eastAsia="宋体"/>
                <w:kern w:val="2"/>
                <w:szCs w:val="24"/>
              </w:rPr>
              <w:t>和《危险废物收集贮存运输技术规范》</w:t>
            </w:r>
            <w:r>
              <w:rPr>
                <w:rFonts w:hint="eastAsia" w:eastAsia="宋体"/>
                <w:kern w:val="2"/>
                <w:szCs w:val="24"/>
              </w:rPr>
              <w:t>（</w:t>
            </w:r>
            <w:r>
              <w:rPr>
                <w:rFonts w:eastAsia="宋体"/>
                <w:kern w:val="2"/>
                <w:szCs w:val="24"/>
              </w:rPr>
              <w:t>HJ2025-2012</w:t>
            </w:r>
            <w:r>
              <w:rPr>
                <w:rFonts w:hint="eastAsia" w:eastAsia="宋体"/>
                <w:kern w:val="2"/>
                <w:szCs w:val="24"/>
              </w:rPr>
              <w:t>）</w:t>
            </w:r>
            <w:r>
              <w:rPr>
                <w:rFonts w:eastAsia="宋体"/>
                <w:kern w:val="2"/>
                <w:szCs w:val="24"/>
              </w:rPr>
              <w:t>的要求进行设计</w:t>
            </w:r>
            <w:r>
              <w:rPr>
                <w:rFonts w:hint="eastAsia" w:eastAsia="宋体"/>
                <w:kern w:val="2"/>
                <w:szCs w:val="24"/>
              </w:rPr>
              <w:t>，并编制突发环境应急预案</w:t>
            </w:r>
            <w:r>
              <w:rPr>
                <w:rFonts w:eastAsia="宋体"/>
                <w:kern w:val="2"/>
                <w:szCs w:val="24"/>
              </w:rPr>
              <w:t>。</w:t>
            </w:r>
          </w:p>
          <w:p w14:paraId="7D987AE9">
            <w:pPr>
              <w:pStyle w:val="43"/>
              <w:keepNext w:val="0"/>
              <w:keepLines w:val="0"/>
              <w:pageBreakBefore w:val="0"/>
              <w:widowControl w:val="0"/>
              <w:kinsoku/>
              <w:wordWrap/>
              <w:overflowPunct/>
              <w:topLinePunct w:val="0"/>
              <w:autoSpaceDE/>
              <w:autoSpaceDN/>
              <w:bidi w:val="0"/>
              <w:ind w:firstLine="480"/>
              <w:rPr>
                <w:rFonts w:eastAsia="宋体"/>
                <w:kern w:val="2"/>
                <w:szCs w:val="24"/>
              </w:rPr>
            </w:pPr>
            <w:r>
              <w:rPr>
                <w:rFonts w:hint="eastAsia" w:eastAsia="宋体"/>
                <w:kern w:val="2"/>
                <w:szCs w:val="24"/>
              </w:rPr>
              <w:fldChar w:fldCharType="begin"/>
            </w:r>
            <w:r>
              <w:rPr>
                <w:rFonts w:hint="eastAsia" w:eastAsia="宋体"/>
                <w:kern w:val="2"/>
                <w:szCs w:val="24"/>
              </w:rPr>
              <w:instrText xml:space="preserve"> = 2 \* GB3 \* MERGEFORMAT </w:instrText>
            </w:r>
            <w:r>
              <w:rPr>
                <w:rFonts w:hint="eastAsia" w:eastAsia="宋体"/>
                <w:kern w:val="2"/>
                <w:szCs w:val="24"/>
              </w:rPr>
              <w:fldChar w:fldCharType="separate"/>
            </w:r>
            <w:r>
              <w:t>②</w:t>
            </w:r>
            <w:r>
              <w:rPr>
                <w:rFonts w:hint="eastAsia" w:eastAsia="宋体"/>
                <w:kern w:val="2"/>
                <w:szCs w:val="24"/>
              </w:rPr>
              <w:fldChar w:fldCharType="end"/>
            </w:r>
            <w:r>
              <w:rPr>
                <w:rFonts w:hint="eastAsia" w:eastAsia="宋体"/>
                <w:kern w:val="2"/>
                <w:szCs w:val="24"/>
              </w:rPr>
              <w:t>危废暂存间</w:t>
            </w:r>
            <w:r>
              <w:rPr>
                <w:rFonts w:eastAsia="宋体"/>
                <w:kern w:val="2"/>
                <w:szCs w:val="24"/>
              </w:rPr>
              <w:t>还应保持地面平滑无开裂、采用刷环氧地坪漆等方式进行进一步的防渗处理，门口设置围挡或斜坡，如果发生泄漏事故，确保风险物质不会溢流出上述区域，避免对水环境、土壤和大气环境造成影响。</w:t>
            </w:r>
          </w:p>
          <w:p w14:paraId="2EC8FC03">
            <w:pPr>
              <w:pStyle w:val="43"/>
              <w:keepNext w:val="0"/>
              <w:keepLines w:val="0"/>
              <w:pageBreakBefore w:val="0"/>
              <w:widowControl w:val="0"/>
              <w:kinsoku/>
              <w:wordWrap/>
              <w:overflowPunct/>
              <w:topLinePunct w:val="0"/>
              <w:autoSpaceDE/>
              <w:autoSpaceDN/>
              <w:bidi w:val="0"/>
              <w:ind w:firstLine="480"/>
              <w:rPr>
                <w:rFonts w:eastAsia="宋体"/>
                <w:kern w:val="2"/>
                <w:szCs w:val="24"/>
                <w:highlight w:val="none"/>
              </w:rPr>
            </w:pPr>
            <w:r>
              <w:rPr>
                <w:rFonts w:eastAsia="宋体"/>
                <w:kern w:val="2"/>
                <w:szCs w:val="24"/>
                <w:highlight w:val="none"/>
              </w:rPr>
              <w:fldChar w:fldCharType="begin"/>
            </w:r>
            <w:r>
              <w:rPr>
                <w:rFonts w:eastAsia="宋体"/>
                <w:kern w:val="2"/>
                <w:szCs w:val="24"/>
                <w:highlight w:val="none"/>
              </w:rPr>
              <w:instrText xml:space="preserve"> = 3 \* GB3 \* MERGEFORMAT </w:instrText>
            </w:r>
            <w:r>
              <w:rPr>
                <w:rFonts w:eastAsia="宋体"/>
                <w:kern w:val="2"/>
                <w:szCs w:val="24"/>
                <w:highlight w:val="none"/>
              </w:rPr>
              <w:fldChar w:fldCharType="separate"/>
            </w:r>
            <w:r>
              <w:rPr>
                <w:highlight w:val="none"/>
              </w:rPr>
              <w:t>③</w:t>
            </w:r>
            <w:r>
              <w:rPr>
                <w:rFonts w:eastAsia="宋体"/>
                <w:kern w:val="2"/>
                <w:szCs w:val="24"/>
                <w:highlight w:val="none"/>
              </w:rPr>
              <w:fldChar w:fldCharType="end"/>
            </w:r>
            <w:r>
              <w:rPr>
                <w:rFonts w:eastAsia="宋体"/>
                <w:kern w:val="2"/>
                <w:szCs w:val="24"/>
                <w:highlight w:val="none"/>
              </w:rPr>
              <w:t>为防止机加工设备泄漏润滑油、</w:t>
            </w:r>
            <w:r>
              <w:rPr>
                <w:rFonts w:hint="eastAsia" w:eastAsia="宋体"/>
                <w:kern w:val="2"/>
                <w:szCs w:val="24"/>
                <w:highlight w:val="none"/>
              </w:rPr>
              <w:t>切削液、液压油</w:t>
            </w:r>
            <w:r>
              <w:rPr>
                <w:rFonts w:eastAsia="宋体"/>
                <w:kern w:val="2"/>
                <w:szCs w:val="24"/>
                <w:highlight w:val="none"/>
              </w:rPr>
              <w:t>，机加工设备下方设置托盘，用于收集泄漏的</w:t>
            </w:r>
            <w:r>
              <w:rPr>
                <w:rFonts w:hint="eastAsia" w:eastAsia="宋体"/>
                <w:kern w:val="2"/>
                <w:szCs w:val="24"/>
                <w:highlight w:val="none"/>
              </w:rPr>
              <w:t>废</w:t>
            </w:r>
            <w:r>
              <w:rPr>
                <w:rFonts w:eastAsia="宋体"/>
                <w:kern w:val="2"/>
                <w:szCs w:val="24"/>
                <w:highlight w:val="none"/>
              </w:rPr>
              <w:t>润滑油、</w:t>
            </w:r>
            <w:r>
              <w:rPr>
                <w:rFonts w:hint="eastAsia" w:eastAsia="宋体"/>
                <w:kern w:val="2"/>
                <w:szCs w:val="24"/>
                <w:highlight w:val="none"/>
              </w:rPr>
              <w:t>废切削液、液压油</w:t>
            </w:r>
            <w:r>
              <w:rPr>
                <w:rFonts w:eastAsia="宋体"/>
                <w:kern w:val="2"/>
                <w:szCs w:val="24"/>
                <w:highlight w:val="none"/>
              </w:rPr>
              <w:t>。确保风险物质不会溢流，避免对水环境、土壤和大气环境造成影响。</w:t>
            </w:r>
          </w:p>
          <w:p w14:paraId="0A87C673">
            <w:pPr>
              <w:pStyle w:val="43"/>
              <w:keepNext w:val="0"/>
              <w:keepLines w:val="0"/>
              <w:pageBreakBefore w:val="0"/>
              <w:widowControl w:val="0"/>
              <w:kinsoku/>
              <w:wordWrap/>
              <w:overflowPunct/>
              <w:topLinePunct w:val="0"/>
              <w:autoSpaceDE/>
              <w:autoSpaceDN/>
              <w:bidi w:val="0"/>
              <w:ind w:firstLine="480"/>
              <w:rPr>
                <w:rFonts w:hint="eastAsia" w:eastAsia="宋体"/>
                <w:kern w:val="2"/>
                <w:szCs w:val="24"/>
                <w:highlight w:val="none"/>
                <w:lang w:eastAsia="zh-CN"/>
              </w:rPr>
            </w:pPr>
            <w:r>
              <w:rPr>
                <w:rFonts w:eastAsia="宋体"/>
                <w:kern w:val="2"/>
                <w:szCs w:val="24"/>
                <w:highlight w:val="none"/>
              </w:rPr>
              <w:fldChar w:fldCharType="begin"/>
            </w:r>
            <w:r>
              <w:rPr>
                <w:rFonts w:eastAsia="宋体"/>
                <w:kern w:val="2"/>
                <w:szCs w:val="24"/>
                <w:highlight w:val="none"/>
              </w:rPr>
              <w:instrText xml:space="preserve"> = 4 \* GB3 \* MERGEFORMAT </w:instrText>
            </w:r>
            <w:r>
              <w:rPr>
                <w:rFonts w:eastAsia="宋体"/>
                <w:kern w:val="2"/>
                <w:szCs w:val="24"/>
                <w:highlight w:val="none"/>
              </w:rPr>
              <w:fldChar w:fldCharType="separate"/>
            </w:r>
            <w:r>
              <w:rPr>
                <w:highlight w:val="none"/>
              </w:rPr>
              <w:t>④</w:t>
            </w:r>
            <w:r>
              <w:rPr>
                <w:rFonts w:eastAsia="宋体"/>
                <w:kern w:val="2"/>
                <w:szCs w:val="24"/>
                <w:highlight w:val="none"/>
              </w:rPr>
              <w:fldChar w:fldCharType="end"/>
            </w:r>
            <w:r>
              <w:rPr>
                <w:rFonts w:hint="eastAsia" w:eastAsia="宋体"/>
                <w:kern w:val="2"/>
                <w:szCs w:val="24"/>
                <w:highlight w:val="none"/>
              </w:rPr>
              <w:t>危险品运输方面，控制好车速，时常检查运输车辆胎压、磨损，轮胎散热情况</w:t>
            </w:r>
            <w:r>
              <w:rPr>
                <w:rFonts w:hint="eastAsia" w:eastAsia="宋体"/>
                <w:kern w:val="2"/>
                <w:szCs w:val="24"/>
                <w:highlight w:val="none"/>
                <w:lang w:eastAsia="zh-CN"/>
              </w:rPr>
              <w:t>。</w:t>
            </w:r>
          </w:p>
          <w:p w14:paraId="27D9DE8B">
            <w:pPr>
              <w:pStyle w:val="43"/>
              <w:keepNext w:val="0"/>
              <w:keepLines w:val="0"/>
              <w:pageBreakBefore w:val="0"/>
              <w:widowControl w:val="0"/>
              <w:kinsoku/>
              <w:wordWrap/>
              <w:overflowPunct/>
              <w:topLinePunct w:val="0"/>
              <w:autoSpaceDE/>
              <w:autoSpaceDN/>
              <w:bidi w:val="0"/>
              <w:ind w:firstLine="480"/>
              <w:rPr>
                <w:rFonts w:eastAsia="宋体"/>
                <w:kern w:val="2"/>
                <w:szCs w:val="24"/>
              </w:rPr>
            </w:pPr>
            <w:r>
              <w:rPr>
                <w:rFonts w:eastAsia="宋体"/>
                <w:kern w:val="2"/>
                <w:szCs w:val="24"/>
                <w:highlight w:val="none"/>
              </w:rPr>
              <w:fldChar w:fldCharType="begin"/>
            </w:r>
            <w:r>
              <w:rPr>
                <w:rFonts w:eastAsia="宋体"/>
                <w:kern w:val="2"/>
                <w:szCs w:val="24"/>
                <w:highlight w:val="none"/>
              </w:rPr>
              <w:instrText xml:space="preserve"> = 5 \* GB3 \* MERGEFORMAT </w:instrText>
            </w:r>
            <w:r>
              <w:rPr>
                <w:rFonts w:eastAsia="宋体"/>
                <w:kern w:val="2"/>
                <w:szCs w:val="24"/>
                <w:highlight w:val="none"/>
              </w:rPr>
              <w:fldChar w:fldCharType="separate"/>
            </w:r>
            <w:r>
              <w:rPr>
                <w:highlight w:val="none"/>
              </w:rPr>
              <w:t>⑤</w:t>
            </w:r>
            <w:r>
              <w:rPr>
                <w:rFonts w:eastAsia="宋体"/>
                <w:kern w:val="2"/>
                <w:szCs w:val="24"/>
                <w:highlight w:val="none"/>
              </w:rPr>
              <w:fldChar w:fldCharType="end"/>
            </w:r>
            <w:r>
              <w:rPr>
                <w:rFonts w:eastAsia="宋体"/>
                <w:kern w:val="2"/>
                <w:szCs w:val="24"/>
                <w:highlight w:val="none"/>
              </w:rPr>
              <w:t>当</w:t>
            </w:r>
            <w:r>
              <w:rPr>
                <w:rFonts w:eastAsia="宋体"/>
                <w:kern w:val="2"/>
                <w:szCs w:val="24"/>
              </w:rPr>
              <w:t>发生事故时，为不使事故扩大，防止二次灾害的发生，要求及时抢险抢修，必须对各种险情进行事故前预测，保证抢险队伍的素质，遇险时应及时与当地消防部门取得联系，以获得有力支持。</w:t>
            </w:r>
          </w:p>
          <w:p w14:paraId="159B1DFE">
            <w:pPr>
              <w:pStyle w:val="43"/>
              <w:keepNext w:val="0"/>
              <w:keepLines w:val="0"/>
              <w:pageBreakBefore w:val="0"/>
              <w:widowControl w:val="0"/>
              <w:kinsoku/>
              <w:wordWrap/>
              <w:overflowPunct/>
              <w:topLinePunct w:val="0"/>
              <w:autoSpaceDE/>
              <w:autoSpaceDN/>
              <w:bidi w:val="0"/>
              <w:ind w:firstLine="480"/>
              <w:rPr>
                <w:rFonts w:eastAsia="宋体"/>
                <w:kern w:val="2"/>
                <w:szCs w:val="24"/>
              </w:rPr>
            </w:pPr>
            <w:r>
              <w:rPr>
                <w:rFonts w:eastAsia="宋体"/>
                <w:kern w:val="2"/>
                <w:szCs w:val="24"/>
              </w:rPr>
              <w:fldChar w:fldCharType="begin"/>
            </w:r>
            <w:r>
              <w:rPr>
                <w:rFonts w:eastAsia="宋体"/>
                <w:kern w:val="2"/>
                <w:szCs w:val="24"/>
              </w:rPr>
              <w:instrText xml:space="preserve"> = 6 \* GB3 \* MERGEFORMAT </w:instrText>
            </w:r>
            <w:r>
              <w:rPr>
                <w:rFonts w:eastAsia="宋体"/>
                <w:kern w:val="2"/>
                <w:szCs w:val="24"/>
              </w:rPr>
              <w:fldChar w:fldCharType="separate"/>
            </w:r>
            <w:r>
              <w:t>⑥</w:t>
            </w:r>
            <w:r>
              <w:rPr>
                <w:rFonts w:eastAsia="宋体"/>
                <w:kern w:val="2"/>
                <w:szCs w:val="24"/>
              </w:rPr>
              <w:fldChar w:fldCharType="end"/>
            </w:r>
            <w:r>
              <w:rPr>
                <w:rFonts w:eastAsia="宋体"/>
                <w:kern w:val="2"/>
                <w:szCs w:val="24"/>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14:paraId="0B5CC9FE">
            <w:pPr>
              <w:pStyle w:val="43"/>
              <w:ind w:firstLine="480"/>
              <w:rPr>
                <w:rFonts w:eastAsia="宋体"/>
                <w:kern w:val="2"/>
                <w:szCs w:val="24"/>
              </w:rPr>
            </w:pPr>
            <w:r>
              <w:rPr>
                <w:rFonts w:eastAsia="宋体"/>
                <w:kern w:val="2"/>
                <w:szCs w:val="24"/>
              </w:rPr>
              <w:fldChar w:fldCharType="begin"/>
            </w:r>
            <w:r>
              <w:rPr>
                <w:rFonts w:eastAsia="宋体"/>
                <w:kern w:val="2"/>
                <w:szCs w:val="24"/>
              </w:rPr>
              <w:instrText xml:space="preserve"> = 7 \* GB3 \* MERGEFORMAT </w:instrText>
            </w:r>
            <w:r>
              <w:rPr>
                <w:rFonts w:eastAsia="宋体"/>
                <w:kern w:val="2"/>
                <w:szCs w:val="24"/>
              </w:rPr>
              <w:fldChar w:fldCharType="separate"/>
            </w:r>
            <w:r>
              <w:t>⑦</w:t>
            </w:r>
            <w:r>
              <w:rPr>
                <w:rFonts w:eastAsia="宋体"/>
                <w:kern w:val="2"/>
                <w:szCs w:val="24"/>
              </w:rPr>
              <w:fldChar w:fldCharType="end"/>
            </w:r>
            <w:r>
              <w:rPr>
                <w:rFonts w:eastAsia="宋体"/>
                <w:kern w:val="2"/>
                <w:szCs w:val="24"/>
              </w:rPr>
              <w:t>企业应建立健全防范制度，加强监督管理，规范操作，这类事故发生的概率处于可接受范围内。</w:t>
            </w:r>
          </w:p>
          <w:p w14:paraId="08F1ED7E">
            <w:pPr>
              <w:widowControl/>
              <w:ind w:firstLine="480"/>
            </w:pPr>
            <w:r>
              <w:rPr>
                <w:rFonts w:hint="eastAsia"/>
              </w:rPr>
              <w:t>（2）</w:t>
            </w:r>
            <w:r>
              <w:t>应急措施</w:t>
            </w:r>
          </w:p>
          <w:p w14:paraId="2DE93776">
            <w:pPr>
              <w:ind w:firstLine="480"/>
            </w:pPr>
            <w:r>
              <w:rPr>
                <w:rFonts w:hint="eastAsia"/>
              </w:rPr>
              <w:t>润滑油、废润滑油、液压油、废液压油、切削液、废切削液、</w:t>
            </w:r>
            <w:r>
              <w:rPr>
                <w:rFonts w:hint="eastAsia"/>
                <w:lang w:eastAsia="zh-CN"/>
              </w:rPr>
              <w:t>淬火油</w:t>
            </w:r>
            <w:r>
              <w:rPr>
                <w:rFonts w:hint="eastAsia"/>
              </w:rPr>
              <w:t>、废</w:t>
            </w:r>
            <w:r>
              <w:rPr>
                <w:rFonts w:hint="eastAsia"/>
                <w:lang w:eastAsia="zh-CN"/>
              </w:rPr>
              <w:t>淬火油</w:t>
            </w:r>
            <w:r>
              <w:rPr>
                <w:rFonts w:hint="eastAsia"/>
              </w:rPr>
              <w:t>、甲醇</w:t>
            </w:r>
            <w:r>
              <w:rPr>
                <w:rFonts w:hint="eastAsia"/>
                <w:highlight w:val="none"/>
              </w:rPr>
              <w:t>、油污等</w:t>
            </w:r>
            <w:r>
              <w:rPr>
                <w:highlight w:val="none"/>
              </w:rPr>
              <w:t>风险物质发生</w:t>
            </w:r>
            <w:r>
              <w:rPr>
                <w:rFonts w:hint="eastAsia"/>
                <w:highlight w:val="none"/>
              </w:rPr>
              <w:t>泄漏</w:t>
            </w:r>
            <w:r>
              <w:rPr>
                <w:highlight w:val="none"/>
              </w:rPr>
              <w:t>，通过工作人员或视频监控人员预警，根据现场情况将沙土沙袋、吸油毡、储</w:t>
            </w:r>
            <w:r>
              <w:rPr>
                <w:rFonts w:hint="eastAsia"/>
                <w:highlight w:val="none"/>
              </w:rPr>
              <w:t>液</w:t>
            </w:r>
            <w:r>
              <w:rPr>
                <w:highlight w:val="none"/>
              </w:rPr>
              <w:t>桶等运至</w:t>
            </w:r>
            <w:r>
              <w:rPr>
                <w:rFonts w:hint="eastAsia"/>
                <w:highlight w:val="none"/>
              </w:rPr>
              <w:t>事</w:t>
            </w:r>
            <w:r>
              <w:rPr>
                <w:highlight w:val="none"/>
              </w:rPr>
              <w:t>发现场进行现场环境应急处置，利用沙土沙袋，先进行溢流的围堵，避免污染面积扩散，用吸附材料吸收泄漏液体，然后移至安全地区，能够有效防止事故扩大。</w:t>
            </w:r>
            <w:r>
              <w:rPr>
                <w:rFonts w:hint="eastAsia"/>
                <w:highlight w:val="none"/>
              </w:rPr>
              <w:t>当</w:t>
            </w:r>
            <w:r>
              <w:rPr>
                <w:rFonts w:hint="eastAsia"/>
                <w:highlight w:val="none"/>
                <w:lang w:eastAsia="zh-CN"/>
              </w:rPr>
              <w:t>丙烷或</w:t>
            </w:r>
            <w:r>
              <w:rPr>
                <w:rFonts w:hint="eastAsia"/>
                <w:highlight w:val="none"/>
              </w:rPr>
              <w:t>废活性炭发生泄露，隔离泄漏污染区，限制出入。切断火源。建议应急处理人员戴自给式呼吸器，穿防毒服。丙烷</w:t>
            </w:r>
            <w:r>
              <w:rPr>
                <w:rFonts w:hint="eastAsia"/>
                <w:highlight w:val="none"/>
                <w:lang w:eastAsia="zh-CN"/>
              </w:rPr>
              <w:t>或</w:t>
            </w:r>
            <w:r>
              <w:rPr>
                <w:rFonts w:hint="eastAsia"/>
                <w:highlight w:val="none"/>
              </w:rPr>
              <w:t>废活性炭发生</w:t>
            </w:r>
            <w:r>
              <w:rPr>
                <w:rFonts w:hint="eastAsia"/>
              </w:rPr>
              <w:t>泄露切断火源、气源。建议应急处理人员戴自给式正压呼吸器，穿防静电工作服。尽可能切断泄露气源。合理通风，加速扩散。喷雾状水稀释、溶解。构筑围堤或挖坑收容产生的大量废水。如有可能，将漏出气用引风机送至空旷地方或装设适当喷头烧掉。漏气容器要妥善处修复、检修后再用。丙烷气瓶夹具等连接处泄漏，可关闭瓶阀，更换垫片处置。漏气容器和气瓶要妥善处理，严禁用户自行焊补、任意敲打等，应送专业检验单位修复并作检验合格后再用。</w:t>
            </w:r>
            <w:r>
              <w:t>一旦泄漏致厂区外，企业应告知当地政府、生态环境局、环境保护监测站等进行处理。</w:t>
            </w:r>
          </w:p>
          <w:p w14:paraId="75729EBF">
            <w:pPr>
              <w:pStyle w:val="43"/>
              <w:ind w:firstLine="480"/>
              <w:rPr>
                <w:rFonts w:eastAsia="宋体"/>
                <w:kern w:val="2"/>
                <w:szCs w:val="24"/>
              </w:rPr>
            </w:pPr>
            <w:r>
              <w:rPr>
                <w:rFonts w:hint="eastAsia" w:eastAsia="宋体"/>
                <w:kern w:val="2"/>
                <w:szCs w:val="24"/>
              </w:rPr>
              <w:t>（3）制定环境风险应急预案。</w:t>
            </w:r>
          </w:p>
          <w:p w14:paraId="73134241">
            <w:pPr>
              <w:adjustRightInd w:val="0"/>
              <w:snapToGrid w:val="0"/>
              <w:ind w:firstLine="0" w:firstLineChars="0"/>
              <w:rPr>
                <w:b/>
                <w:bCs/>
              </w:rPr>
            </w:pPr>
            <w:r>
              <w:rPr>
                <w:rFonts w:hint="eastAsia"/>
                <w:b/>
                <w:bCs/>
              </w:rPr>
              <w:t>8、电磁辐射</w:t>
            </w:r>
          </w:p>
          <w:p w14:paraId="424C4E0F">
            <w:pPr>
              <w:ind w:firstLine="480"/>
            </w:pPr>
            <w:r>
              <w:t>本项目不涉及电磁辐射源，即不会对项目所在区环境产生相应的电磁辐射影响</w:t>
            </w:r>
            <w:r>
              <w:rPr>
                <w:rFonts w:hint="eastAsia"/>
              </w:rPr>
              <w:t>。</w:t>
            </w:r>
          </w:p>
        </w:tc>
      </w:tr>
    </w:tbl>
    <w:p w14:paraId="476A8CA9">
      <w:pPr>
        <w:ind w:firstLine="480"/>
        <w:jc w:val="center"/>
        <w:rPr>
          <w:rFonts w:ascii="黑体" w:hAnsi="黑体" w:eastAsia="黑体"/>
          <w:snapToGrid w:val="0"/>
          <w:color w:val="0070C0"/>
          <w:sz w:val="30"/>
          <w:szCs w:val="30"/>
        </w:rPr>
      </w:pPr>
      <w:r>
        <w:br w:type="page"/>
      </w:r>
      <w:r>
        <w:rPr>
          <w:rFonts w:hint="eastAsia" w:ascii="黑体" w:hAnsi="黑体" w:eastAsia="黑体"/>
          <w:snapToGrid w:val="0"/>
          <w:sz w:val="30"/>
          <w:szCs w:val="30"/>
        </w:rPr>
        <w:t>五、</w:t>
      </w:r>
      <w:bookmarkStart w:id="2" w:name="_Hlk54167917"/>
      <w:r>
        <w:rPr>
          <w:rFonts w:hint="eastAsia" w:ascii="黑体" w:hAnsi="黑体" w:eastAsia="黑体"/>
          <w:snapToGrid w:val="0"/>
          <w:sz w:val="30"/>
          <w:szCs w:val="30"/>
        </w:rPr>
        <w:t>环境保护措施监督检查清单</w:t>
      </w:r>
      <w:bookmarkEnd w:id="2"/>
    </w:p>
    <w:tbl>
      <w:tblPr>
        <w:tblStyle w:val="22"/>
        <w:tblW w:w="9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305"/>
        <w:gridCol w:w="1335"/>
        <w:gridCol w:w="3045"/>
        <w:gridCol w:w="3045"/>
      </w:tblGrid>
      <w:tr w14:paraId="7745C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18" w:type="dxa"/>
            <w:tcBorders>
              <w:tl2br w:val="single" w:color="auto" w:sz="4" w:space="0"/>
            </w:tcBorders>
          </w:tcPr>
          <w:p w14:paraId="750409E3">
            <w:pPr>
              <w:pStyle w:val="31"/>
              <w:jc w:val="right"/>
              <w:rPr>
                <w:rFonts w:hint="eastAsia"/>
                <w:sz w:val="21"/>
              </w:rPr>
            </w:pPr>
            <w:r>
              <w:rPr>
                <w:rFonts w:hint="eastAsia"/>
                <w:sz w:val="21"/>
              </w:rPr>
              <w:t xml:space="preserve"> 内容</w:t>
            </w:r>
          </w:p>
          <w:p w14:paraId="46A4E06C"/>
          <w:p w14:paraId="3572A8E8">
            <w:pPr>
              <w:pStyle w:val="31"/>
              <w:jc w:val="both"/>
              <w:rPr>
                <w:sz w:val="21"/>
              </w:rPr>
            </w:pPr>
            <w:r>
              <w:rPr>
                <w:rFonts w:hint="eastAsia"/>
                <w:sz w:val="21"/>
              </w:rPr>
              <w:t>要素</w:t>
            </w:r>
          </w:p>
        </w:tc>
        <w:tc>
          <w:tcPr>
            <w:tcW w:w="1305" w:type="dxa"/>
            <w:vAlign w:val="center"/>
          </w:tcPr>
          <w:p w14:paraId="7D5BAAF1">
            <w:pPr>
              <w:pStyle w:val="31"/>
              <w:rPr>
                <w:sz w:val="21"/>
              </w:rPr>
            </w:pPr>
            <w:r>
              <w:rPr>
                <w:rFonts w:hint="eastAsia"/>
                <w:sz w:val="21"/>
              </w:rPr>
              <w:t>排放口（编号、名称）/污染源</w:t>
            </w:r>
          </w:p>
        </w:tc>
        <w:tc>
          <w:tcPr>
            <w:tcW w:w="1335" w:type="dxa"/>
            <w:vAlign w:val="center"/>
          </w:tcPr>
          <w:p w14:paraId="4BE2A56E">
            <w:pPr>
              <w:pStyle w:val="31"/>
              <w:rPr>
                <w:rFonts w:hint="eastAsia"/>
                <w:sz w:val="21"/>
              </w:rPr>
            </w:pPr>
            <w:r>
              <w:rPr>
                <w:rFonts w:hint="eastAsia"/>
                <w:sz w:val="21"/>
              </w:rPr>
              <w:t>污染物</w:t>
            </w:r>
          </w:p>
          <w:p w14:paraId="3277B4B6">
            <w:pPr>
              <w:pStyle w:val="31"/>
              <w:rPr>
                <w:sz w:val="21"/>
              </w:rPr>
            </w:pPr>
            <w:r>
              <w:rPr>
                <w:rFonts w:hint="eastAsia"/>
                <w:sz w:val="21"/>
              </w:rPr>
              <w:t>项目</w:t>
            </w:r>
          </w:p>
        </w:tc>
        <w:tc>
          <w:tcPr>
            <w:tcW w:w="3045" w:type="dxa"/>
            <w:vAlign w:val="center"/>
          </w:tcPr>
          <w:p w14:paraId="5C1ACC63">
            <w:pPr>
              <w:pStyle w:val="31"/>
              <w:rPr>
                <w:sz w:val="21"/>
              </w:rPr>
            </w:pPr>
            <w:r>
              <w:rPr>
                <w:rFonts w:hint="eastAsia"/>
                <w:sz w:val="21"/>
              </w:rPr>
              <w:t>环境保护措施</w:t>
            </w:r>
          </w:p>
        </w:tc>
        <w:tc>
          <w:tcPr>
            <w:tcW w:w="3045" w:type="dxa"/>
            <w:vAlign w:val="center"/>
          </w:tcPr>
          <w:p w14:paraId="19C2E531">
            <w:pPr>
              <w:pStyle w:val="31"/>
              <w:rPr>
                <w:sz w:val="21"/>
              </w:rPr>
            </w:pPr>
            <w:r>
              <w:rPr>
                <w:rFonts w:hint="eastAsia"/>
                <w:sz w:val="21"/>
              </w:rPr>
              <w:t>执行标准</w:t>
            </w:r>
          </w:p>
        </w:tc>
      </w:tr>
      <w:tr w14:paraId="60B5F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restart"/>
            <w:vAlign w:val="center"/>
          </w:tcPr>
          <w:p w14:paraId="34B4D304">
            <w:pPr>
              <w:pStyle w:val="31"/>
              <w:rPr>
                <w:sz w:val="21"/>
              </w:rPr>
            </w:pPr>
            <w:r>
              <w:rPr>
                <w:rFonts w:hint="eastAsia"/>
                <w:sz w:val="21"/>
              </w:rPr>
              <w:t>大气环境</w:t>
            </w:r>
          </w:p>
        </w:tc>
        <w:tc>
          <w:tcPr>
            <w:tcW w:w="1305" w:type="dxa"/>
            <w:vMerge w:val="restart"/>
            <w:vAlign w:val="center"/>
          </w:tcPr>
          <w:p w14:paraId="297D6DE6">
            <w:pPr>
              <w:pStyle w:val="31"/>
              <w:spacing w:line="360" w:lineRule="exact"/>
              <w:rPr>
                <w:sz w:val="21"/>
              </w:rPr>
            </w:pPr>
            <w:r>
              <w:rPr>
                <w:rFonts w:hint="eastAsia"/>
                <w:bCs/>
                <w:sz w:val="21"/>
              </w:rPr>
              <w:t>淬火/回火废气排放口</w:t>
            </w:r>
            <w:r>
              <w:rPr>
                <w:rFonts w:hint="eastAsia"/>
                <w:sz w:val="21"/>
              </w:rPr>
              <w:t>（</w:t>
            </w:r>
            <w:r>
              <w:rPr>
                <w:sz w:val="21"/>
              </w:rPr>
              <w:t>DA00</w:t>
            </w:r>
            <w:r>
              <w:rPr>
                <w:rFonts w:hint="eastAsia"/>
                <w:sz w:val="21"/>
              </w:rPr>
              <w:t>1）</w:t>
            </w:r>
          </w:p>
        </w:tc>
        <w:tc>
          <w:tcPr>
            <w:tcW w:w="1335" w:type="dxa"/>
            <w:vAlign w:val="center"/>
          </w:tcPr>
          <w:p w14:paraId="36617218">
            <w:pPr>
              <w:pStyle w:val="31"/>
              <w:spacing w:line="360" w:lineRule="exact"/>
              <w:rPr>
                <w:sz w:val="21"/>
                <w:highlight w:val="none"/>
              </w:rPr>
            </w:pPr>
            <w:r>
              <w:rPr>
                <w:rFonts w:hint="eastAsia"/>
                <w:sz w:val="21"/>
                <w:highlight w:val="none"/>
              </w:rPr>
              <w:t>油雾</w:t>
            </w:r>
          </w:p>
        </w:tc>
        <w:tc>
          <w:tcPr>
            <w:tcW w:w="3045" w:type="dxa"/>
            <w:vMerge w:val="restart"/>
            <w:vAlign w:val="center"/>
          </w:tcPr>
          <w:p w14:paraId="7DC10484">
            <w:pPr>
              <w:pStyle w:val="31"/>
              <w:spacing w:line="360" w:lineRule="exact"/>
              <w:rPr>
                <w:sz w:val="21"/>
                <w:highlight w:val="none"/>
              </w:rPr>
            </w:pPr>
            <w:r>
              <w:rPr>
                <w:rFonts w:hint="eastAsia"/>
                <w:bCs/>
                <w:sz w:val="21"/>
                <w:highlight w:val="none"/>
              </w:rPr>
              <w:t>淬火/回火</w:t>
            </w:r>
            <w:r>
              <w:rPr>
                <w:rFonts w:hint="eastAsia"/>
                <w:color w:val="000000"/>
                <w:kern w:val="0"/>
                <w:sz w:val="21"/>
                <w:highlight w:val="none"/>
              </w:rPr>
              <w:t>废气经集气口引入静电式油烟净化器</w:t>
            </w:r>
            <w:r>
              <w:rPr>
                <w:rFonts w:hint="eastAsia"/>
                <w:color w:val="000000"/>
                <w:kern w:val="0"/>
                <w:sz w:val="21"/>
                <w:highlight w:val="none"/>
                <w:lang w:eastAsia="zh-CN"/>
              </w:rPr>
              <w:t>（</w:t>
            </w:r>
            <w:r>
              <w:rPr>
                <w:rFonts w:hint="eastAsia"/>
                <w:sz w:val="21"/>
                <w:szCs w:val="21"/>
                <w:highlight w:val="none"/>
                <w:lang w:val="en-US" w:eastAsia="zh-CN"/>
              </w:rPr>
              <w:t>处理率90%</w:t>
            </w:r>
            <w:r>
              <w:rPr>
                <w:rFonts w:hint="eastAsia"/>
                <w:color w:val="000000"/>
                <w:kern w:val="0"/>
                <w:sz w:val="21"/>
                <w:highlight w:val="none"/>
                <w:lang w:eastAsia="zh-CN"/>
              </w:rPr>
              <w:t>）</w:t>
            </w:r>
            <w:r>
              <w:rPr>
                <w:rFonts w:hint="eastAsia"/>
                <w:color w:val="000000"/>
                <w:kern w:val="0"/>
                <w:sz w:val="21"/>
                <w:highlight w:val="none"/>
              </w:rPr>
              <w:t>+活性炭吸附装置</w:t>
            </w:r>
            <w:r>
              <w:rPr>
                <w:rFonts w:hint="eastAsia"/>
                <w:color w:val="000000"/>
                <w:kern w:val="0"/>
                <w:sz w:val="21"/>
                <w:highlight w:val="none"/>
                <w:lang w:eastAsia="zh-CN"/>
              </w:rPr>
              <w:t>（</w:t>
            </w:r>
            <w:r>
              <w:rPr>
                <w:rFonts w:hint="eastAsia"/>
                <w:sz w:val="21"/>
                <w:szCs w:val="21"/>
                <w:highlight w:val="none"/>
                <w:lang w:val="en-US" w:eastAsia="zh-CN"/>
              </w:rPr>
              <w:t>处理率18%</w:t>
            </w:r>
            <w:r>
              <w:rPr>
                <w:rFonts w:hint="eastAsia"/>
                <w:color w:val="000000"/>
                <w:kern w:val="0"/>
                <w:sz w:val="21"/>
                <w:highlight w:val="none"/>
                <w:lang w:eastAsia="zh-CN"/>
              </w:rPr>
              <w:t>）</w:t>
            </w:r>
            <w:r>
              <w:rPr>
                <w:rFonts w:hint="eastAsia"/>
                <w:sz w:val="21"/>
                <w:highlight w:val="none"/>
              </w:rPr>
              <w:t>进行处理</w:t>
            </w:r>
            <w:r>
              <w:rPr>
                <w:rFonts w:hint="eastAsia"/>
                <w:sz w:val="21"/>
                <w:szCs w:val="21"/>
                <w:highlight w:val="none"/>
                <w:lang w:val="en-US" w:eastAsia="zh-CN"/>
              </w:rPr>
              <w:t>，</w:t>
            </w:r>
            <w:r>
              <w:rPr>
                <w:rFonts w:hint="eastAsia"/>
                <w:sz w:val="21"/>
                <w:highlight w:val="none"/>
              </w:rPr>
              <w:t>处理后通过一根15m高排气筒排放</w:t>
            </w:r>
          </w:p>
        </w:tc>
        <w:tc>
          <w:tcPr>
            <w:tcW w:w="3045" w:type="dxa"/>
            <w:vAlign w:val="center"/>
          </w:tcPr>
          <w:p w14:paraId="09D63000">
            <w:pPr>
              <w:pStyle w:val="31"/>
              <w:spacing w:line="360" w:lineRule="exact"/>
              <w:rPr>
                <w:sz w:val="21"/>
              </w:rPr>
            </w:pPr>
            <w:r>
              <w:rPr>
                <w:sz w:val="21"/>
              </w:rPr>
              <w:t>《钢铁工业大气污染物超低排放标准》(DB13/2169-2018)中表</w:t>
            </w:r>
            <w:r>
              <w:rPr>
                <w:rFonts w:hint="eastAsia"/>
                <w:sz w:val="21"/>
              </w:rPr>
              <w:t>4油雾</w:t>
            </w:r>
            <w:r>
              <w:rPr>
                <w:sz w:val="21"/>
              </w:rPr>
              <w:t>排放限值</w:t>
            </w:r>
            <w:r>
              <w:rPr>
                <w:rFonts w:hint="eastAsia"/>
                <w:sz w:val="21"/>
              </w:rPr>
              <w:t>2</w:t>
            </w:r>
            <w:r>
              <w:rPr>
                <w:sz w:val="21"/>
              </w:rPr>
              <w:t>0mg/m</w:t>
            </w:r>
            <w:r>
              <w:rPr>
                <w:rFonts w:hint="eastAsia"/>
                <w:sz w:val="21"/>
                <w:vertAlign w:val="superscript"/>
              </w:rPr>
              <w:t>3</w:t>
            </w:r>
          </w:p>
        </w:tc>
      </w:tr>
      <w:tr w14:paraId="46FA5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continue"/>
            <w:vAlign w:val="center"/>
          </w:tcPr>
          <w:p w14:paraId="57D84000">
            <w:pPr>
              <w:pStyle w:val="31"/>
              <w:rPr>
                <w:sz w:val="21"/>
              </w:rPr>
            </w:pPr>
          </w:p>
        </w:tc>
        <w:tc>
          <w:tcPr>
            <w:tcW w:w="1305" w:type="dxa"/>
            <w:vMerge w:val="continue"/>
            <w:vAlign w:val="center"/>
          </w:tcPr>
          <w:p w14:paraId="33F98CC0">
            <w:pPr>
              <w:pStyle w:val="31"/>
              <w:spacing w:line="360" w:lineRule="exact"/>
              <w:rPr>
                <w:sz w:val="21"/>
              </w:rPr>
            </w:pPr>
          </w:p>
        </w:tc>
        <w:tc>
          <w:tcPr>
            <w:tcW w:w="1335" w:type="dxa"/>
            <w:vAlign w:val="center"/>
          </w:tcPr>
          <w:p w14:paraId="67F92ACA">
            <w:pPr>
              <w:pStyle w:val="31"/>
              <w:spacing w:line="360" w:lineRule="exact"/>
              <w:rPr>
                <w:sz w:val="21"/>
              </w:rPr>
            </w:pPr>
            <w:r>
              <w:rPr>
                <w:rFonts w:hint="eastAsia"/>
                <w:sz w:val="21"/>
              </w:rPr>
              <w:t>挥发性有机物（以非甲烷总烃代）</w:t>
            </w:r>
          </w:p>
        </w:tc>
        <w:tc>
          <w:tcPr>
            <w:tcW w:w="3045" w:type="dxa"/>
            <w:vMerge w:val="continue"/>
            <w:vAlign w:val="center"/>
          </w:tcPr>
          <w:p w14:paraId="551104BA">
            <w:pPr>
              <w:pStyle w:val="31"/>
              <w:spacing w:line="360" w:lineRule="exact"/>
              <w:rPr>
                <w:sz w:val="21"/>
              </w:rPr>
            </w:pPr>
          </w:p>
        </w:tc>
        <w:tc>
          <w:tcPr>
            <w:tcW w:w="3045" w:type="dxa"/>
            <w:vAlign w:val="center"/>
          </w:tcPr>
          <w:p w14:paraId="16D57C1D">
            <w:pPr>
              <w:pStyle w:val="31"/>
              <w:spacing w:line="360" w:lineRule="exact"/>
              <w:rPr>
                <w:sz w:val="21"/>
              </w:rPr>
            </w:pPr>
            <w:r>
              <w:rPr>
                <w:sz w:val="21"/>
              </w:rPr>
              <w:t>《工业企业挥发性有机物排放标准》（DB13/2322-2016）表1中</w:t>
            </w:r>
            <w:r>
              <w:rPr>
                <w:rFonts w:hint="eastAsia"/>
                <w:sz w:val="21"/>
              </w:rPr>
              <w:t>交通运输设备制造业（其他企业有机废气排放口）非甲烷总烃最高允许有组织排放浓度70</w:t>
            </w:r>
            <w:r>
              <w:rPr>
                <w:sz w:val="21"/>
              </w:rPr>
              <w:t>mg/m</w:t>
            </w:r>
            <w:r>
              <w:rPr>
                <w:sz w:val="21"/>
                <w:vertAlign w:val="superscript"/>
              </w:rPr>
              <w:t>3</w:t>
            </w:r>
          </w:p>
        </w:tc>
      </w:tr>
      <w:tr w14:paraId="3808D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18" w:type="dxa"/>
            <w:vMerge w:val="continue"/>
            <w:vAlign w:val="center"/>
          </w:tcPr>
          <w:p w14:paraId="1CF9F990">
            <w:pPr>
              <w:pStyle w:val="31"/>
              <w:rPr>
                <w:sz w:val="21"/>
              </w:rPr>
            </w:pPr>
          </w:p>
        </w:tc>
        <w:tc>
          <w:tcPr>
            <w:tcW w:w="1305" w:type="dxa"/>
            <w:vAlign w:val="center"/>
          </w:tcPr>
          <w:p w14:paraId="08F72D9D">
            <w:pPr>
              <w:pStyle w:val="31"/>
              <w:spacing w:line="360" w:lineRule="exact"/>
              <w:rPr>
                <w:sz w:val="21"/>
              </w:rPr>
            </w:pPr>
            <w:r>
              <w:rPr>
                <w:rFonts w:hint="eastAsia"/>
                <w:sz w:val="21"/>
              </w:rPr>
              <w:t>抛丸废气排放口（</w:t>
            </w:r>
            <w:r>
              <w:rPr>
                <w:sz w:val="21"/>
              </w:rPr>
              <w:t>DA00</w:t>
            </w:r>
            <w:r>
              <w:rPr>
                <w:rFonts w:hint="eastAsia"/>
                <w:sz w:val="21"/>
              </w:rPr>
              <w:t>2）</w:t>
            </w:r>
          </w:p>
        </w:tc>
        <w:tc>
          <w:tcPr>
            <w:tcW w:w="1335" w:type="dxa"/>
            <w:vAlign w:val="center"/>
          </w:tcPr>
          <w:p w14:paraId="007976C3">
            <w:pPr>
              <w:pStyle w:val="31"/>
              <w:spacing w:line="360" w:lineRule="exact"/>
              <w:rPr>
                <w:sz w:val="21"/>
                <w:highlight w:val="none"/>
              </w:rPr>
            </w:pPr>
            <w:r>
              <w:rPr>
                <w:rFonts w:hint="eastAsia"/>
                <w:sz w:val="21"/>
                <w:highlight w:val="none"/>
              </w:rPr>
              <w:t>颗粒物</w:t>
            </w:r>
          </w:p>
        </w:tc>
        <w:tc>
          <w:tcPr>
            <w:tcW w:w="3045" w:type="dxa"/>
            <w:vAlign w:val="center"/>
          </w:tcPr>
          <w:p w14:paraId="15B81D8A">
            <w:pPr>
              <w:spacing w:line="360" w:lineRule="exact"/>
              <w:ind w:firstLine="0" w:firstLineChars="0"/>
              <w:jc w:val="center"/>
              <w:rPr>
                <w:sz w:val="21"/>
                <w:szCs w:val="21"/>
                <w:highlight w:val="none"/>
              </w:rPr>
            </w:pPr>
            <w:r>
              <w:rPr>
                <w:rFonts w:hint="eastAsia"/>
                <w:color w:val="000000"/>
                <w:kern w:val="0"/>
                <w:sz w:val="21"/>
                <w:szCs w:val="21"/>
                <w:highlight w:val="none"/>
              </w:rPr>
              <w:t>抛丸废气经集气口引入脉冲布袋除尘器</w:t>
            </w:r>
            <w:r>
              <w:rPr>
                <w:rFonts w:hint="eastAsia"/>
                <w:sz w:val="21"/>
                <w:szCs w:val="21"/>
                <w:highlight w:val="none"/>
              </w:rPr>
              <w:t>进行处理，</w:t>
            </w:r>
            <w:r>
              <w:rPr>
                <w:rFonts w:hint="eastAsia"/>
                <w:sz w:val="21"/>
                <w:szCs w:val="21"/>
                <w:highlight w:val="none"/>
                <w:lang w:val="en-US" w:eastAsia="zh-CN"/>
              </w:rPr>
              <w:t>处理率99%，</w:t>
            </w:r>
            <w:r>
              <w:rPr>
                <w:rFonts w:hint="eastAsia"/>
                <w:sz w:val="21"/>
                <w:szCs w:val="21"/>
                <w:highlight w:val="none"/>
              </w:rPr>
              <w:t>处理后通过一根15m高排气筒排放</w:t>
            </w:r>
          </w:p>
        </w:tc>
        <w:tc>
          <w:tcPr>
            <w:tcW w:w="3045" w:type="dxa"/>
            <w:vAlign w:val="center"/>
          </w:tcPr>
          <w:p w14:paraId="3A0AEFDE">
            <w:pPr>
              <w:pStyle w:val="31"/>
              <w:spacing w:line="360" w:lineRule="exact"/>
              <w:rPr>
                <w:sz w:val="21"/>
              </w:rPr>
            </w:pPr>
            <w:r>
              <w:rPr>
                <w:sz w:val="21"/>
              </w:rPr>
              <w:t>《钢铁工业大气污染物超低排放标准》(DB13/2169-2018)中表1颗粒物排放限值10mg/m</w:t>
            </w:r>
            <w:r>
              <w:rPr>
                <w:rFonts w:hint="eastAsia"/>
                <w:sz w:val="21"/>
                <w:vertAlign w:val="superscript"/>
              </w:rPr>
              <w:t>3</w:t>
            </w:r>
          </w:p>
        </w:tc>
      </w:tr>
      <w:tr w14:paraId="4D3AD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restart"/>
            <w:vAlign w:val="center"/>
          </w:tcPr>
          <w:p w14:paraId="63C51574">
            <w:pPr>
              <w:pStyle w:val="31"/>
              <w:rPr>
                <w:sz w:val="21"/>
              </w:rPr>
            </w:pPr>
            <w:r>
              <w:rPr>
                <w:rFonts w:hint="eastAsia"/>
                <w:sz w:val="21"/>
              </w:rPr>
              <w:t>地表水环境</w:t>
            </w:r>
          </w:p>
        </w:tc>
        <w:tc>
          <w:tcPr>
            <w:tcW w:w="1305" w:type="dxa"/>
            <w:vAlign w:val="center"/>
          </w:tcPr>
          <w:p w14:paraId="3ACBA309">
            <w:pPr>
              <w:pStyle w:val="31"/>
              <w:spacing w:line="360" w:lineRule="exact"/>
              <w:rPr>
                <w:sz w:val="21"/>
                <w:highlight w:val="none"/>
              </w:rPr>
            </w:pPr>
            <w:r>
              <w:rPr>
                <w:rFonts w:hint="eastAsia"/>
                <w:sz w:val="21"/>
                <w:highlight w:val="none"/>
                <w:lang w:eastAsia="zh-CN"/>
              </w:rPr>
              <w:t>热处理过程清洗机清理</w:t>
            </w:r>
            <w:r>
              <w:rPr>
                <w:rFonts w:hint="eastAsia"/>
                <w:sz w:val="21"/>
                <w:highlight w:val="none"/>
              </w:rPr>
              <w:t>废水</w:t>
            </w:r>
          </w:p>
        </w:tc>
        <w:tc>
          <w:tcPr>
            <w:tcW w:w="1335" w:type="dxa"/>
            <w:vMerge w:val="restart"/>
            <w:vAlign w:val="center"/>
          </w:tcPr>
          <w:p w14:paraId="2A673779">
            <w:pPr>
              <w:pStyle w:val="31"/>
              <w:spacing w:line="360" w:lineRule="exact"/>
              <w:rPr>
                <w:rFonts w:hint="eastAsia" w:eastAsia="宋体"/>
                <w:sz w:val="21"/>
                <w:highlight w:val="none"/>
                <w:lang w:eastAsia="zh-CN"/>
              </w:rPr>
            </w:pPr>
            <w:r>
              <w:rPr>
                <w:sz w:val="21"/>
                <w:highlight w:val="none"/>
              </w:rPr>
              <w:t>pH、COD、SS、BOD</w:t>
            </w:r>
            <w:r>
              <w:rPr>
                <w:sz w:val="21"/>
                <w:highlight w:val="none"/>
                <w:vertAlign w:val="subscript"/>
              </w:rPr>
              <w:t>5</w:t>
            </w:r>
            <w:r>
              <w:rPr>
                <w:sz w:val="21"/>
                <w:highlight w:val="none"/>
              </w:rPr>
              <w:t>、氨氮、</w:t>
            </w:r>
            <w:r>
              <w:rPr>
                <w:rFonts w:hint="eastAsia"/>
                <w:sz w:val="21"/>
                <w:highlight w:val="none"/>
                <w:lang w:eastAsia="zh-CN"/>
              </w:rPr>
              <w:t>石油类、</w:t>
            </w:r>
            <w:r>
              <w:rPr>
                <w:rFonts w:hint="eastAsia"/>
                <w:bCs/>
                <w:sz w:val="21"/>
                <w:szCs w:val="21"/>
                <w:highlight w:val="none"/>
                <w:lang w:eastAsia="zh-CN"/>
              </w:rPr>
              <w:t>阴离子表面活性剂</w:t>
            </w:r>
          </w:p>
        </w:tc>
        <w:tc>
          <w:tcPr>
            <w:tcW w:w="3045" w:type="dxa"/>
            <w:vAlign w:val="center"/>
          </w:tcPr>
          <w:p w14:paraId="7EDB31A8">
            <w:pPr>
              <w:pStyle w:val="31"/>
              <w:spacing w:line="360" w:lineRule="exact"/>
              <w:rPr>
                <w:sz w:val="21"/>
                <w:highlight w:val="none"/>
              </w:rPr>
            </w:pPr>
            <w:r>
              <w:rPr>
                <w:rFonts w:hint="eastAsia"/>
                <w:sz w:val="21"/>
                <w:highlight w:val="none"/>
                <w:lang w:eastAsia="zh-CN"/>
              </w:rPr>
              <w:t>经</w:t>
            </w:r>
            <w:r>
              <w:rPr>
                <w:rFonts w:hint="eastAsia"/>
                <w:sz w:val="21"/>
                <w:highlight w:val="none"/>
              </w:rPr>
              <w:t>油水分离器</w:t>
            </w:r>
            <w:r>
              <w:rPr>
                <w:rFonts w:hint="eastAsia"/>
                <w:sz w:val="21"/>
                <w:highlight w:val="none"/>
                <w:lang w:eastAsia="zh-CN"/>
              </w:rPr>
              <w:t>处理后，排入厂区污水处理设施</w:t>
            </w:r>
            <w:r>
              <w:rPr>
                <w:rFonts w:hint="eastAsia"/>
                <w:sz w:val="21"/>
                <w:szCs w:val="21"/>
                <w:highlight w:val="none"/>
                <w:lang w:eastAsia="zh-CN"/>
              </w:rPr>
              <w:t>（</w:t>
            </w:r>
            <w:r>
              <w:rPr>
                <w:rFonts w:hint="eastAsia"/>
                <w:sz w:val="21"/>
                <w:szCs w:val="21"/>
                <w:highlight w:val="none"/>
                <w:lang w:val="en-US" w:eastAsia="zh-CN"/>
              </w:rPr>
              <w:t>处理能力为</w:t>
            </w:r>
            <w:r>
              <w:rPr>
                <w:rFonts w:hint="eastAsia"/>
                <w:color w:val="auto"/>
                <w:sz w:val="21"/>
                <w:szCs w:val="21"/>
                <w:highlight w:val="none"/>
                <w:lang w:val="en-US" w:eastAsia="zh-CN"/>
              </w:rPr>
              <w:t>3</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/d</w:t>
            </w:r>
            <w:r>
              <w:rPr>
                <w:rFonts w:hint="eastAsia"/>
                <w:sz w:val="21"/>
                <w:szCs w:val="21"/>
                <w:highlight w:val="none"/>
                <w:lang w:eastAsia="zh-CN"/>
              </w:rPr>
              <w:t>）</w:t>
            </w:r>
            <w:r>
              <w:rPr>
                <w:rFonts w:hint="eastAsia"/>
                <w:sz w:val="21"/>
                <w:highlight w:val="none"/>
              </w:rPr>
              <w:t>处理，经园区污水管网，汇入园区污水处理厂处理</w:t>
            </w:r>
          </w:p>
        </w:tc>
        <w:tc>
          <w:tcPr>
            <w:tcW w:w="3045" w:type="dxa"/>
            <w:vMerge w:val="restart"/>
            <w:vAlign w:val="center"/>
          </w:tcPr>
          <w:p w14:paraId="5125B9D7">
            <w:pPr>
              <w:spacing w:line="360" w:lineRule="exact"/>
              <w:ind w:firstLine="420"/>
              <w:jc w:val="center"/>
              <w:rPr>
                <w:bCs/>
                <w:sz w:val="21"/>
                <w:szCs w:val="21"/>
              </w:rPr>
            </w:pPr>
            <w:r>
              <w:rPr>
                <w:rFonts w:hint="eastAsia"/>
                <w:bCs/>
                <w:sz w:val="21"/>
                <w:szCs w:val="21"/>
              </w:rPr>
              <w:t>同时满足《污水综合排放标准》（</w:t>
            </w:r>
            <w:r>
              <w:rPr>
                <w:bCs/>
                <w:sz w:val="21"/>
                <w:szCs w:val="21"/>
              </w:rPr>
              <w:t>GB8978-1996</w:t>
            </w:r>
            <w:r>
              <w:rPr>
                <w:rFonts w:hint="eastAsia"/>
                <w:bCs/>
                <w:sz w:val="21"/>
                <w:szCs w:val="21"/>
              </w:rPr>
              <w:t>）表4中三级限值、《污水排入城镇下水道水质标准》（</w:t>
            </w:r>
            <w:r>
              <w:rPr>
                <w:bCs/>
                <w:sz w:val="21"/>
                <w:szCs w:val="21"/>
              </w:rPr>
              <w:t>GB/T31962-2015</w:t>
            </w:r>
            <w:r>
              <w:rPr>
                <w:rFonts w:hint="eastAsia"/>
                <w:bCs/>
                <w:sz w:val="21"/>
                <w:szCs w:val="21"/>
              </w:rPr>
              <w:t>）A级水质要求和园区污水处理厂进水水质要求</w:t>
            </w:r>
          </w:p>
        </w:tc>
      </w:tr>
      <w:tr w14:paraId="411AA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continue"/>
            <w:vAlign w:val="center"/>
          </w:tcPr>
          <w:p w14:paraId="6B238361">
            <w:pPr>
              <w:pStyle w:val="31"/>
              <w:rPr>
                <w:rFonts w:hint="eastAsia"/>
                <w:sz w:val="21"/>
              </w:rPr>
            </w:pPr>
          </w:p>
        </w:tc>
        <w:tc>
          <w:tcPr>
            <w:tcW w:w="1305" w:type="dxa"/>
            <w:vAlign w:val="center"/>
          </w:tcPr>
          <w:p w14:paraId="09709E7F">
            <w:pPr>
              <w:pStyle w:val="31"/>
              <w:spacing w:line="360" w:lineRule="exact"/>
              <w:rPr>
                <w:rFonts w:hint="eastAsia"/>
                <w:sz w:val="21"/>
                <w:highlight w:val="none"/>
              </w:rPr>
            </w:pPr>
            <w:r>
              <w:rPr>
                <w:rFonts w:hint="eastAsia"/>
                <w:sz w:val="21"/>
                <w:highlight w:val="none"/>
                <w:lang w:eastAsia="zh-CN"/>
              </w:rPr>
              <w:t>抛丸后清洗机清理</w:t>
            </w:r>
            <w:r>
              <w:rPr>
                <w:rFonts w:hint="eastAsia"/>
                <w:sz w:val="21"/>
                <w:highlight w:val="none"/>
              </w:rPr>
              <w:t>废水</w:t>
            </w:r>
          </w:p>
        </w:tc>
        <w:tc>
          <w:tcPr>
            <w:tcW w:w="1335" w:type="dxa"/>
            <w:vMerge w:val="continue"/>
            <w:vAlign w:val="center"/>
          </w:tcPr>
          <w:p w14:paraId="38AD95D4">
            <w:pPr>
              <w:pStyle w:val="31"/>
              <w:spacing w:line="360" w:lineRule="exact"/>
              <w:rPr>
                <w:sz w:val="21"/>
                <w:highlight w:val="none"/>
              </w:rPr>
            </w:pPr>
          </w:p>
        </w:tc>
        <w:tc>
          <w:tcPr>
            <w:tcW w:w="3045" w:type="dxa"/>
            <w:vAlign w:val="center"/>
          </w:tcPr>
          <w:p w14:paraId="622A1665">
            <w:pPr>
              <w:pStyle w:val="31"/>
              <w:spacing w:line="360" w:lineRule="exact"/>
              <w:rPr>
                <w:bCs/>
                <w:sz w:val="21"/>
                <w:highlight w:val="none"/>
              </w:rPr>
            </w:pPr>
            <w:r>
              <w:rPr>
                <w:rFonts w:hint="eastAsia"/>
                <w:sz w:val="21"/>
                <w:highlight w:val="none"/>
              </w:rPr>
              <w:t>排入</w:t>
            </w:r>
            <w:r>
              <w:rPr>
                <w:rFonts w:hint="eastAsia"/>
                <w:sz w:val="21"/>
                <w:highlight w:val="none"/>
                <w:lang w:eastAsia="zh-CN"/>
              </w:rPr>
              <w:t>厂区污水处理设施</w:t>
            </w:r>
            <w:r>
              <w:rPr>
                <w:rFonts w:hint="eastAsia"/>
                <w:sz w:val="21"/>
                <w:szCs w:val="21"/>
                <w:highlight w:val="none"/>
                <w:lang w:eastAsia="zh-CN"/>
              </w:rPr>
              <w:t>（</w:t>
            </w:r>
            <w:r>
              <w:rPr>
                <w:rFonts w:hint="eastAsia"/>
                <w:sz w:val="21"/>
                <w:szCs w:val="21"/>
                <w:highlight w:val="none"/>
                <w:lang w:val="en-US" w:eastAsia="zh-CN"/>
              </w:rPr>
              <w:t>处理能力为</w:t>
            </w:r>
            <w:r>
              <w:rPr>
                <w:rFonts w:hint="eastAsia"/>
                <w:color w:val="auto"/>
                <w:sz w:val="21"/>
                <w:szCs w:val="21"/>
                <w:highlight w:val="none"/>
                <w:lang w:val="en-US" w:eastAsia="zh-CN"/>
              </w:rPr>
              <w:t>3</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/d</w:t>
            </w:r>
            <w:r>
              <w:rPr>
                <w:rFonts w:hint="eastAsia"/>
                <w:sz w:val="21"/>
                <w:szCs w:val="21"/>
                <w:highlight w:val="none"/>
                <w:lang w:eastAsia="zh-CN"/>
              </w:rPr>
              <w:t>）</w:t>
            </w:r>
            <w:r>
              <w:rPr>
                <w:rFonts w:hint="eastAsia"/>
                <w:sz w:val="21"/>
                <w:highlight w:val="none"/>
              </w:rPr>
              <w:t>处理，经园区污水管网，汇入园区污水处理厂处理</w:t>
            </w:r>
          </w:p>
        </w:tc>
        <w:tc>
          <w:tcPr>
            <w:tcW w:w="3045" w:type="dxa"/>
            <w:vMerge w:val="continue"/>
            <w:vAlign w:val="center"/>
          </w:tcPr>
          <w:p w14:paraId="12807E01">
            <w:pPr>
              <w:spacing w:line="360" w:lineRule="exact"/>
              <w:ind w:firstLine="420"/>
              <w:jc w:val="center"/>
              <w:rPr>
                <w:rFonts w:hint="eastAsia"/>
                <w:bCs/>
                <w:sz w:val="21"/>
                <w:szCs w:val="21"/>
              </w:rPr>
            </w:pPr>
          </w:p>
        </w:tc>
      </w:tr>
      <w:tr w14:paraId="34448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continue"/>
            <w:vAlign w:val="center"/>
          </w:tcPr>
          <w:p w14:paraId="07DEEA54">
            <w:pPr>
              <w:pStyle w:val="31"/>
              <w:rPr>
                <w:sz w:val="21"/>
              </w:rPr>
            </w:pPr>
          </w:p>
        </w:tc>
        <w:tc>
          <w:tcPr>
            <w:tcW w:w="1305" w:type="dxa"/>
            <w:vAlign w:val="center"/>
          </w:tcPr>
          <w:p w14:paraId="7AB4143A">
            <w:pPr>
              <w:pStyle w:val="31"/>
              <w:spacing w:line="360" w:lineRule="exact"/>
              <w:rPr>
                <w:sz w:val="21"/>
                <w:highlight w:val="none"/>
              </w:rPr>
            </w:pPr>
            <w:r>
              <w:rPr>
                <w:rFonts w:hint="eastAsia"/>
                <w:sz w:val="21"/>
                <w:highlight w:val="none"/>
              </w:rPr>
              <w:t>软化水装置产生的浓盐水</w:t>
            </w:r>
          </w:p>
        </w:tc>
        <w:tc>
          <w:tcPr>
            <w:tcW w:w="1335" w:type="dxa"/>
            <w:vMerge w:val="restart"/>
            <w:vAlign w:val="center"/>
          </w:tcPr>
          <w:p w14:paraId="7EEBA347">
            <w:pPr>
              <w:pStyle w:val="31"/>
              <w:spacing w:line="360" w:lineRule="exact"/>
              <w:rPr>
                <w:sz w:val="21"/>
                <w:highlight w:val="none"/>
              </w:rPr>
            </w:pPr>
            <w:r>
              <w:rPr>
                <w:sz w:val="21"/>
                <w:highlight w:val="none"/>
              </w:rPr>
              <w:t>pH、COD、SS、BOD</w:t>
            </w:r>
            <w:r>
              <w:rPr>
                <w:sz w:val="21"/>
                <w:highlight w:val="none"/>
                <w:vertAlign w:val="subscript"/>
              </w:rPr>
              <w:t>5</w:t>
            </w:r>
            <w:r>
              <w:rPr>
                <w:sz w:val="21"/>
                <w:highlight w:val="none"/>
              </w:rPr>
              <w:t>、氨氮</w:t>
            </w:r>
          </w:p>
        </w:tc>
        <w:tc>
          <w:tcPr>
            <w:tcW w:w="3045" w:type="dxa"/>
            <w:vMerge w:val="restart"/>
            <w:vAlign w:val="center"/>
          </w:tcPr>
          <w:p w14:paraId="7CF04DF7">
            <w:pPr>
              <w:pStyle w:val="31"/>
              <w:spacing w:line="360" w:lineRule="exact"/>
              <w:rPr>
                <w:bCs/>
                <w:sz w:val="21"/>
                <w:highlight w:val="none"/>
              </w:rPr>
            </w:pPr>
            <w:r>
              <w:rPr>
                <w:rFonts w:hint="eastAsia"/>
                <w:sz w:val="21"/>
                <w:highlight w:val="none"/>
              </w:rPr>
              <w:t>经园区污水管网，汇入园区污水处理厂处理</w:t>
            </w:r>
          </w:p>
        </w:tc>
        <w:tc>
          <w:tcPr>
            <w:tcW w:w="3045" w:type="dxa"/>
            <w:vMerge w:val="continue"/>
            <w:vAlign w:val="center"/>
          </w:tcPr>
          <w:p w14:paraId="746AB833">
            <w:pPr>
              <w:spacing w:line="360" w:lineRule="exact"/>
              <w:ind w:firstLine="420"/>
              <w:jc w:val="center"/>
              <w:rPr>
                <w:bCs/>
                <w:sz w:val="21"/>
                <w:szCs w:val="21"/>
              </w:rPr>
            </w:pPr>
          </w:p>
        </w:tc>
      </w:tr>
      <w:tr w14:paraId="1CF5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continue"/>
            <w:vAlign w:val="center"/>
          </w:tcPr>
          <w:p w14:paraId="7612640E">
            <w:pPr>
              <w:pStyle w:val="31"/>
              <w:rPr>
                <w:sz w:val="21"/>
              </w:rPr>
            </w:pPr>
          </w:p>
        </w:tc>
        <w:tc>
          <w:tcPr>
            <w:tcW w:w="1305" w:type="dxa"/>
            <w:vAlign w:val="center"/>
          </w:tcPr>
          <w:p w14:paraId="671A9365">
            <w:pPr>
              <w:pStyle w:val="31"/>
              <w:spacing w:line="360" w:lineRule="exact"/>
              <w:rPr>
                <w:sz w:val="21"/>
                <w:highlight w:val="none"/>
              </w:rPr>
            </w:pPr>
            <w:r>
              <w:rPr>
                <w:rFonts w:hint="eastAsia"/>
                <w:sz w:val="21"/>
                <w:highlight w:val="none"/>
              </w:rPr>
              <w:t>蓄热式电锅炉排污水</w:t>
            </w:r>
          </w:p>
        </w:tc>
        <w:tc>
          <w:tcPr>
            <w:tcW w:w="1335" w:type="dxa"/>
            <w:vMerge w:val="continue"/>
            <w:vAlign w:val="center"/>
          </w:tcPr>
          <w:p w14:paraId="191B6C60">
            <w:pPr>
              <w:pStyle w:val="31"/>
              <w:spacing w:line="360" w:lineRule="exact"/>
              <w:rPr>
                <w:sz w:val="21"/>
                <w:highlight w:val="none"/>
              </w:rPr>
            </w:pPr>
          </w:p>
        </w:tc>
        <w:tc>
          <w:tcPr>
            <w:tcW w:w="3045" w:type="dxa"/>
            <w:vMerge w:val="continue"/>
            <w:vAlign w:val="center"/>
          </w:tcPr>
          <w:p w14:paraId="0D8EE823">
            <w:pPr>
              <w:pStyle w:val="31"/>
              <w:spacing w:line="360" w:lineRule="exact"/>
              <w:rPr>
                <w:sz w:val="21"/>
                <w:highlight w:val="none"/>
              </w:rPr>
            </w:pPr>
          </w:p>
        </w:tc>
        <w:tc>
          <w:tcPr>
            <w:tcW w:w="3045" w:type="dxa"/>
            <w:vMerge w:val="continue"/>
            <w:vAlign w:val="center"/>
          </w:tcPr>
          <w:p w14:paraId="78DA4FF1">
            <w:pPr>
              <w:spacing w:line="360" w:lineRule="exact"/>
              <w:ind w:firstLine="0" w:firstLineChars="0"/>
              <w:jc w:val="center"/>
              <w:rPr>
                <w:sz w:val="21"/>
                <w:szCs w:val="21"/>
              </w:rPr>
            </w:pPr>
          </w:p>
        </w:tc>
      </w:tr>
      <w:tr w14:paraId="7EC1F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Merge w:val="continue"/>
            <w:vAlign w:val="center"/>
          </w:tcPr>
          <w:p w14:paraId="73067083">
            <w:pPr>
              <w:pStyle w:val="31"/>
              <w:rPr>
                <w:sz w:val="21"/>
              </w:rPr>
            </w:pPr>
          </w:p>
        </w:tc>
        <w:tc>
          <w:tcPr>
            <w:tcW w:w="1305" w:type="dxa"/>
            <w:vAlign w:val="center"/>
          </w:tcPr>
          <w:p w14:paraId="51BBB741">
            <w:pPr>
              <w:pStyle w:val="31"/>
              <w:spacing w:line="360" w:lineRule="exact"/>
              <w:rPr>
                <w:sz w:val="21"/>
                <w:highlight w:val="none"/>
              </w:rPr>
            </w:pPr>
            <w:r>
              <w:rPr>
                <w:rFonts w:hint="eastAsia"/>
                <w:sz w:val="21"/>
                <w:highlight w:val="none"/>
              </w:rPr>
              <w:t>生活污水</w:t>
            </w:r>
          </w:p>
        </w:tc>
        <w:tc>
          <w:tcPr>
            <w:tcW w:w="1335" w:type="dxa"/>
            <w:vAlign w:val="center"/>
          </w:tcPr>
          <w:p w14:paraId="20C09C8B">
            <w:pPr>
              <w:pStyle w:val="31"/>
              <w:spacing w:line="360" w:lineRule="exact"/>
              <w:rPr>
                <w:sz w:val="21"/>
                <w:highlight w:val="none"/>
              </w:rPr>
            </w:pPr>
            <w:r>
              <w:rPr>
                <w:sz w:val="21"/>
                <w:highlight w:val="none"/>
              </w:rPr>
              <w:t>pH、COD、SS、BOD</w:t>
            </w:r>
            <w:r>
              <w:rPr>
                <w:sz w:val="21"/>
                <w:highlight w:val="none"/>
                <w:vertAlign w:val="subscript"/>
              </w:rPr>
              <w:t>5</w:t>
            </w:r>
            <w:r>
              <w:rPr>
                <w:sz w:val="21"/>
                <w:highlight w:val="none"/>
              </w:rPr>
              <w:t>、氨氮、</w:t>
            </w:r>
            <w:r>
              <w:rPr>
                <w:rFonts w:hint="eastAsia"/>
                <w:sz w:val="21"/>
                <w:highlight w:val="none"/>
              </w:rPr>
              <w:t>动植物油</w:t>
            </w:r>
          </w:p>
        </w:tc>
        <w:tc>
          <w:tcPr>
            <w:tcW w:w="3045" w:type="dxa"/>
            <w:vAlign w:val="center"/>
          </w:tcPr>
          <w:p w14:paraId="50D5EA7A">
            <w:pPr>
              <w:pStyle w:val="31"/>
              <w:spacing w:line="360" w:lineRule="exact"/>
              <w:rPr>
                <w:rFonts w:hint="eastAsia" w:eastAsia="宋体"/>
                <w:sz w:val="21"/>
                <w:highlight w:val="none"/>
                <w:lang w:eastAsia="zh-CN"/>
              </w:rPr>
            </w:pPr>
            <w:r>
              <w:rPr>
                <w:rFonts w:hint="eastAsia"/>
                <w:sz w:val="21"/>
                <w:highlight w:val="none"/>
                <w:lang w:eastAsia="zh-CN"/>
              </w:rPr>
              <w:t>食堂废水经隔油池</w:t>
            </w:r>
            <w:r>
              <w:rPr>
                <w:rFonts w:hint="eastAsia"/>
                <w:sz w:val="21"/>
                <w:szCs w:val="21"/>
                <w:highlight w:val="none"/>
                <w:lang w:eastAsia="zh-CN"/>
              </w:rPr>
              <w:t>（</w:t>
            </w:r>
            <w:r>
              <w:rPr>
                <w:rFonts w:hint="eastAsia"/>
                <w:sz w:val="21"/>
                <w:szCs w:val="21"/>
                <w:highlight w:val="none"/>
                <w:lang w:val="en-US" w:eastAsia="zh-CN"/>
              </w:rPr>
              <w:t>处理能力为</w:t>
            </w:r>
            <w:r>
              <w:rPr>
                <w:rFonts w:hint="eastAsia"/>
                <w:color w:val="auto"/>
                <w:sz w:val="21"/>
                <w:szCs w:val="21"/>
                <w:highlight w:val="none"/>
                <w:lang w:val="en-US" w:eastAsia="zh-CN"/>
              </w:rPr>
              <w:t>3</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/d</w:t>
            </w:r>
            <w:r>
              <w:rPr>
                <w:rFonts w:hint="eastAsia"/>
                <w:sz w:val="21"/>
                <w:szCs w:val="21"/>
                <w:highlight w:val="none"/>
                <w:lang w:eastAsia="zh-CN"/>
              </w:rPr>
              <w:t>）</w:t>
            </w:r>
            <w:r>
              <w:rPr>
                <w:rFonts w:hint="eastAsia"/>
                <w:sz w:val="21"/>
                <w:highlight w:val="none"/>
                <w:lang w:eastAsia="zh-CN"/>
              </w:rPr>
              <w:t>处理后与其它生活废水</w:t>
            </w:r>
            <w:r>
              <w:rPr>
                <w:rFonts w:hint="eastAsia"/>
                <w:sz w:val="21"/>
                <w:highlight w:val="none"/>
              </w:rPr>
              <w:t>经园区污水管网，汇入园区污水处理厂处理</w:t>
            </w:r>
          </w:p>
        </w:tc>
        <w:tc>
          <w:tcPr>
            <w:tcW w:w="3045" w:type="dxa"/>
            <w:vMerge w:val="continue"/>
            <w:vAlign w:val="center"/>
          </w:tcPr>
          <w:p w14:paraId="563B553F">
            <w:pPr>
              <w:pStyle w:val="13"/>
              <w:spacing w:after="0" w:line="360" w:lineRule="exact"/>
              <w:ind w:left="0" w:leftChars="0" w:right="41" w:rightChars="17" w:firstLine="0" w:firstLineChars="0"/>
              <w:jc w:val="center"/>
              <w:rPr>
                <w:sz w:val="21"/>
                <w:szCs w:val="21"/>
              </w:rPr>
            </w:pPr>
          </w:p>
        </w:tc>
      </w:tr>
      <w:tr w14:paraId="4B2A2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Align w:val="center"/>
          </w:tcPr>
          <w:p w14:paraId="1DC1BB52">
            <w:pPr>
              <w:pStyle w:val="31"/>
              <w:rPr>
                <w:sz w:val="21"/>
              </w:rPr>
            </w:pPr>
            <w:r>
              <w:rPr>
                <w:rFonts w:hint="eastAsia"/>
                <w:sz w:val="21"/>
              </w:rPr>
              <w:t>声环境</w:t>
            </w:r>
          </w:p>
        </w:tc>
        <w:tc>
          <w:tcPr>
            <w:tcW w:w="1305" w:type="dxa"/>
            <w:vAlign w:val="center"/>
          </w:tcPr>
          <w:p w14:paraId="2D0EFAF8">
            <w:pPr>
              <w:pStyle w:val="31"/>
              <w:spacing w:line="360" w:lineRule="exact"/>
              <w:rPr>
                <w:sz w:val="21"/>
              </w:rPr>
            </w:pPr>
            <w:r>
              <w:rPr>
                <w:rFonts w:hint="eastAsia"/>
                <w:sz w:val="21"/>
              </w:rPr>
              <w:t>生产设备运行</w:t>
            </w:r>
          </w:p>
        </w:tc>
        <w:tc>
          <w:tcPr>
            <w:tcW w:w="1335" w:type="dxa"/>
            <w:vAlign w:val="center"/>
          </w:tcPr>
          <w:p w14:paraId="3F4D9820">
            <w:pPr>
              <w:pStyle w:val="31"/>
              <w:spacing w:line="360" w:lineRule="exact"/>
              <w:rPr>
                <w:sz w:val="21"/>
              </w:rPr>
            </w:pPr>
            <w:r>
              <w:rPr>
                <w:rFonts w:hint="eastAsia"/>
                <w:sz w:val="21"/>
              </w:rPr>
              <w:t>噪声</w:t>
            </w:r>
          </w:p>
        </w:tc>
        <w:tc>
          <w:tcPr>
            <w:tcW w:w="3045" w:type="dxa"/>
            <w:vAlign w:val="center"/>
          </w:tcPr>
          <w:p w14:paraId="3DB58493">
            <w:pPr>
              <w:pStyle w:val="31"/>
              <w:spacing w:line="360" w:lineRule="exact"/>
              <w:rPr>
                <w:sz w:val="21"/>
              </w:rPr>
            </w:pPr>
            <w:r>
              <w:rPr>
                <w:rFonts w:hint="eastAsia"/>
                <w:sz w:val="21"/>
              </w:rPr>
              <w:t>基础减振，厂房隔声、距离衰减</w:t>
            </w:r>
          </w:p>
        </w:tc>
        <w:tc>
          <w:tcPr>
            <w:tcW w:w="3045" w:type="dxa"/>
            <w:vAlign w:val="center"/>
          </w:tcPr>
          <w:p w14:paraId="0168D6E6">
            <w:pPr>
              <w:pStyle w:val="31"/>
              <w:spacing w:line="360" w:lineRule="exact"/>
              <w:rPr>
                <w:sz w:val="21"/>
              </w:rPr>
            </w:pPr>
            <w:r>
              <w:rPr>
                <w:rFonts w:hint="eastAsia"/>
                <w:sz w:val="21"/>
              </w:rPr>
              <w:t>东侧、北侧厂界满足</w:t>
            </w:r>
            <w:r>
              <w:rPr>
                <w:sz w:val="21"/>
              </w:rPr>
              <w:t>《工业企业厂界环境噪声排放标准》（GB12348-2008）中</w:t>
            </w:r>
            <w:r>
              <w:rPr>
                <w:rFonts w:hint="eastAsia"/>
                <w:sz w:val="21"/>
              </w:rPr>
              <w:t>4类标准，</w:t>
            </w:r>
          </w:p>
          <w:p w14:paraId="67166C64">
            <w:pPr>
              <w:pStyle w:val="31"/>
              <w:spacing w:line="360" w:lineRule="exact"/>
              <w:rPr>
                <w:sz w:val="21"/>
              </w:rPr>
            </w:pPr>
            <w:r>
              <w:rPr>
                <w:rFonts w:hint="eastAsia"/>
                <w:sz w:val="21"/>
              </w:rPr>
              <w:t>西侧、南侧厂界满足</w:t>
            </w:r>
            <w:r>
              <w:rPr>
                <w:sz w:val="21"/>
              </w:rPr>
              <w:t>《工业企业厂界环境噪声排放标准》（GB12348-2008）中</w:t>
            </w:r>
            <w:r>
              <w:rPr>
                <w:rFonts w:hint="eastAsia"/>
                <w:sz w:val="21"/>
              </w:rPr>
              <w:t>3类标准</w:t>
            </w:r>
          </w:p>
        </w:tc>
      </w:tr>
      <w:tr w14:paraId="13352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 w:type="dxa"/>
            <w:vAlign w:val="center"/>
          </w:tcPr>
          <w:p w14:paraId="74E3C4CA">
            <w:pPr>
              <w:pStyle w:val="31"/>
              <w:rPr>
                <w:sz w:val="21"/>
              </w:rPr>
            </w:pPr>
            <w:r>
              <w:rPr>
                <w:rFonts w:hint="eastAsia"/>
                <w:sz w:val="21"/>
              </w:rPr>
              <w:t>电磁辐射</w:t>
            </w:r>
          </w:p>
        </w:tc>
        <w:tc>
          <w:tcPr>
            <w:tcW w:w="1305" w:type="dxa"/>
            <w:vAlign w:val="center"/>
          </w:tcPr>
          <w:p w14:paraId="3AF3D7A0">
            <w:pPr>
              <w:pStyle w:val="31"/>
              <w:spacing w:line="360" w:lineRule="auto"/>
              <w:rPr>
                <w:sz w:val="21"/>
              </w:rPr>
            </w:pPr>
            <w:r>
              <w:rPr>
                <w:rFonts w:hint="eastAsia"/>
                <w:sz w:val="21"/>
              </w:rPr>
              <w:t>-</w:t>
            </w:r>
          </w:p>
        </w:tc>
        <w:tc>
          <w:tcPr>
            <w:tcW w:w="1335" w:type="dxa"/>
            <w:vAlign w:val="center"/>
          </w:tcPr>
          <w:p w14:paraId="252D1E60">
            <w:pPr>
              <w:pStyle w:val="31"/>
              <w:spacing w:line="360" w:lineRule="auto"/>
              <w:rPr>
                <w:sz w:val="21"/>
              </w:rPr>
            </w:pPr>
            <w:r>
              <w:rPr>
                <w:rFonts w:hint="eastAsia"/>
                <w:sz w:val="21"/>
              </w:rPr>
              <w:t>-</w:t>
            </w:r>
          </w:p>
        </w:tc>
        <w:tc>
          <w:tcPr>
            <w:tcW w:w="3045" w:type="dxa"/>
            <w:vAlign w:val="center"/>
          </w:tcPr>
          <w:p w14:paraId="4CBED3F1">
            <w:pPr>
              <w:pStyle w:val="31"/>
              <w:spacing w:line="360" w:lineRule="auto"/>
              <w:rPr>
                <w:sz w:val="21"/>
              </w:rPr>
            </w:pPr>
            <w:r>
              <w:rPr>
                <w:rFonts w:hint="eastAsia"/>
                <w:sz w:val="21"/>
              </w:rPr>
              <w:t>-</w:t>
            </w:r>
          </w:p>
        </w:tc>
        <w:tc>
          <w:tcPr>
            <w:tcW w:w="3045" w:type="dxa"/>
            <w:vAlign w:val="center"/>
          </w:tcPr>
          <w:p w14:paraId="3110A4C4">
            <w:pPr>
              <w:pStyle w:val="31"/>
              <w:spacing w:line="360" w:lineRule="auto"/>
              <w:rPr>
                <w:sz w:val="21"/>
              </w:rPr>
            </w:pPr>
            <w:r>
              <w:rPr>
                <w:rFonts w:hint="eastAsia"/>
                <w:sz w:val="21"/>
              </w:rPr>
              <w:t>-</w:t>
            </w:r>
          </w:p>
        </w:tc>
      </w:tr>
      <w:tr w14:paraId="2187D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8" w:type="dxa"/>
            <w:vAlign w:val="center"/>
          </w:tcPr>
          <w:p w14:paraId="0CCFFBBE">
            <w:pPr>
              <w:pStyle w:val="31"/>
              <w:spacing w:line="240" w:lineRule="auto"/>
              <w:rPr>
                <w:sz w:val="21"/>
              </w:rPr>
            </w:pPr>
            <w:r>
              <w:rPr>
                <w:rFonts w:hint="eastAsia"/>
                <w:sz w:val="21"/>
              </w:rPr>
              <w:t>固体废物</w:t>
            </w:r>
          </w:p>
        </w:tc>
        <w:tc>
          <w:tcPr>
            <w:tcW w:w="8730" w:type="dxa"/>
            <w:gridSpan w:val="4"/>
            <w:vAlign w:val="center"/>
          </w:tcPr>
          <w:p w14:paraId="5722F5D9">
            <w:pPr>
              <w:spacing w:line="360" w:lineRule="auto"/>
              <w:ind w:firstLine="420"/>
              <w:rPr>
                <w:sz w:val="21"/>
                <w:szCs w:val="21"/>
              </w:rPr>
            </w:pPr>
            <w:r>
              <w:rPr>
                <w:rFonts w:hint="eastAsia"/>
                <w:sz w:val="21"/>
                <w:szCs w:val="21"/>
              </w:rPr>
              <w:t>本项目固体废物包括一般工业固体废物、职工生活垃圾，危险废物。</w:t>
            </w:r>
          </w:p>
          <w:p w14:paraId="1BCEBD44">
            <w:pPr>
              <w:spacing w:line="360" w:lineRule="auto"/>
              <w:ind w:firstLine="420"/>
              <w:rPr>
                <w:sz w:val="21"/>
                <w:szCs w:val="21"/>
                <w:highlight w:val="none"/>
              </w:rPr>
            </w:pPr>
            <w:r>
              <w:rPr>
                <w:rFonts w:hint="eastAsia"/>
                <w:sz w:val="21"/>
                <w:szCs w:val="21"/>
              </w:rPr>
              <w:t>一般工业固体废物：</w:t>
            </w:r>
            <w:r>
              <w:rPr>
                <w:rFonts w:hint="eastAsia" w:ascii="脣脦脤氓" w:hAnsi="脣脦脤氓" w:eastAsia="脣脦脤氓" w:cs="脣脦脤氓"/>
                <w:color w:val="000000"/>
                <w:kern w:val="0"/>
                <w:sz w:val="21"/>
                <w:szCs w:val="21"/>
              </w:rPr>
              <w:t>一般</w:t>
            </w:r>
            <w:r>
              <w:rPr>
                <w:rFonts w:ascii="脣脦脤氓" w:hAnsi="脣脦脤氓" w:eastAsia="脣脦脤氓" w:cs="脣脦脤氓"/>
                <w:color w:val="000000"/>
                <w:kern w:val="0"/>
                <w:sz w:val="21"/>
                <w:szCs w:val="21"/>
              </w:rPr>
              <w:t>固体废物收集后暂存于一般工业固废暂存间</w:t>
            </w:r>
            <w:r>
              <w:rPr>
                <w:rFonts w:hint="eastAsia" w:ascii="脣脦脤氓" w:hAnsi="脣脦脤氓" w:eastAsia="脣脦脤氓" w:cs="脣脦脤氓"/>
                <w:color w:val="000000"/>
                <w:kern w:val="0"/>
                <w:sz w:val="21"/>
                <w:szCs w:val="21"/>
              </w:rPr>
              <w:t>、</w:t>
            </w:r>
            <w:r>
              <w:rPr>
                <w:rFonts w:hint="eastAsia" w:ascii="宋体" w:hAnsi="宋体" w:cs="宋体"/>
                <w:color w:val="000000"/>
                <w:kern w:val="0"/>
                <w:sz w:val="21"/>
                <w:szCs w:val="21"/>
              </w:rPr>
              <w:t>铁屑</w:t>
            </w:r>
            <w:r>
              <w:rPr>
                <w:rFonts w:hint="eastAsia" w:ascii="脣脦脤氓" w:hAnsi="脣脦脤氓" w:eastAsia="脣脦脤氓" w:cs="脣脦脤氓"/>
                <w:color w:val="000000"/>
                <w:kern w:val="0"/>
                <w:sz w:val="21"/>
                <w:szCs w:val="21"/>
              </w:rPr>
              <w:t>池或垃圾站</w:t>
            </w:r>
            <w:r>
              <w:rPr>
                <w:rFonts w:ascii="脣脦脤氓" w:hAnsi="脣脦脤氓" w:eastAsia="脣脦脤氓" w:cs="脣脦脤氓"/>
                <w:color w:val="000000"/>
                <w:kern w:val="0"/>
                <w:sz w:val="21"/>
                <w:szCs w:val="21"/>
              </w:rPr>
              <w:t>，其中</w:t>
            </w:r>
            <w:r>
              <w:rPr>
                <w:rFonts w:hint="eastAsia" w:ascii="脣脦脤氓" w:hAnsi="脣脦脤氓" w:eastAsia="脣脦脤氓" w:cs="脣脦脤氓"/>
                <w:color w:val="000000"/>
                <w:kern w:val="0"/>
                <w:sz w:val="21"/>
                <w:szCs w:val="21"/>
              </w:rPr>
              <w:t>不合格工件、下脚料、除尘灰</w:t>
            </w:r>
            <w:r>
              <w:rPr>
                <w:rFonts w:hint="eastAsia" w:ascii="脣脦脤氓" w:hAnsi="脣脦脤氓" w:cs="脣脦脤氓"/>
                <w:color w:val="000000"/>
                <w:kern w:val="0"/>
                <w:sz w:val="21"/>
                <w:szCs w:val="21"/>
              </w:rPr>
              <w:t>、废金属沉淀物</w:t>
            </w:r>
            <w:r>
              <w:rPr>
                <w:rFonts w:ascii="脣脦脤氓" w:hAnsi="脣脦脤氓" w:eastAsia="脣脦脤氓" w:cs="脣脦脤氓"/>
                <w:color w:val="000000"/>
                <w:kern w:val="0"/>
                <w:sz w:val="21"/>
                <w:szCs w:val="21"/>
              </w:rPr>
              <w:t>等</w:t>
            </w:r>
            <w:r>
              <w:rPr>
                <w:rFonts w:hint="eastAsia" w:ascii="脣脦脤氓" w:hAnsi="脣脦脤氓" w:eastAsia="脣脦脤氓" w:cs="脣脦脤氓"/>
                <w:color w:val="000000"/>
                <w:kern w:val="0"/>
                <w:sz w:val="21"/>
                <w:szCs w:val="21"/>
              </w:rPr>
              <w:t>暂存于一般固废间，集中</w:t>
            </w:r>
            <w:r>
              <w:rPr>
                <w:rFonts w:ascii="脣脦脤氓" w:hAnsi="脣脦脤氓" w:eastAsia="脣脦脤氓" w:cs="脣脦脤氓"/>
                <w:color w:val="000000"/>
                <w:kern w:val="0"/>
                <w:sz w:val="21"/>
                <w:szCs w:val="21"/>
              </w:rPr>
              <w:t>外售</w:t>
            </w:r>
            <w:r>
              <w:rPr>
                <w:rFonts w:hint="eastAsia" w:ascii="脣脦脤氓" w:hAnsi="脣脦脤氓" w:eastAsia="脣脦脤氓" w:cs="脣脦脤氓"/>
                <w:color w:val="000000"/>
                <w:kern w:val="0"/>
                <w:sz w:val="21"/>
                <w:szCs w:val="21"/>
              </w:rPr>
              <w:t>钢铁企业作为原料；废</w:t>
            </w:r>
            <w:r>
              <w:rPr>
                <w:rFonts w:hint="eastAsia" w:ascii="宋体" w:hAnsi="宋体" w:cs="宋体"/>
                <w:color w:val="000000"/>
                <w:kern w:val="0"/>
                <w:sz w:val="21"/>
                <w:szCs w:val="21"/>
              </w:rPr>
              <w:t>铁屑</w:t>
            </w:r>
            <w:r>
              <w:rPr>
                <w:rFonts w:hint="eastAsia" w:ascii="脣脦脤氓" w:hAnsi="脣脦脤氓" w:eastAsia="脣脦脤氓" w:cs="脣脦脤氓"/>
                <w:color w:val="000000"/>
                <w:kern w:val="0"/>
                <w:sz w:val="21"/>
                <w:szCs w:val="21"/>
              </w:rPr>
              <w:t>暂存于</w:t>
            </w:r>
            <w:r>
              <w:rPr>
                <w:rFonts w:hint="eastAsia" w:ascii="宋体" w:hAnsi="宋体" w:cs="宋体"/>
                <w:color w:val="000000"/>
                <w:kern w:val="0"/>
                <w:sz w:val="21"/>
                <w:szCs w:val="21"/>
              </w:rPr>
              <w:t>铁屑</w:t>
            </w:r>
            <w:r>
              <w:rPr>
                <w:rFonts w:hint="eastAsia" w:ascii="脣脦脤氓" w:hAnsi="脣脦脤氓" w:eastAsia="脣脦脤氓" w:cs="脣脦脤氓"/>
                <w:color w:val="000000"/>
                <w:kern w:val="0"/>
                <w:sz w:val="21"/>
                <w:szCs w:val="21"/>
              </w:rPr>
              <w:t>池，集中</w:t>
            </w:r>
            <w:r>
              <w:rPr>
                <w:rFonts w:ascii="脣脦脤氓" w:hAnsi="脣脦脤氓" w:eastAsia="脣脦脤氓" w:cs="脣脦脤氓"/>
                <w:color w:val="000000"/>
                <w:kern w:val="0"/>
                <w:sz w:val="21"/>
                <w:szCs w:val="21"/>
              </w:rPr>
              <w:t>外售</w:t>
            </w:r>
            <w:r>
              <w:rPr>
                <w:rFonts w:hint="eastAsia" w:ascii="脣脦脤氓" w:hAnsi="脣脦脤氓" w:eastAsia="脣脦脤氓" w:cs="脣脦脤氓"/>
                <w:color w:val="000000"/>
                <w:kern w:val="0"/>
                <w:sz w:val="21"/>
                <w:szCs w:val="21"/>
              </w:rPr>
              <w:t>钢铁企业作为原料；</w:t>
            </w:r>
            <w:r>
              <w:rPr>
                <w:rFonts w:hint="eastAsia" w:ascii="脣脦脤氓" w:hAnsi="脣脦脤氓" w:cs="脣脦脤氓"/>
                <w:color w:val="000000"/>
                <w:kern w:val="0"/>
                <w:sz w:val="21"/>
                <w:szCs w:val="21"/>
              </w:rPr>
              <w:t>废布袋暂存于一般固废间，</w:t>
            </w:r>
            <w:r>
              <w:rPr>
                <w:rFonts w:hint="eastAsia" w:ascii="脣脦脤氓" w:hAnsi="脣脦脤氓" w:eastAsia="脣脦脤氓" w:cs="脣脦脤氓"/>
                <w:color w:val="000000"/>
                <w:kern w:val="0"/>
                <w:sz w:val="21"/>
                <w:szCs w:val="21"/>
              </w:rPr>
              <w:t>集中</w:t>
            </w:r>
            <w:r>
              <w:rPr>
                <w:rFonts w:ascii="脣脦脤氓" w:hAnsi="脣脦脤氓" w:eastAsia="脣脦脤氓" w:cs="脣脦脤氓"/>
                <w:color w:val="000000"/>
                <w:kern w:val="0"/>
                <w:sz w:val="21"/>
                <w:szCs w:val="21"/>
              </w:rPr>
              <w:t>外售废旧物资收购站</w:t>
            </w:r>
            <w:r>
              <w:rPr>
                <w:rFonts w:hint="eastAsia" w:ascii="脣脦脤氓" w:hAnsi="脣脦脤氓" w:cs="脣脦脤氓"/>
                <w:color w:val="000000"/>
                <w:kern w:val="0"/>
                <w:sz w:val="21"/>
                <w:szCs w:val="21"/>
              </w:rPr>
              <w:t>；</w:t>
            </w:r>
            <w:r>
              <w:rPr>
                <w:rFonts w:hint="eastAsia" w:ascii="脣脦脤氓" w:hAnsi="脣脦脤氓" w:eastAsia="脣脦脤氓" w:cs="脣脦脤氓"/>
                <w:color w:val="000000"/>
                <w:kern w:val="0"/>
                <w:sz w:val="21"/>
                <w:szCs w:val="21"/>
              </w:rPr>
              <w:t>废包装箱暂存于垃圾站，集中</w:t>
            </w:r>
            <w:r>
              <w:rPr>
                <w:rFonts w:ascii="脣脦脤氓" w:hAnsi="脣脦脤氓" w:eastAsia="脣脦脤氓" w:cs="脣脦脤氓"/>
                <w:color w:val="000000"/>
                <w:kern w:val="0"/>
                <w:sz w:val="21"/>
                <w:szCs w:val="21"/>
              </w:rPr>
              <w:t>外售废旧物资收购站</w:t>
            </w:r>
            <w:r>
              <w:rPr>
                <w:rFonts w:hint="eastAsia" w:ascii="脣脦脤氓" w:hAnsi="脣脦脤氓" w:cs="脣脦脤氓" w:eastAsiaTheme="minorEastAsia"/>
                <w:color w:val="000000"/>
                <w:kern w:val="0"/>
                <w:sz w:val="21"/>
                <w:szCs w:val="21"/>
              </w:rPr>
              <w:t>；</w:t>
            </w:r>
            <w:r>
              <w:rPr>
                <w:rFonts w:hint="eastAsia" w:ascii="脣脦脤氓" w:hAnsi="脣脦脤氓" w:cs="脣脦脤氓" w:eastAsiaTheme="minorEastAsia"/>
                <w:color w:val="000000"/>
                <w:kern w:val="0"/>
                <w:sz w:val="21"/>
                <w:szCs w:val="21"/>
                <w:highlight w:val="none"/>
              </w:rPr>
              <w:t>废树脂及时外售回收单位</w:t>
            </w:r>
            <w:r>
              <w:rPr>
                <w:rFonts w:hint="eastAsia" w:ascii="脣脦脤氓" w:hAnsi="脣脦脤氓" w:eastAsia="脣脦脤氓" w:cs="脣脦脤氓"/>
                <w:color w:val="000000"/>
                <w:kern w:val="0"/>
                <w:sz w:val="21"/>
                <w:szCs w:val="21"/>
                <w:highlight w:val="none"/>
              </w:rPr>
              <w:t>。</w:t>
            </w:r>
          </w:p>
          <w:p w14:paraId="0D167E6C">
            <w:pPr>
              <w:adjustRightInd w:val="0"/>
              <w:snapToGrid w:val="0"/>
              <w:spacing w:line="360" w:lineRule="auto"/>
              <w:ind w:firstLine="420"/>
              <w:rPr>
                <w:sz w:val="21"/>
                <w:szCs w:val="21"/>
                <w:highlight w:val="none"/>
              </w:rPr>
            </w:pPr>
            <w:r>
              <w:rPr>
                <w:sz w:val="21"/>
                <w:szCs w:val="21"/>
                <w:highlight w:val="none"/>
              </w:rPr>
              <w:t>职工生活垃圾</w:t>
            </w:r>
            <w:r>
              <w:rPr>
                <w:rFonts w:hint="eastAsia"/>
                <w:sz w:val="21"/>
                <w:szCs w:val="21"/>
                <w:highlight w:val="none"/>
              </w:rPr>
              <w:t>：袋装化，</w:t>
            </w:r>
            <w:r>
              <w:rPr>
                <w:sz w:val="21"/>
                <w:szCs w:val="21"/>
                <w:highlight w:val="none"/>
              </w:rPr>
              <w:t>集中收集，送当地环卫部门指定地点</w:t>
            </w:r>
            <w:r>
              <w:rPr>
                <w:rFonts w:hint="eastAsia"/>
                <w:sz w:val="21"/>
                <w:szCs w:val="21"/>
                <w:highlight w:val="none"/>
              </w:rPr>
              <w:t>统</w:t>
            </w:r>
            <w:r>
              <w:rPr>
                <w:sz w:val="21"/>
                <w:szCs w:val="21"/>
                <w:highlight w:val="none"/>
              </w:rPr>
              <w:t>一处理</w:t>
            </w:r>
            <w:r>
              <w:rPr>
                <w:rFonts w:hint="eastAsia"/>
                <w:sz w:val="21"/>
                <w:szCs w:val="21"/>
                <w:highlight w:val="none"/>
              </w:rPr>
              <w:t>。</w:t>
            </w:r>
          </w:p>
          <w:p w14:paraId="7B832A3A">
            <w:pPr>
              <w:spacing w:line="360" w:lineRule="auto"/>
              <w:ind w:firstLine="420"/>
              <w:rPr>
                <w:sz w:val="21"/>
                <w:szCs w:val="21"/>
              </w:rPr>
            </w:pPr>
            <w:r>
              <w:rPr>
                <w:rFonts w:hint="eastAsia"/>
                <w:sz w:val="21"/>
                <w:szCs w:val="21"/>
                <w:highlight w:val="none"/>
              </w:rPr>
              <w:t>危险废物：生产过程产生的</w:t>
            </w:r>
            <w:r>
              <w:rPr>
                <w:rFonts w:ascii="脣脦脤氓" w:hAnsi="脣脦脤氓" w:eastAsia="脣脦脤氓" w:cs="脣脦脤氓"/>
                <w:color w:val="000000"/>
                <w:kern w:val="0"/>
                <w:sz w:val="21"/>
                <w:szCs w:val="21"/>
                <w:highlight w:val="none"/>
              </w:rPr>
              <w:t>废润滑油、废液压油、废切削液</w:t>
            </w:r>
            <w:r>
              <w:rPr>
                <w:rFonts w:hint="eastAsia" w:ascii="脣脦脤氓" w:hAnsi="脣脦脤氓" w:eastAsia="脣脦脤氓" w:cs="脣脦脤氓"/>
                <w:color w:val="000000"/>
                <w:kern w:val="0"/>
                <w:sz w:val="21"/>
                <w:szCs w:val="21"/>
                <w:highlight w:val="none"/>
              </w:rPr>
              <w:t>、废</w:t>
            </w:r>
            <w:r>
              <w:rPr>
                <w:rFonts w:hint="eastAsia" w:ascii="脣脦脤氓" w:hAnsi="脣脦脤氓" w:cs="脣脦脤氓"/>
                <w:color w:val="000000"/>
                <w:kern w:val="0"/>
                <w:sz w:val="21"/>
                <w:szCs w:val="21"/>
                <w:highlight w:val="none"/>
                <w:lang w:eastAsia="zh-CN"/>
              </w:rPr>
              <w:t>淬火油</w:t>
            </w:r>
            <w:r>
              <w:rPr>
                <w:rFonts w:hint="eastAsia" w:ascii="脣脦脤氓" w:hAnsi="脣脦脤氓" w:cs="脣脦脤氓"/>
                <w:color w:val="000000"/>
                <w:kern w:val="0"/>
                <w:sz w:val="21"/>
                <w:szCs w:val="21"/>
                <w:highlight w:val="none"/>
              </w:rPr>
              <w:t>、油污</w:t>
            </w:r>
            <w:r>
              <w:rPr>
                <w:sz w:val="21"/>
                <w:szCs w:val="21"/>
                <w:highlight w:val="none"/>
              </w:rPr>
              <w:t>采用专用容器密封储存，暂存于</w:t>
            </w:r>
            <w:r>
              <w:rPr>
                <w:rFonts w:hint="eastAsia"/>
                <w:sz w:val="21"/>
                <w:szCs w:val="21"/>
                <w:highlight w:val="none"/>
              </w:rPr>
              <w:t>原有的</w:t>
            </w:r>
            <w:r>
              <w:rPr>
                <w:sz w:val="21"/>
                <w:szCs w:val="21"/>
                <w:highlight w:val="none"/>
              </w:rPr>
              <w:t>危废暂存间内，定期交有资质单位统一处理</w:t>
            </w:r>
            <w:r>
              <w:rPr>
                <w:rFonts w:hint="eastAsia" w:ascii="脣脦脤氓" w:hAnsi="脣脦脤氓" w:eastAsia="脣脦脤氓" w:cs="脣脦脤氓"/>
                <w:color w:val="000000"/>
                <w:kern w:val="0"/>
                <w:sz w:val="21"/>
                <w:szCs w:val="21"/>
                <w:highlight w:val="none"/>
              </w:rPr>
              <w:t>；</w:t>
            </w:r>
            <w:r>
              <w:rPr>
                <w:rFonts w:ascii="脣脦脤氓" w:hAnsi="脣脦脤氓" w:eastAsia="脣脦脤氓" w:cs="脣脦脤氓"/>
                <w:color w:val="000000"/>
                <w:kern w:val="0"/>
                <w:sz w:val="21"/>
                <w:szCs w:val="21"/>
                <w:highlight w:val="none"/>
              </w:rPr>
              <w:t>含油</w:t>
            </w:r>
            <w:r>
              <w:rPr>
                <w:rFonts w:hint="eastAsia" w:ascii="宋体" w:hAnsi="宋体" w:cs="宋体"/>
                <w:color w:val="000000"/>
                <w:kern w:val="0"/>
                <w:sz w:val="21"/>
                <w:szCs w:val="21"/>
                <w:highlight w:val="none"/>
              </w:rPr>
              <w:t>铁屑</w:t>
            </w:r>
            <w:r>
              <w:rPr>
                <w:rFonts w:hint="eastAsia" w:ascii="宋体" w:hAnsi="宋体" w:cs="宋体"/>
                <w:color w:val="000000"/>
                <w:kern w:val="0"/>
                <w:sz w:val="21"/>
                <w:szCs w:val="21"/>
                <w:highlight w:val="none"/>
                <w:lang w:eastAsia="zh-CN"/>
              </w:rPr>
              <w:t>、</w:t>
            </w:r>
            <w:r>
              <w:rPr>
                <w:rFonts w:hint="eastAsia" w:ascii="脣脦脤氓" w:hAnsi="脣脦脤氓" w:cs="脣脦脤氓" w:eastAsiaTheme="minorEastAsia"/>
                <w:color w:val="000000"/>
                <w:kern w:val="0"/>
                <w:sz w:val="21"/>
                <w:szCs w:val="21"/>
                <w:highlight w:val="none"/>
              </w:rPr>
              <w:t>含油金属沉淀物</w:t>
            </w:r>
            <w:r>
              <w:rPr>
                <w:color w:val="000000"/>
                <w:kern w:val="0"/>
                <w:sz w:val="21"/>
                <w:szCs w:val="21"/>
                <w:highlight w:val="none"/>
              </w:rPr>
              <w:t>经甩干机甩干达到静置无滴漏后打包</w:t>
            </w:r>
            <w:r>
              <w:rPr>
                <w:rFonts w:hint="eastAsia"/>
                <w:color w:val="000000"/>
                <w:kern w:val="0"/>
                <w:sz w:val="21"/>
                <w:szCs w:val="21"/>
                <w:highlight w:val="none"/>
                <w:lang w:eastAsia="zh-CN"/>
              </w:rPr>
              <w:t>（</w:t>
            </w:r>
            <w:r>
              <w:rPr>
                <w:color w:val="000000"/>
                <w:kern w:val="0"/>
                <w:sz w:val="21"/>
                <w:szCs w:val="21"/>
                <w:highlight w:val="none"/>
              </w:rPr>
              <w:t>压块</w:t>
            </w:r>
            <w:r>
              <w:rPr>
                <w:rFonts w:hint="eastAsia"/>
                <w:color w:val="000000"/>
                <w:kern w:val="0"/>
                <w:sz w:val="21"/>
                <w:szCs w:val="21"/>
                <w:highlight w:val="none"/>
                <w:lang w:eastAsia="zh-CN"/>
              </w:rPr>
              <w:t>）</w:t>
            </w:r>
            <w:r>
              <w:rPr>
                <w:color w:val="000000"/>
                <w:kern w:val="0"/>
                <w:sz w:val="21"/>
                <w:szCs w:val="21"/>
                <w:highlight w:val="none"/>
              </w:rPr>
              <w:t>暂存于</w:t>
            </w:r>
            <w:r>
              <w:rPr>
                <w:rFonts w:hint="eastAsia"/>
                <w:color w:val="000000"/>
                <w:kern w:val="0"/>
                <w:sz w:val="21"/>
                <w:szCs w:val="21"/>
                <w:highlight w:val="none"/>
              </w:rPr>
              <w:t>危废暂存间</w:t>
            </w:r>
            <w:r>
              <w:rPr>
                <w:color w:val="000000"/>
                <w:kern w:val="0"/>
                <w:sz w:val="21"/>
                <w:szCs w:val="21"/>
                <w:highlight w:val="none"/>
              </w:rPr>
              <w:t>，定期外售钢铁企业作为冶炼原料，甩干过程产生的废液与废润滑油等一并处置</w:t>
            </w:r>
            <w:r>
              <w:rPr>
                <w:rFonts w:hint="eastAsia" w:ascii="脣脦脤氓" w:hAnsi="脣脦脤氓" w:eastAsia="脣脦脤氓" w:cs="脣脦脤氓"/>
                <w:color w:val="000000"/>
                <w:kern w:val="0"/>
                <w:sz w:val="21"/>
                <w:szCs w:val="21"/>
                <w:highlight w:val="none"/>
              </w:rPr>
              <w:t>；废油桶</w:t>
            </w:r>
            <w:r>
              <w:rPr>
                <w:rFonts w:hint="eastAsia"/>
                <w:sz w:val="21"/>
                <w:highlight w:val="none"/>
              </w:rPr>
              <w:t>封口处于打开状态、静置无滴漏且经打包压块后用于金属冶炼</w:t>
            </w:r>
            <w:r>
              <w:rPr>
                <w:rFonts w:hint="eastAsia"/>
                <w:sz w:val="21"/>
                <w:szCs w:val="21"/>
                <w:highlight w:val="none"/>
              </w:rPr>
              <w:t>；</w:t>
            </w:r>
            <w:r>
              <w:rPr>
                <w:rFonts w:hint="eastAsia" w:ascii="脣脦脤氓" w:hAnsi="脣脦脤氓" w:eastAsia="脣脦脤氓" w:cs="脣脦脤氓"/>
                <w:color w:val="000000"/>
                <w:kern w:val="0"/>
                <w:sz w:val="21"/>
                <w:szCs w:val="21"/>
                <w:highlight w:val="none"/>
              </w:rPr>
              <w:t>废活性炭</w:t>
            </w:r>
            <w:r>
              <w:rPr>
                <w:sz w:val="21"/>
                <w:szCs w:val="21"/>
                <w:highlight w:val="none"/>
              </w:rPr>
              <w:t>采用密封</w:t>
            </w:r>
            <w:r>
              <w:rPr>
                <w:rFonts w:hint="eastAsia"/>
                <w:sz w:val="21"/>
                <w:szCs w:val="21"/>
                <w:highlight w:val="none"/>
              </w:rPr>
              <w:t>袋装</w:t>
            </w:r>
            <w:r>
              <w:rPr>
                <w:sz w:val="21"/>
                <w:szCs w:val="21"/>
                <w:highlight w:val="none"/>
              </w:rPr>
              <w:t>储存，暂存于</w:t>
            </w:r>
            <w:r>
              <w:rPr>
                <w:rFonts w:hint="eastAsia"/>
                <w:sz w:val="21"/>
                <w:szCs w:val="21"/>
                <w:highlight w:val="none"/>
              </w:rPr>
              <w:t>原</w:t>
            </w:r>
            <w:r>
              <w:rPr>
                <w:rFonts w:hint="eastAsia"/>
                <w:sz w:val="21"/>
                <w:szCs w:val="21"/>
                <w:highlight w:val="none"/>
                <w:lang w:eastAsia="zh-CN"/>
              </w:rPr>
              <w:t>危废暂存间</w:t>
            </w:r>
            <w:r>
              <w:rPr>
                <w:sz w:val="21"/>
                <w:szCs w:val="21"/>
                <w:highlight w:val="none"/>
              </w:rPr>
              <w:t>内，</w:t>
            </w:r>
            <w:r>
              <w:rPr>
                <w:sz w:val="21"/>
                <w:szCs w:val="21"/>
              </w:rPr>
              <w:t>定期交有资质单位统一处理。</w:t>
            </w:r>
          </w:p>
        </w:tc>
      </w:tr>
      <w:tr w14:paraId="3D84C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8" w:type="dxa"/>
            <w:vAlign w:val="center"/>
          </w:tcPr>
          <w:p w14:paraId="0724ADCF">
            <w:pPr>
              <w:pStyle w:val="31"/>
              <w:spacing w:line="240" w:lineRule="auto"/>
              <w:rPr>
                <w:color w:val="0070C0"/>
                <w:sz w:val="21"/>
              </w:rPr>
            </w:pPr>
            <w:r>
              <w:rPr>
                <w:rFonts w:hint="eastAsia"/>
                <w:sz w:val="21"/>
              </w:rPr>
              <w:t>土壤及地下水污染防治措施</w:t>
            </w:r>
          </w:p>
        </w:tc>
        <w:tc>
          <w:tcPr>
            <w:tcW w:w="8730" w:type="dxa"/>
            <w:gridSpan w:val="4"/>
            <w:vAlign w:val="center"/>
          </w:tcPr>
          <w:p w14:paraId="2688F2E0">
            <w:pPr>
              <w:snapToGrid w:val="0"/>
              <w:spacing w:line="360" w:lineRule="auto"/>
              <w:ind w:firstLine="420"/>
              <w:jc w:val="center"/>
              <w:rPr>
                <w:color w:val="0070C0"/>
                <w:sz w:val="21"/>
                <w:szCs w:val="21"/>
              </w:rPr>
            </w:pPr>
            <w:r>
              <w:rPr>
                <w:rFonts w:hint="eastAsia" w:ascii="宋体" w:hAnsi="宋体" w:cs="宋体"/>
                <w:sz w:val="21"/>
                <w:szCs w:val="21"/>
              </w:rPr>
              <w:t>车间地面全部做好硬化，厂区除绿化外全部硬化，做好分区防渗处理。</w:t>
            </w:r>
          </w:p>
        </w:tc>
      </w:tr>
      <w:tr w14:paraId="56E71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8" w:type="dxa"/>
            <w:vAlign w:val="center"/>
          </w:tcPr>
          <w:p w14:paraId="4CFA42C3">
            <w:pPr>
              <w:pStyle w:val="31"/>
              <w:spacing w:line="240" w:lineRule="auto"/>
              <w:rPr>
                <w:sz w:val="21"/>
              </w:rPr>
            </w:pPr>
            <w:r>
              <w:rPr>
                <w:rFonts w:hint="eastAsia"/>
                <w:sz w:val="21"/>
              </w:rPr>
              <w:t>生态保护措施</w:t>
            </w:r>
          </w:p>
        </w:tc>
        <w:tc>
          <w:tcPr>
            <w:tcW w:w="8730" w:type="dxa"/>
            <w:gridSpan w:val="4"/>
            <w:vAlign w:val="center"/>
          </w:tcPr>
          <w:p w14:paraId="28CF9570">
            <w:pPr>
              <w:spacing w:line="360" w:lineRule="auto"/>
              <w:ind w:firstLine="420"/>
              <w:jc w:val="center"/>
              <w:rPr>
                <w:sz w:val="21"/>
                <w:szCs w:val="21"/>
              </w:rPr>
            </w:pPr>
            <w:r>
              <w:rPr>
                <w:rFonts w:hint="eastAsia"/>
                <w:sz w:val="21"/>
                <w:szCs w:val="21"/>
              </w:rPr>
              <w:t>/</w:t>
            </w:r>
          </w:p>
        </w:tc>
      </w:tr>
      <w:tr w14:paraId="11F63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18" w:type="dxa"/>
            <w:vAlign w:val="center"/>
          </w:tcPr>
          <w:p w14:paraId="3A6166A2">
            <w:pPr>
              <w:pStyle w:val="31"/>
              <w:spacing w:line="240" w:lineRule="auto"/>
              <w:rPr>
                <w:sz w:val="21"/>
              </w:rPr>
            </w:pPr>
            <w:r>
              <w:rPr>
                <w:rFonts w:hint="eastAsia"/>
                <w:sz w:val="21"/>
              </w:rPr>
              <w:t>环境风险防范措施</w:t>
            </w:r>
          </w:p>
        </w:tc>
        <w:tc>
          <w:tcPr>
            <w:tcW w:w="8730" w:type="dxa"/>
            <w:gridSpan w:val="4"/>
            <w:vAlign w:val="center"/>
          </w:tcPr>
          <w:p w14:paraId="0D358A8A">
            <w:pPr>
              <w:pStyle w:val="43"/>
              <w:spacing w:line="360" w:lineRule="auto"/>
              <w:ind w:firstLine="420"/>
              <w:rPr>
                <w:rFonts w:eastAsia="宋体"/>
                <w:kern w:val="2"/>
                <w:sz w:val="21"/>
                <w:szCs w:val="21"/>
              </w:rPr>
            </w:pPr>
            <w:r>
              <w:rPr>
                <w:rFonts w:hint="eastAsia" w:eastAsia="宋体"/>
                <w:kern w:val="2"/>
                <w:sz w:val="21"/>
                <w:szCs w:val="21"/>
              </w:rPr>
              <w:t>（1）根据贮存物质特性和生产车间条件，必须配置相应的消防设备、设施和灭火药剂，并配备经过培训的兼职和专职的消防人员；</w:t>
            </w:r>
          </w:p>
          <w:p w14:paraId="19F25193">
            <w:pPr>
              <w:pStyle w:val="43"/>
              <w:spacing w:line="360" w:lineRule="auto"/>
              <w:ind w:firstLine="420"/>
              <w:rPr>
                <w:rFonts w:eastAsia="宋体"/>
                <w:kern w:val="2"/>
                <w:sz w:val="21"/>
                <w:szCs w:val="21"/>
              </w:rPr>
            </w:pPr>
            <w:r>
              <w:rPr>
                <w:rFonts w:hint="eastAsia" w:eastAsia="宋体"/>
                <w:kern w:val="2"/>
                <w:sz w:val="21"/>
                <w:szCs w:val="21"/>
              </w:rPr>
              <w:t>（2）按规范划分危险区，保证防火防爆距离；</w:t>
            </w:r>
          </w:p>
          <w:p w14:paraId="75AB3FB2">
            <w:pPr>
              <w:pStyle w:val="43"/>
              <w:spacing w:line="360" w:lineRule="auto"/>
              <w:ind w:firstLine="420"/>
              <w:rPr>
                <w:rFonts w:eastAsia="宋体"/>
                <w:kern w:val="2"/>
                <w:sz w:val="21"/>
                <w:szCs w:val="21"/>
              </w:rPr>
            </w:pPr>
            <w:r>
              <w:rPr>
                <w:rFonts w:hint="eastAsia" w:eastAsia="宋体"/>
                <w:kern w:val="2"/>
                <w:sz w:val="21"/>
                <w:szCs w:val="21"/>
              </w:rPr>
              <w:t>（3）避免电气和静电火花。设备等都采用工业静电接地措施；建、构筑物均设防雷设施：所有的电缆及电缆桥架选用阻燃型。</w:t>
            </w:r>
          </w:p>
          <w:p w14:paraId="64326996">
            <w:pPr>
              <w:pStyle w:val="43"/>
              <w:adjustRightInd/>
              <w:spacing w:line="360" w:lineRule="auto"/>
              <w:ind w:firstLine="420"/>
              <w:textAlignment w:val="auto"/>
              <w:rPr>
                <w:rFonts w:eastAsia="宋体"/>
                <w:kern w:val="2"/>
                <w:sz w:val="21"/>
                <w:szCs w:val="21"/>
              </w:rPr>
            </w:pPr>
            <w:r>
              <w:rPr>
                <w:rFonts w:hint="eastAsia" w:eastAsia="宋体"/>
                <w:kern w:val="2"/>
                <w:sz w:val="21"/>
                <w:szCs w:val="24"/>
              </w:rPr>
              <w:t>（4）制定环境风险应急预案。</w:t>
            </w:r>
          </w:p>
        </w:tc>
      </w:tr>
      <w:tr w14:paraId="0D866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8" w:type="dxa"/>
            <w:vAlign w:val="center"/>
          </w:tcPr>
          <w:p w14:paraId="7773E7EA">
            <w:pPr>
              <w:pStyle w:val="31"/>
              <w:spacing w:line="240" w:lineRule="auto"/>
              <w:rPr>
                <w:sz w:val="21"/>
              </w:rPr>
            </w:pPr>
            <w:r>
              <w:rPr>
                <w:rFonts w:hint="eastAsia"/>
                <w:sz w:val="21"/>
              </w:rPr>
              <w:t>其他环境管理要求</w:t>
            </w:r>
          </w:p>
        </w:tc>
        <w:tc>
          <w:tcPr>
            <w:tcW w:w="8730" w:type="dxa"/>
            <w:gridSpan w:val="4"/>
            <w:vAlign w:val="center"/>
          </w:tcPr>
          <w:p w14:paraId="54C7055B">
            <w:pPr>
              <w:pStyle w:val="43"/>
              <w:spacing w:line="360" w:lineRule="auto"/>
              <w:ind w:firstLine="420"/>
              <w:rPr>
                <w:rFonts w:eastAsia="宋体"/>
                <w:kern w:val="2"/>
                <w:sz w:val="21"/>
                <w:szCs w:val="21"/>
              </w:rPr>
            </w:pPr>
            <w:r>
              <w:rPr>
                <w:rFonts w:hint="eastAsia" w:eastAsia="宋体"/>
                <w:kern w:val="2"/>
                <w:sz w:val="21"/>
                <w:szCs w:val="21"/>
              </w:rPr>
              <w:t>1、环境管理及监测计划</w:t>
            </w:r>
          </w:p>
          <w:p w14:paraId="56A068E5">
            <w:pPr>
              <w:pStyle w:val="43"/>
              <w:spacing w:line="360" w:lineRule="auto"/>
              <w:ind w:firstLine="420"/>
              <w:rPr>
                <w:rFonts w:eastAsia="宋体"/>
                <w:kern w:val="2"/>
                <w:sz w:val="21"/>
                <w:szCs w:val="21"/>
              </w:rPr>
            </w:pPr>
            <w:r>
              <w:rPr>
                <w:rFonts w:hint="eastAsia" w:eastAsia="宋体"/>
                <w:kern w:val="2"/>
                <w:sz w:val="21"/>
                <w:szCs w:val="21"/>
              </w:rPr>
              <w:t>（1）环境管理措施</w:t>
            </w:r>
          </w:p>
          <w:p w14:paraId="5AD0BF18">
            <w:pPr>
              <w:pStyle w:val="43"/>
              <w:spacing w:line="360" w:lineRule="auto"/>
              <w:ind w:firstLine="420"/>
              <w:rPr>
                <w:rFonts w:eastAsia="宋体"/>
                <w:kern w:val="2"/>
                <w:sz w:val="21"/>
                <w:szCs w:val="21"/>
              </w:rPr>
            </w:pPr>
            <w:r>
              <w:rPr>
                <w:rFonts w:hint="eastAsia" w:eastAsia="宋体"/>
                <w:kern w:val="2"/>
                <w:sz w:val="21"/>
                <w:szCs w:val="21"/>
              </w:rPr>
              <w:t>本项目实行总经理主管环保工作的领导体制，全面负责环保和安全工作。</w:t>
            </w:r>
          </w:p>
          <w:p w14:paraId="22CC1808">
            <w:pPr>
              <w:pStyle w:val="43"/>
              <w:spacing w:line="360" w:lineRule="auto"/>
              <w:ind w:firstLine="420"/>
              <w:rPr>
                <w:rFonts w:eastAsia="宋体"/>
                <w:kern w:val="2"/>
                <w:sz w:val="21"/>
                <w:szCs w:val="21"/>
              </w:rPr>
            </w:pPr>
            <w:r>
              <w:rPr>
                <w:rFonts w:hint="eastAsia" w:eastAsia="宋体"/>
                <w:kern w:val="2"/>
                <w:sz w:val="21"/>
                <w:szCs w:val="21"/>
              </w:rPr>
              <w:t>①机构组成</w:t>
            </w:r>
          </w:p>
          <w:p w14:paraId="48791724">
            <w:pPr>
              <w:pStyle w:val="43"/>
              <w:spacing w:line="360" w:lineRule="auto"/>
              <w:ind w:firstLine="420"/>
              <w:rPr>
                <w:rFonts w:eastAsia="宋体"/>
                <w:kern w:val="2"/>
                <w:sz w:val="21"/>
                <w:szCs w:val="21"/>
              </w:rPr>
            </w:pPr>
            <w:r>
              <w:rPr>
                <w:rFonts w:hint="eastAsia" w:eastAsia="宋体"/>
                <w:kern w:val="2"/>
                <w:sz w:val="21"/>
                <w:szCs w:val="21"/>
              </w:rPr>
              <w:t>该厂实行总经理负责主管环保工作的领导体制。</w:t>
            </w:r>
          </w:p>
          <w:p w14:paraId="5D0021C3">
            <w:pPr>
              <w:pStyle w:val="43"/>
              <w:spacing w:line="360" w:lineRule="auto"/>
              <w:ind w:firstLine="420"/>
              <w:rPr>
                <w:rFonts w:eastAsia="宋体"/>
                <w:kern w:val="2"/>
                <w:sz w:val="21"/>
                <w:szCs w:val="21"/>
              </w:rPr>
            </w:pPr>
            <w:r>
              <w:rPr>
                <w:rFonts w:hint="eastAsia" w:eastAsia="宋体"/>
                <w:kern w:val="2"/>
                <w:sz w:val="21"/>
                <w:szCs w:val="21"/>
              </w:rPr>
              <w:t>②机构职责</w:t>
            </w:r>
          </w:p>
          <w:p w14:paraId="73BF9C4C">
            <w:pPr>
              <w:pStyle w:val="43"/>
              <w:spacing w:line="360" w:lineRule="auto"/>
              <w:ind w:firstLine="420"/>
              <w:rPr>
                <w:rFonts w:eastAsia="宋体"/>
                <w:kern w:val="2"/>
                <w:sz w:val="21"/>
                <w:szCs w:val="21"/>
              </w:rPr>
            </w:pPr>
            <w:r>
              <w:rPr>
                <w:rFonts w:hint="eastAsia" w:eastAsia="宋体"/>
                <w:kern w:val="2"/>
                <w:sz w:val="21"/>
                <w:szCs w:val="21"/>
              </w:rPr>
              <w:t>a.贯彻执行环境保护法规及环境保护标准；</w:t>
            </w:r>
          </w:p>
          <w:p w14:paraId="70493F6A">
            <w:pPr>
              <w:pStyle w:val="43"/>
              <w:spacing w:line="360" w:lineRule="auto"/>
              <w:ind w:firstLine="420"/>
              <w:rPr>
                <w:rFonts w:eastAsia="宋体"/>
                <w:kern w:val="2"/>
                <w:sz w:val="21"/>
                <w:szCs w:val="21"/>
              </w:rPr>
            </w:pPr>
            <w:r>
              <w:rPr>
                <w:rFonts w:hint="eastAsia" w:eastAsia="宋体"/>
                <w:kern w:val="2"/>
                <w:sz w:val="21"/>
                <w:szCs w:val="21"/>
              </w:rPr>
              <w:t>b.建立完善的本企业环境保护管理制度，经常监督检查车间执行环保法规情况；</w:t>
            </w:r>
          </w:p>
          <w:p w14:paraId="7717189E">
            <w:pPr>
              <w:pStyle w:val="43"/>
              <w:spacing w:line="360" w:lineRule="auto"/>
              <w:ind w:firstLine="420"/>
              <w:rPr>
                <w:rFonts w:eastAsia="宋体"/>
                <w:kern w:val="2"/>
                <w:sz w:val="21"/>
                <w:szCs w:val="21"/>
              </w:rPr>
            </w:pPr>
            <w:r>
              <w:rPr>
                <w:rFonts w:hint="eastAsia" w:eastAsia="宋体"/>
                <w:kern w:val="2"/>
                <w:sz w:val="21"/>
                <w:szCs w:val="21"/>
              </w:rPr>
              <w:t>c.搞好环境保护教育和宣传，提高职工的环境保护意识；</w:t>
            </w:r>
          </w:p>
          <w:p w14:paraId="6F119C97">
            <w:pPr>
              <w:pStyle w:val="43"/>
              <w:spacing w:line="360" w:lineRule="auto"/>
              <w:ind w:firstLine="420"/>
              <w:rPr>
                <w:rFonts w:eastAsia="宋体"/>
                <w:kern w:val="2"/>
                <w:sz w:val="21"/>
                <w:szCs w:val="21"/>
              </w:rPr>
            </w:pPr>
            <w:r>
              <w:rPr>
                <w:rFonts w:hint="eastAsia" w:eastAsia="宋体"/>
                <w:kern w:val="2"/>
                <w:sz w:val="21"/>
                <w:szCs w:val="21"/>
              </w:rPr>
              <w:t>d.组织对基层环保员的培训，提高工作素质；</w:t>
            </w:r>
          </w:p>
          <w:p w14:paraId="710336BB">
            <w:pPr>
              <w:pStyle w:val="43"/>
              <w:spacing w:line="360" w:lineRule="auto"/>
              <w:ind w:firstLine="420"/>
              <w:rPr>
                <w:rFonts w:eastAsia="宋体"/>
                <w:kern w:val="2"/>
                <w:sz w:val="21"/>
                <w:szCs w:val="21"/>
              </w:rPr>
            </w:pPr>
            <w:r>
              <w:rPr>
                <w:rFonts w:hint="eastAsia" w:eastAsia="宋体"/>
                <w:kern w:val="2"/>
                <w:sz w:val="21"/>
                <w:szCs w:val="21"/>
              </w:rPr>
              <w:t>e.定时考核和统计，以保证各项环保设施常年处于良好运行状态，确保全厂污染物排放达到国家排放标准或总量控制指标。</w:t>
            </w:r>
          </w:p>
          <w:p w14:paraId="3EC3D3B6">
            <w:pPr>
              <w:pStyle w:val="43"/>
              <w:spacing w:line="360" w:lineRule="auto"/>
              <w:ind w:firstLine="420"/>
              <w:rPr>
                <w:rFonts w:eastAsia="宋体"/>
                <w:kern w:val="2"/>
                <w:sz w:val="21"/>
                <w:szCs w:val="21"/>
              </w:rPr>
            </w:pPr>
            <w:r>
              <w:rPr>
                <w:rFonts w:hint="eastAsia" w:eastAsia="宋体"/>
                <w:kern w:val="2"/>
                <w:sz w:val="21"/>
                <w:szCs w:val="21"/>
              </w:rPr>
              <w:t>（2）监测制度</w:t>
            </w:r>
          </w:p>
          <w:p w14:paraId="21E099EE">
            <w:pPr>
              <w:pStyle w:val="43"/>
              <w:spacing w:line="360" w:lineRule="auto"/>
              <w:ind w:firstLine="420"/>
              <w:rPr>
                <w:rFonts w:eastAsia="宋体"/>
                <w:kern w:val="2"/>
                <w:sz w:val="21"/>
                <w:szCs w:val="21"/>
              </w:rPr>
            </w:pPr>
            <w:r>
              <w:rPr>
                <w:rFonts w:hint="eastAsia" w:eastAsia="宋体"/>
                <w:kern w:val="2"/>
                <w:sz w:val="21"/>
                <w:szCs w:val="21"/>
              </w:rPr>
              <w:t>环境监测是环境保护的基础，是进行污染源治理及环保设施运行管理的依据，因而企业应定期对废气、废水、噪声等环保设施运行情况进行监测。</w:t>
            </w:r>
          </w:p>
          <w:p w14:paraId="16FC7804">
            <w:pPr>
              <w:pStyle w:val="43"/>
              <w:spacing w:line="360" w:lineRule="auto"/>
              <w:ind w:firstLine="420"/>
              <w:rPr>
                <w:rFonts w:eastAsia="宋体"/>
                <w:kern w:val="2"/>
                <w:sz w:val="21"/>
                <w:szCs w:val="21"/>
              </w:rPr>
            </w:pPr>
            <w:r>
              <w:rPr>
                <w:rFonts w:hint="eastAsia" w:eastAsia="宋体"/>
                <w:kern w:val="2"/>
                <w:sz w:val="21"/>
                <w:szCs w:val="21"/>
              </w:rPr>
              <w:t>通过对项目运行中环保设施进行监控，掌握废气、废水、噪声等污染源排放是否符合国家或地方排放标准的要求，做到达标排放，同时对废气、废水、固体废物及噪声防治设施进行监督检查，保证正常运行。</w:t>
            </w:r>
          </w:p>
          <w:p w14:paraId="2877A5C7">
            <w:pPr>
              <w:pStyle w:val="43"/>
              <w:spacing w:line="360" w:lineRule="auto"/>
              <w:ind w:firstLine="420"/>
              <w:rPr>
                <w:rFonts w:eastAsia="宋体"/>
                <w:kern w:val="2"/>
                <w:sz w:val="21"/>
                <w:szCs w:val="21"/>
              </w:rPr>
            </w:pPr>
            <w:r>
              <w:rPr>
                <w:rFonts w:hint="eastAsia" w:eastAsia="宋体"/>
                <w:kern w:val="2"/>
                <w:sz w:val="21"/>
                <w:szCs w:val="21"/>
              </w:rPr>
              <w:t>（3）环境监测机构及设备配置</w:t>
            </w:r>
          </w:p>
          <w:p w14:paraId="1E204777">
            <w:pPr>
              <w:pStyle w:val="43"/>
              <w:spacing w:line="360" w:lineRule="auto"/>
              <w:ind w:firstLine="420"/>
              <w:rPr>
                <w:rFonts w:eastAsia="宋体"/>
                <w:kern w:val="2"/>
                <w:sz w:val="21"/>
                <w:szCs w:val="21"/>
              </w:rPr>
            </w:pPr>
            <w:r>
              <w:rPr>
                <w:rFonts w:hint="eastAsia" w:eastAsia="宋体"/>
                <w:kern w:val="2"/>
                <w:sz w:val="21"/>
                <w:szCs w:val="21"/>
              </w:rPr>
              <w:t>环境监测是环境保护的基础，是进行污染治理和监督管理的依据。根据《排污单位自行监测技术指南 总则》（HJ819-2017）要求，本评价建议企业环境监测工作委托当地有资质的环境监测机构承担。</w:t>
            </w:r>
          </w:p>
          <w:p w14:paraId="4FFDE6FC">
            <w:pPr>
              <w:pStyle w:val="43"/>
              <w:spacing w:line="360" w:lineRule="auto"/>
              <w:ind w:firstLine="420"/>
              <w:rPr>
                <w:rFonts w:eastAsia="宋体"/>
                <w:kern w:val="2"/>
                <w:sz w:val="21"/>
                <w:szCs w:val="21"/>
              </w:rPr>
            </w:pPr>
            <w:r>
              <w:rPr>
                <w:rFonts w:hint="eastAsia" w:eastAsia="宋体"/>
                <w:kern w:val="2"/>
                <w:sz w:val="21"/>
                <w:szCs w:val="21"/>
              </w:rPr>
              <w:t>（4）监测计划</w:t>
            </w:r>
          </w:p>
          <w:p w14:paraId="0F57A1DD">
            <w:pPr>
              <w:pStyle w:val="43"/>
              <w:spacing w:line="360" w:lineRule="auto"/>
              <w:ind w:firstLine="420"/>
              <w:rPr>
                <w:rFonts w:eastAsia="宋体"/>
                <w:kern w:val="2"/>
                <w:sz w:val="21"/>
                <w:szCs w:val="21"/>
              </w:rPr>
            </w:pPr>
            <w:r>
              <w:rPr>
                <w:rFonts w:hint="eastAsia" w:eastAsia="宋体"/>
                <w:kern w:val="2"/>
                <w:sz w:val="21"/>
                <w:szCs w:val="21"/>
              </w:rPr>
              <w:t>根据污染物排放特征，依据国家颁布的环境质量标准、污染物排放标准及地方环保部门的要求，制定项目的监测计划和工作方案，监测工作可委托有资质的环境监测部门承担。企业投入运行后，各污染源按监测计划进行检测。</w:t>
            </w:r>
          </w:p>
          <w:p w14:paraId="64060CF9">
            <w:pPr>
              <w:pStyle w:val="43"/>
              <w:spacing w:line="360" w:lineRule="auto"/>
              <w:ind w:firstLine="420"/>
              <w:rPr>
                <w:rFonts w:eastAsia="宋体"/>
                <w:kern w:val="2"/>
                <w:sz w:val="21"/>
                <w:szCs w:val="21"/>
              </w:rPr>
            </w:pPr>
            <w:r>
              <w:rPr>
                <w:rFonts w:hint="eastAsia" w:eastAsia="宋体"/>
                <w:kern w:val="2"/>
                <w:sz w:val="21"/>
                <w:szCs w:val="21"/>
              </w:rPr>
              <w:t>2、企业环境信息公开要求</w:t>
            </w:r>
          </w:p>
          <w:p w14:paraId="624D9A96">
            <w:pPr>
              <w:pStyle w:val="43"/>
              <w:spacing w:line="360" w:lineRule="auto"/>
              <w:ind w:firstLine="420"/>
              <w:rPr>
                <w:rFonts w:eastAsia="宋体"/>
                <w:kern w:val="2"/>
                <w:sz w:val="21"/>
                <w:szCs w:val="21"/>
              </w:rPr>
            </w:pPr>
            <w:r>
              <w:rPr>
                <w:rFonts w:hint="eastAsia" w:eastAsia="宋体"/>
                <w:kern w:val="2"/>
                <w:sz w:val="21"/>
                <w:szCs w:val="21"/>
              </w:rPr>
              <w:t>（1）企业环境信息公开</w:t>
            </w:r>
          </w:p>
          <w:p w14:paraId="02099D42">
            <w:pPr>
              <w:pStyle w:val="43"/>
              <w:spacing w:line="360" w:lineRule="auto"/>
              <w:ind w:firstLine="420"/>
              <w:rPr>
                <w:rFonts w:eastAsia="宋体"/>
                <w:kern w:val="2"/>
                <w:sz w:val="21"/>
                <w:szCs w:val="21"/>
              </w:rPr>
            </w:pPr>
            <w:r>
              <w:rPr>
                <w:rFonts w:hint="eastAsia" w:eastAsia="宋体"/>
                <w:kern w:val="2"/>
                <w:sz w:val="21"/>
                <w:szCs w:val="21"/>
              </w:rPr>
              <w:t>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w:t>
            </w:r>
          </w:p>
          <w:p w14:paraId="22AD5448">
            <w:pPr>
              <w:pStyle w:val="43"/>
              <w:spacing w:line="360" w:lineRule="auto"/>
              <w:ind w:firstLine="420"/>
              <w:rPr>
                <w:rFonts w:eastAsia="宋体"/>
                <w:kern w:val="2"/>
                <w:sz w:val="21"/>
                <w:szCs w:val="21"/>
              </w:rPr>
            </w:pPr>
            <w:r>
              <w:rPr>
                <w:rFonts w:hint="eastAsia" w:eastAsia="宋体"/>
                <w:kern w:val="2"/>
                <w:sz w:val="21"/>
                <w:szCs w:val="21"/>
              </w:rPr>
              <w:t>该企业应当建立健全本单位环境信息公开制度，指定机构负责本单位环境信息公开日常工作。</w:t>
            </w:r>
          </w:p>
          <w:p w14:paraId="10C8BE1E">
            <w:pPr>
              <w:pStyle w:val="43"/>
              <w:spacing w:line="360" w:lineRule="auto"/>
              <w:ind w:firstLine="420"/>
              <w:rPr>
                <w:rFonts w:eastAsia="宋体"/>
                <w:kern w:val="2"/>
                <w:sz w:val="21"/>
                <w:szCs w:val="21"/>
              </w:rPr>
            </w:pPr>
            <w:r>
              <w:rPr>
                <w:rFonts w:hint="eastAsia" w:eastAsia="宋体"/>
                <w:kern w:val="2"/>
                <w:sz w:val="21"/>
                <w:szCs w:val="21"/>
              </w:rPr>
              <w:t>（2）建设单位应当公开下列信息内容</w:t>
            </w:r>
          </w:p>
          <w:p w14:paraId="7D6ABBF6">
            <w:pPr>
              <w:pStyle w:val="43"/>
              <w:spacing w:line="360" w:lineRule="auto"/>
              <w:ind w:firstLine="420"/>
              <w:rPr>
                <w:rFonts w:eastAsia="宋体"/>
                <w:kern w:val="2"/>
                <w:sz w:val="21"/>
                <w:szCs w:val="21"/>
              </w:rPr>
            </w:pPr>
            <w:r>
              <w:rPr>
                <w:rFonts w:hint="eastAsia" w:eastAsia="宋体"/>
                <w:kern w:val="2"/>
                <w:sz w:val="21"/>
                <w:szCs w:val="21"/>
              </w:rPr>
              <w:t>该企业应当公开信息内容如下：</w:t>
            </w:r>
          </w:p>
          <w:p w14:paraId="04192E4E">
            <w:pPr>
              <w:pStyle w:val="43"/>
              <w:spacing w:line="360" w:lineRule="auto"/>
              <w:ind w:firstLine="420"/>
              <w:rPr>
                <w:rFonts w:eastAsia="宋体"/>
                <w:kern w:val="2"/>
                <w:sz w:val="21"/>
                <w:szCs w:val="21"/>
              </w:rPr>
            </w:pPr>
            <w:r>
              <w:rPr>
                <w:rFonts w:hint="eastAsia" w:eastAsia="宋体"/>
                <w:kern w:val="2"/>
                <w:sz w:val="21"/>
                <w:szCs w:val="21"/>
              </w:rPr>
              <w:t>①基础信息：包括单位名称、组织机构代码、法定代表人、生产地址、联系方式，以及生产经营和管理服务的主要内容、产品及规模；</w:t>
            </w:r>
          </w:p>
          <w:p w14:paraId="73C3277F">
            <w:pPr>
              <w:pStyle w:val="43"/>
              <w:spacing w:line="360" w:lineRule="auto"/>
              <w:ind w:firstLine="420"/>
              <w:rPr>
                <w:rFonts w:eastAsia="宋体"/>
                <w:kern w:val="2"/>
                <w:sz w:val="21"/>
                <w:szCs w:val="21"/>
              </w:rPr>
            </w:pPr>
            <w:r>
              <w:rPr>
                <w:rFonts w:hint="eastAsia" w:eastAsia="宋体"/>
                <w:kern w:val="2"/>
                <w:sz w:val="21"/>
                <w:szCs w:val="21"/>
              </w:rPr>
              <w:t>②排污信息：包括主要污染物及特征污染物的名称、排放方式、排放口数量和分布情况、排放浓度和总量、超标情况，以及执行的污染物排放标准、核定的排放总量；</w:t>
            </w:r>
          </w:p>
          <w:p w14:paraId="5A7FC11F">
            <w:pPr>
              <w:pStyle w:val="43"/>
              <w:spacing w:line="360" w:lineRule="auto"/>
              <w:ind w:firstLine="420"/>
              <w:rPr>
                <w:rFonts w:eastAsia="宋体"/>
                <w:kern w:val="2"/>
                <w:sz w:val="21"/>
                <w:szCs w:val="21"/>
              </w:rPr>
            </w:pPr>
            <w:r>
              <w:rPr>
                <w:rFonts w:hint="eastAsia" w:eastAsia="宋体"/>
                <w:kern w:val="2"/>
                <w:sz w:val="21"/>
                <w:szCs w:val="21"/>
              </w:rPr>
              <w:t>③防治污染设施的建设和运行情况；</w:t>
            </w:r>
          </w:p>
          <w:p w14:paraId="7665B046">
            <w:pPr>
              <w:pStyle w:val="43"/>
              <w:spacing w:line="360" w:lineRule="auto"/>
              <w:ind w:firstLine="420"/>
              <w:rPr>
                <w:rFonts w:eastAsia="宋体"/>
                <w:kern w:val="2"/>
                <w:sz w:val="21"/>
                <w:szCs w:val="21"/>
              </w:rPr>
            </w:pPr>
            <w:r>
              <w:rPr>
                <w:rFonts w:hint="eastAsia" w:eastAsia="宋体"/>
                <w:kern w:val="2"/>
                <w:sz w:val="21"/>
                <w:szCs w:val="21"/>
              </w:rPr>
              <w:t>④建设项目环境影响评价及其他环境保护行政许可情况；</w:t>
            </w:r>
          </w:p>
          <w:p w14:paraId="7F368273">
            <w:pPr>
              <w:pStyle w:val="43"/>
              <w:spacing w:line="360" w:lineRule="auto"/>
              <w:ind w:firstLine="420"/>
              <w:rPr>
                <w:rFonts w:eastAsia="宋体"/>
                <w:kern w:val="2"/>
                <w:sz w:val="21"/>
                <w:szCs w:val="21"/>
              </w:rPr>
            </w:pPr>
            <w:r>
              <w:rPr>
                <w:rFonts w:hint="eastAsia" w:eastAsia="宋体"/>
                <w:kern w:val="2"/>
                <w:sz w:val="21"/>
                <w:szCs w:val="21"/>
              </w:rPr>
              <w:t>⑤其他应当公开的环境信息。</w:t>
            </w:r>
          </w:p>
          <w:p w14:paraId="55E53B24">
            <w:pPr>
              <w:pStyle w:val="43"/>
              <w:spacing w:line="360" w:lineRule="auto"/>
              <w:ind w:firstLine="420"/>
              <w:rPr>
                <w:rFonts w:eastAsia="宋体"/>
                <w:kern w:val="2"/>
                <w:sz w:val="21"/>
                <w:szCs w:val="21"/>
              </w:rPr>
            </w:pPr>
            <w:r>
              <w:rPr>
                <w:rFonts w:hint="eastAsia" w:eastAsia="宋体"/>
                <w:kern w:val="2"/>
                <w:sz w:val="21"/>
                <w:szCs w:val="21"/>
              </w:rPr>
              <w:t>（3）信息公开方式</w:t>
            </w:r>
          </w:p>
          <w:p w14:paraId="1B107B34">
            <w:pPr>
              <w:pStyle w:val="43"/>
              <w:spacing w:line="360" w:lineRule="auto"/>
              <w:ind w:firstLine="420"/>
              <w:rPr>
                <w:rFonts w:eastAsia="宋体"/>
                <w:kern w:val="2"/>
                <w:sz w:val="21"/>
                <w:szCs w:val="21"/>
              </w:rPr>
            </w:pPr>
            <w:r>
              <w:rPr>
                <w:rFonts w:hint="eastAsia" w:eastAsia="宋体"/>
                <w:kern w:val="2"/>
                <w:sz w:val="21"/>
                <w:szCs w:val="21"/>
              </w:rPr>
              <w:t>该企业采取信息公开栏方式公开相关信息；</w:t>
            </w:r>
          </w:p>
          <w:p w14:paraId="27480939">
            <w:pPr>
              <w:pStyle w:val="43"/>
              <w:spacing w:line="360" w:lineRule="auto"/>
              <w:ind w:firstLine="420"/>
              <w:rPr>
                <w:rFonts w:eastAsia="宋体"/>
                <w:kern w:val="2"/>
                <w:sz w:val="21"/>
                <w:szCs w:val="21"/>
              </w:rPr>
            </w:pPr>
            <w:r>
              <w:rPr>
                <w:rFonts w:hint="eastAsia" w:eastAsia="宋体"/>
                <w:kern w:val="2"/>
                <w:sz w:val="21"/>
                <w:szCs w:val="21"/>
              </w:rPr>
              <w:t>3、排污许可规范化管理要求</w:t>
            </w:r>
          </w:p>
          <w:p w14:paraId="5C0FC2C1">
            <w:pPr>
              <w:pStyle w:val="43"/>
              <w:spacing w:line="360" w:lineRule="auto"/>
              <w:ind w:firstLine="420"/>
              <w:rPr>
                <w:rFonts w:eastAsia="宋体"/>
                <w:kern w:val="2"/>
                <w:sz w:val="21"/>
                <w:szCs w:val="21"/>
              </w:rPr>
            </w:pPr>
            <w:r>
              <w:rPr>
                <w:rFonts w:hint="eastAsia" w:eastAsia="宋体"/>
                <w:kern w:val="2"/>
                <w:sz w:val="21"/>
                <w:szCs w:val="21"/>
              </w:rPr>
              <w:t>国家实行排污许可制度，环境保护部门通过对企事业单位发放排污许可证并依证监管实施排污许可制。实行排污许可管理的企业事业单位和其他生产经营者应当按照排污许可证的要求排放污染物；未取得排污许可证的，不得排放污染物。</w:t>
            </w:r>
          </w:p>
          <w:p w14:paraId="6155F701">
            <w:pPr>
              <w:pStyle w:val="43"/>
              <w:spacing w:line="360" w:lineRule="auto"/>
              <w:ind w:firstLine="420"/>
              <w:rPr>
                <w:rFonts w:eastAsia="宋体"/>
                <w:kern w:val="2"/>
                <w:sz w:val="21"/>
                <w:szCs w:val="21"/>
              </w:rPr>
            </w:pPr>
            <w:r>
              <w:rPr>
                <w:rFonts w:hint="eastAsia" w:eastAsia="宋体"/>
                <w:kern w:val="2"/>
                <w:sz w:val="21"/>
                <w:szCs w:val="21"/>
              </w:rPr>
              <w:t>根据《国务院办公厅关于印发控制污染物排放许可制实施方案的通知》（国办发[2016]81号）、《关于做好环境影响评价制度与排污许可制衔接相关工作的通知》（环办环评［2017］84号）和《固定污染源排污许可分类管理名录（2019年版）》等相关文件要求，企业事业单位和其他生产经营者应该按照名录的规定，在实施时限内申请排污许可证。</w:t>
            </w:r>
          </w:p>
          <w:p w14:paraId="20BDAF8C">
            <w:pPr>
              <w:pStyle w:val="43"/>
              <w:spacing w:line="360" w:lineRule="auto"/>
              <w:ind w:firstLine="420"/>
              <w:rPr>
                <w:rFonts w:eastAsia="宋体"/>
                <w:kern w:val="2"/>
                <w:sz w:val="21"/>
                <w:szCs w:val="21"/>
              </w:rPr>
            </w:pPr>
            <w:r>
              <w:rPr>
                <w:rFonts w:hint="eastAsia" w:eastAsia="宋体"/>
                <w:kern w:val="2"/>
                <w:sz w:val="21"/>
                <w:szCs w:val="21"/>
              </w:rPr>
              <w:t>本项目经对照《固定污染源排污许可分类管理名录（2019年版）》已纳入名录管理的行业，应及时办理排污许可申请。本项目属于“三十一、汽车制造业36</w:t>
            </w:r>
            <w:r>
              <w:rPr>
                <w:rFonts w:hint="eastAsia" w:eastAsia="宋体"/>
                <w:kern w:val="2"/>
                <w:sz w:val="21"/>
                <w:szCs w:val="21"/>
                <w:lang w:eastAsia="zh-CN"/>
              </w:rPr>
              <w:t>-</w:t>
            </w:r>
            <w:r>
              <w:rPr>
                <w:rFonts w:hint="eastAsia" w:eastAsia="宋体"/>
                <w:kern w:val="2"/>
                <w:sz w:val="21"/>
                <w:szCs w:val="21"/>
              </w:rPr>
              <w:t>85.汽车零部件及配件制造367</w:t>
            </w:r>
            <w:r>
              <w:rPr>
                <w:rFonts w:hint="eastAsia" w:eastAsia="宋体"/>
                <w:kern w:val="2"/>
                <w:sz w:val="21"/>
                <w:szCs w:val="21"/>
                <w:lang w:eastAsia="zh-CN"/>
              </w:rPr>
              <w:t>-</w:t>
            </w:r>
            <w:r>
              <w:rPr>
                <w:rFonts w:hint="eastAsia" w:eastAsia="宋体"/>
                <w:kern w:val="2"/>
                <w:sz w:val="21"/>
                <w:szCs w:val="21"/>
              </w:rPr>
              <w:t>其他”，本公司属于登记管理。企业应当在启动生产设施或者发生实际排污之前填报排污登记表，登记基本信息、污染物排放去向、执行信息公开的污染物排放标准以及采取的污染防治措施等信息。</w:t>
            </w:r>
          </w:p>
          <w:p w14:paraId="46CD61A0">
            <w:pPr>
              <w:pStyle w:val="43"/>
              <w:spacing w:line="360" w:lineRule="auto"/>
              <w:ind w:firstLine="420"/>
              <w:rPr>
                <w:rFonts w:eastAsia="宋体"/>
                <w:kern w:val="2"/>
                <w:sz w:val="21"/>
                <w:szCs w:val="21"/>
              </w:rPr>
            </w:pPr>
            <w:r>
              <w:rPr>
                <w:rFonts w:hint="eastAsia" w:eastAsia="宋体"/>
                <w:kern w:val="2"/>
                <w:sz w:val="21"/>
                <w:szCs w:val="21"/>
              </w:rPr>
              <w:t>4、环保竣工验收管理</w:t>
            </w:r>
          </w:p>
          <w:p w14:paraId="58A17C1C">
            <w:pPr>
              <w:pStyle w:val="43"/>
              <w:spacing w:line="360" w:lineRule="auto"/>
              <w:ind w:firstLine="420"/>
              <w:rPr>
                <w:rFonts w:eastAsia="宋体"/>
                <w:kern w:val="2"/>
                <w:sz w:val="21"/>
                <w:szCs w:val="21"/>
              </w:rPr>
            </w:pPr>
            <w:r>
              <w:rPr>
                <w:rFonts w:hint="eastAsia" w:eastAsia="宋体"/>
                <w:kern w:val="2"/>
                <w:sz w:val="21"/>
                <w:szCs w:val="21"/>
              </w:rPr>
              <w:t>建设单位是建设项目竣工环境保护验收的责任主体，应当按照《建设项目竣工环境保护验收暂行办法》（国环规环评〔2017〕4号）、《建设项目竣工环境保护验收技术指南污染影响类》（生态环境部办公厅2018年5月16日印发）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中弄虚作假。</w:t>
            </w:r>
          </w:p>
          <w:p w14:paraId="753E6B7D">
            <w:pPr>
              <w:pStyle w:val="43"/>
              <w:spacing w:line="360" w:lineRule="auto"/>
              <w:ind w:firstLine="420"/>
              <w:rPr>
                <w:rFonts w:eastAsia="宋体"/>
                <w:kern w:val="2"/>
                <w:sz w:val="21"/>
                <w:szCs w:val="21"/>
              </w:rPr>
            </w:pPr>
            <w:r>
              <w:rPr>
                <w:rFonts w:hint="eastAsia" w:eastAsia="宋体"/>
                <w:kern w:val="2"/>
                <w:sz w:val="21"/>
                <w:szCs w:val="21"/>
              </w:rPr>
              <w:t>5、排污口规范化</w:t>
            </w:r>
          </w:p>
          <w:p w14:paraId="0558F440">
            <w:pPr>
              <w:pStyle w:val="43"/>
              <w:spacing w:line="360" w:lineRule="auto"/>
              <w:ind w:firstLine="420"/>
              <w:rPr>
                <w:rFonts w:eastAsia="宋体"/>
                <w:kern w:val="2"/>
                <w:sz w:val="21"/>
                <w:szCs w:val="21"/>
              </w:rPr>
            </w:pPr>
            <w:r>
              <w:rPr>
                <w:rFonts w:hint="eastAsia" w:eastAsia="宋体"/>
                <w:kern w:val="2"/>
                <w:sz w:val="21"/>
                <w:szCs w:val="21"/>
              </w:rPr>
              <w:t>排污口是企业污染物进入受纳环境的通道，做好排污口管理是实施污染物总量控制和达标排放的基础工作之</w:t>
            </w:r>
            <w:r>
              <w:rPr>
                <w:rFonts w:hint="eastAsia" w:eastAsia="宋体"/>
                <w:kern w:val="2"/>
                <w:sz w:val="21"/>
                <w:szCs w:val="21"/>
                <w:lang w:eastAsia="zh-CN"/>
              </w:rPr>
              <w:t>-</w:t>
            </w:r>
            <w:r>
              <w:rPr>
                <w:rFonts w:hint="eastAsia" w:eastAsia="宋体"/>
                <w:kern w:val="2"/>
                <w:sz w:val="21"/>
                <w:szCs w:val="21"/>
              </w:rPr>
              <w:t>，必须实行规范化管理。</w:t>
            </w:r>
          </w:p>
          <w:p w14:paraId="4057D4D6">
            <w:pPr>
              <w:pStyle w:val="43"/>
              <w:spacing w:line="360" w:lineRule="auto"/>
              <w:ind w:firstLine="420"/>
              <w:rPr>
                <w:rFonts w:eastAsia="宋体"/>
                <w:kern w:val="2"/>
                <w:sz w:val="21"/>
                <w:szCs w:val="21"/>
              </w:rPr>
            </w:pPr>
            <w:r>
              <w:rPr>
                <w:rFonts w:hint="eastAsia" w:eastAsia="宋体"/>
                <w:kern w:val="2"/>
                <w:sz w:val="21"/>
                <w:szCs w:val="21"/>
              </w:rPr>
              <w:t>废气排污口规范化：排气筒应设置便于采样、监测的采样口和采样平台。当采样平台设置在离地面高度≥5m的位置时，应有通往平台的Z字梯/旋梯/升降梯。在各排气筒近地面处，应设立醒目的环境保护图形标志牌。本项目设有2根排气筒，主要排放污染物为颗粒物、非甲烷总烃、油雾。</w:t>
            </w:r>
          </w:p>
          <w:p w14:paraId="33E67FEB">
            <w:pPr>
              <w:pStyle w:val="43"/>
              <w:spacing w:line="360" w:lineRule="auto"/>
              <w:ind w:firstLine="420"/>
              <w:rPr>
                <w:rFonts w:eastAsia="宋体"/>
                <w:kern w:val="2"/>
                <w:sz w:val="21"/>
                <w:szCs w:val="21"/>
              </w:rPr>
            </w:pPr>
            <w:r>
              <w:rPr>
                <w:rFonts w:hint="eastAsia" w:eastAsia="宋体"/>
                <w:kern w:val="2"/>
                <w:sz w:val="21"/>
                <w:szCs w:val="21"/>
              </w:rPr>
              <w:t>（2）废水：污水排放口须进行规范化建设，设置环保图形标志牌，需达到《环境保护图形标志排放口（源）》相关要求。</w:t>
            </w:r>
          </w:p>
          <w:p w14:paraId="49F1EC1C">
            <w:pPr>
              <w:pStyle w:val="43"/>
              <w:spacing w:line="360" w:lineRule="auto"/>
              <w:ind w:firstLine="420"/>
              <w:rPr>
                <w:rFonts w:eastAsia="宋体"/>
                <w:kern w:val="2"/>
                <w:sz w:val="21"/>
                <w:szCs w:val="21"/>
              </w:rPr>
            </w:pPr>
            <w:r>
              <w:rPr>
                <w:rFonts w:hint="eastAsia" w:eastAsia="宋体"/>
                <w:kern w:val="2"/>
                <w:sz w:val="21"/>
                <w:szCs w:val="21"/>
              </w:rPr>
              <w:t>（3）噪声排污口规范化：须按《工业企业厂界环境噪声排放标准》（GB12348-2008）的规定，设置环境噪声监测点，并在该处附近醒目处设置环境保护图形标志牌。</w:t>
            </w:r>
          </w:p>
          <w:p w14:paraId="44C6A223">
            <w:pPr>
              <w:pStyle w:val="43"/>
              <w:spacing w:line="360" w:lineRule="auto"/>
              <w:ind w:firstLine="420"/>
              <w:rPr>
                <w:rFonts w:eastAsia="宋体"/>
                <w:kern w:val="2"/>
                <w:sz w:val="21"/>
                <w:szCs w:val="21"/>
              </w:rPr>
            </w:pPr>
            <w:r>
              <w:rPr>
                <w:rFonts w:hint="eastAsia" w:eastAsia="宋体"/>
                <w:kern w:val="2"/>
                <w:sz w:val="21"/>
                <w:szCs w:val="21"/>
              </w:rPr>
              <w:t>（4）固体废物：本项目固体废物堆放场所必须有防火、防扬散、防渗漏等防止污染环境的措施，标志牌达到《环境保护图形标志-固体废物贮存（处置）场》（GB15562.2-1995）的规定。</w:t>
            </w:r>
          </w:p>
          <w:p w14:paraId="5ACC09B3">
            <w:pPr>
              <w:pStyle w:val="43"/>
              <w:spacing w:line="360" w:lineRule="auto"/>
              <w:ind w:firstLine="420"/>
              <w:rPr>
                <w:rFonts w:eastAsia="宋体"/>
                <w:kern w:val="2"/>
                <w:sz w:val="21"/>
                <w:szCs w:val="21"/>
              </w:rPr>
            </w:pPr>
            <w:r>
              <w:rPr>
                <w:rFonts w:hint="eastAsia" w:eastAsia="宋体"/>
                <w:kern w:val="2"/>
                <w:sz w:val="21"/>
                <w:szCs w:val="21"/>
              </w:rPr>
              <w:t>管理要求：排放口规范化的相关设施（如：计量、监控装置、标志牌等）属污染治理设施的组成部分，环境保护部门应按照有关污染治理设施的监督管理规定，加强日常监督管理，排污单位应将规范化排放的相关设施纳入本单位设备管理范围。</w:t>
            </w:r>
          </w:p>
          <w:p w14:paraId="6B89BFFD">
            <w:pPr>
              <w:pStyle w:val="43"/>
              <w:spacing w:line="360" w:lineRule="auto"/>
              <w:ind w:firstLine="420"/>
              <w:rPr>
                <w:rFonts w:eastAsia="宋体"/>
                <w:kern w:val="2"/>
                <w:sz w:val="21"/>
                <w:szCs w:val="21"/>
              </w:rPr>
            </w:pPr>
            <w:r>
              <w:rPr>
                <w:rFonts w:hint="eastAsia" w:eastAsia="宋体"/>
                <w:kern w:val="2"/>
                <w:sz w:val="21"/>
                <w:szCs w:val="21"/>
              </w:rPr>
              <w:t>排放口立标要求：设立排污口标志牌，标志牌由国家环境保护总局统一定点监制，达到《环境保护图形标志》（GB15562.1～2-1995）的规定。</w:t>
            </w:r>
          </w:p>
          <w:p w14:paraId="74B8778E">
            <w:pPr>
              <w:pStyle w:val="43"/>
              <w:spacing w:line="360" w:lineRule="auto"/>
              <w:ind w:firstLine="420"/>
              <w:rPr>
                <w:rFonts w:eastAsia="宋体"/>
                <w:kern w:val="2"/>
                <w:sz w:val="21"/>
                <w:szCs w:val="21"/>
                <w:highlight w:val="none"/>
              </w:rPr>
            </w:pPr>
            <w:r>
              <w:rPr>
                <w:rFonts w:hint="eastAsia" w:eastAsia="宋体"/>
                <w:kern w:val="2"/>
                <w:sz w:val="21"/>
                <w:szCs w:val="21"/>
                <w:highlight w:val="none"/>
              </w:rPr>
              <w:t>6、厂内非道路移动机械全部使用国三及以上排放标准或新能源机械。厂区内所有燃油非道路移动机械必须进行环保登记备案管理，防止尾气超标污染。</w:t>
            </w:r>
          </w:p>
          <w:p w14:paraId="3174C990">
            <w:pPr>
              <w:spacing w:line="360" w:lineRule="auto"/>
              <w:ind w:firstLine="480"/>
            </w:pPr>
          </w:p>
          <w:p w14:paraId="62D02C8D">
            <w:pPr>
              <w:spacing w:line="360" w:lineRule="auto"/>
              <w:ind w:firstLine="480"/>
            </w:pPr>
          </w:p>
          <w:p w14:paraId="54680FDB">
            <w:pPr>
              <w:pStyle w:val="13"/>
              <w:ind w:left="1680" w:right="1680" w:firstLine="480"/>
            </w:pPr>
          </w:p>
          <w:p w14:paraId="6F631B3A">
            <w:pPr>
              <w:ind w:firstLine="480"/>
            </w:pPr>
          </w:p>
          <w:p w14:paraId="173BA4E6">
            <w:pPr>
              <w:pStyle w:val="13"/>
              <w:ind w:left="1680" w:right="1680" w:firstLine="480"/>
            </w:pPr>
          </w:p>
          <w:p w14:paraId="31350AC2">
            <w:pPr>
              <w:ind w:firstLine="480"/>
            </w:pPr>
          </w:p>
          <w:p w14:paraId="3A867191">
            <w:pPr>
              <w:pStyle w:val="13"/>
              <w:ind w:left="1680" w:right="1680" w:firstLine="480"/>
            </w:pPr>
          </w:p>
          <w:p w14:paraId="3E984B90">
            <w:pPr>
              <w:ind w:firstLine="480"/>
            </w:pPr>
          </w:p>
          <w:p w14:paraId="70AA08BD">
            <w:pPr>
              <w:pStyle w:val="13"/>
              <w:ind w:left="1680" w:right="1680" w:firstLine="480"/>
            </w:pPr>
          </w:p>
          <w:p w14:paraId="02F7ABEB">
            <w:pPr>
              <w:ind w:firstLine="480"/>
            </w:pPr>
          </w:p>
          <w:p w14:paraId="5DBB6ADA">
            <w:pPr>
              <w:pStyle w:val="2"/>
            </w:pPr>
          </w:p>
          <w:p w14:paraId="4E71FDE1"/>
          <w:p w14:paraId="4C349D5D">
            <w:pPr>
              <w:pStyle w:val="13"/>
              <w:ind w:left="1680" w:right="1680" w:firstLine="480"/>
            </w:pPr>
          </w:p>
          <w:p w14:paraId="32489470">
            <w:pPr>
              <w:ind w:firstLine="480"/>
            </w:pPr>
          </w:p>
          <w:p w14:paraId="44E60FA6">
            <w:pPr>
              <w:ind w:firstLine="480"/>
              <w:rPr>
                <w:rFonts w:hint="eastAsia"/>
              </w:rPr>
            </w:pPr>
          </w:p>
          <w:p w14:paraId="4FF77DD5">
            <w:pPr>
              <w:pStyle w:val="13"/>
              <w:spacing w:line="360" w:lineRule="auto"/>
              <w:ind w:left="0" w:leftChars="0" w:right="1680" w:firstLine="0" w:firstLineChars="0"/>
            </w:pPr>
          </w:p>
        </w:tc>
      </w:tr>
    </w:tbl>
    <w:p w14:paraId="1729DF7D">
      <w:pPr>
        <w:spacing w:line="360" w:lineRule="auto"/>
        <w:ind w:firstLine="480"/>
        <w:jc w:val="center"/>
        <w:rPr>
          <w:rFonts w:ascii="黑体" w:hAnsi="黑体" w:eastAsia="黑体"/>
          <w:snapToGrid w:val="0"/>
          <w:kern w:val="0"/>
          <w:sz w:val="30"/>
          <w:szCs w:val="30"/>
        </w:rPr>
      </w:pPr>
      <w:r>
        <w:br w:type="page"/>
      </w:r>
      <w:r>
        <w:rPr>
          <w:rFonts w:hint="eastAsia" w:ascii="黑体" w:hAnsi="黑体" w:eastAsia="黑体"/>
          <w:snapToGrid w:val="0"/>
          <w:kern w:val="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53FD5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400" w:type="dxa"/>
          </w:tcPr>
          <w:p w14:paraId="03EC9B7F">
            <w:pPr>
              <w:ind w:firstLine="480"/>
            </w:pPr>
            <w:r>
              <w:rPr>
                <w:rFonts w:hint="eastAsia"/>
              </w:rPr>
              <w:t>唐山爱特精密机械制造有限公司</w:t>
            </w:r>
            <w:r>
              <w:t>在</w:t>
            </w:r>
            <w:r>
              <w:rPr>
                <w:rFonts w:hint="eastAsia"/>
              </w:rPr>
              <w:t>唐山市高新技术产业开发区京唐智慧港纬二路南侧，经十五路西侧</w:t>
            </w:r>
            <w:r>
              <w:t>，投资</w:t>
            </w:r>
            <w:r>
              <w:rPr>
                <w:rFonts w:hint="eastAsia"/>
              </w:rPr>
              <w:t>10300</w:t>
            </w:r>
            <w:r>
              <w:t>万元，建设</w:t>
            </w:r>
            <w:r>
              <w:rPr>
                <w:rFonts w:hint="eastAsia"/>
              </w:rPr>
              <w:t>唐山爱特精密机器制造有限公司新建车用锁式差速器及四驱扭矩控制系统工厂建设项目</w:t>
            </w:r>
            <w:r>
              <w:t>，符合国家产业政策，选址合理，采取环评提出的污染防治措施后，污染物可达标排放，不会对周围环境质量造成明显的不利影响，从环保角度而言，该项目建设可行。</w:t>
            </w:r>
          </w:p>
          <w:p w14:paraId="09F2D269">
            <w:pPr>
              <w:spacing w:line="360" w:lineRule="auto"/>
              <w:ind w:firstLine="0" w:firstLineChars="0"/>
            </w:pPr>
          </w:p>
          <w:p w14:paraId="028A4E38">
            <w:pPr>
              <w:pStyle w:val="8"/>
              <w:ind w:firstLine="0" w:firstLineChars="0"/>
            </w:pPr>
          </w:p>
          <w:p w14:paraId="71C25F4D">
            <w:pPr>
              <w:pStyle w:val="6"/>
              <w:ind w:left="0" w:leftChars="0"/>
              <w:rPr>
                <w:color w:val="auto"/>
              </w:rPr>
            </w:pPr>
          </w:p>
          <w:p w14:paraId="39ED4142">
            <w:pPr>
              <w:ind w:firstLine="0" w:firstLineChars="0"/>
            </w:pPr>
          </w:p>
          <w:p w14:paraId="05A5E221">
            <w:pPr>
              <w:pStyle w:val="8"/>
              <w:ind w:firstLine="0" w:firstLineChars="0"/>
            </w:pPr>
          </w:p>
          <w:p w14:paraId="462B48D6">
            <w:pPr>
              <w:pStyle w:val="6"/>
              <w:ind w:left="0" w:leftChars="0"/>
              <w:rPr>
                <w:color w:val="auto"/>
              </w:rPr>
            </w:pPr>
          </w:p>
          <w:p w14:paraId="3E59DE3C">
            <w:pPr>
              <w:ind w:firstLine="0" w:firstLineChars="0"/>
            </w:pPr>
          </w:p>
          <w:p w14:paraId="2204BF23">
            <w:pPr>
              <w:pStyle w:val="8"/>
              <w:ind w:firstLine="0" w:firstLineChars="0"/>
            </w:pPr>
          </w:p>
          <w:p w14:paraId="5A546AA5">
            <w:pPr>
              <w:pStyle w:val="6"/>
              <w:ind w:left="0" w:leftChars="0"/>
              <w:rPr>
                <w:color w:val="auto"/>
              </w:rPr>
            </w:pPr>
          </w:p>
          <w:p w14:paraId="5792C703">
            <w:pPr>
              <w:ind w:firstLine="0" w:firstLineChars="0"/>
            </w:pPr>
          </w:p>
          <w:p w14:paraId="143FE71D">
            <w:pPr>
              <w:pStyle w:val="8"/>
              <w:ind w:firstLine="0" w:firstLineChars="0"/>
            </w:pPr>
          </w:p>
          <w:p w14:paraId="773EC5B4">
            <w:pPr>
              <w:pStyle w:val="6"/>
              <w:ind w:left="0" w:leftChars="0"/>
              <w:rPr>
                <w:color w:val="auto"/>
              </w:rPr>
            </w:pPr>
          </w:p>
          <w:p w14:paraId="31248595">
            <w:pPr>
              <w:ind w:firstLine="0" w:firstLineChars="0"/>
            </w:pPr>
          </w:p>
          <w:p w14:paraId="3240A323">
            <w:pPr>
              <w:pStyle w:val="8"/>
              <w:ind w:firstLine="0" w:firstLineChars="0"/>
            </w:pPr>
          </w:p>
          <w:p w14:paraId="11C939EB">
            <w:pPr>
              <w:pStyle w:val="6"/>
              <w:ind w:left="0" w:leftChars="0"/>
              <w:rPr>
                <w:color w:val="auto"/>
              </w:rPr>
            </w:pPr>
          </w:p>
          <w:p w14:paraId="77CC2434">
            <w:pPr>
              <w:ind w:firstLine="0" w:firstLineChars="0"/>
            </w:pPr>
          </w:p>
          <w:p w14:paraId="1B128B5A">
            <w:pPr>
              <w:pStyle w:val="8"/>
              <w:ind w:firstLine="0" w:firstLineChars="0"/>
            </w:pPr>
          </w:p>
          <w:p w14:paraId="1A973C79">
            <w:pPr>
              <w:pStyle w:val="6"/>
              <w:ind w:left="0" w:leftChars="0"/>
              <w:rPr>
                <w:color w:val="auto"/>
              </w:rPr>
            </w:pPr>
          </w:p>
          <w:p w14:paraId="121344D8">
            <w:pPr>
              <w:ind w:firstLine="0" w:firstLineChars="0"/>
            </w:pPr>
          </w:p>
          <w:p w14:paraId="61A6142F">
            <w:pPr>
              <w:pStyle w:val="8"/>
              <w:ind w:firstLine="0" w:firstLineChars="0"/>
            </w:pPr>
          </w:p>
          <w:p w14:paraId="0195D966">
            <w:pPr>
              <w:pStyle w:val="6"/>
              <w:ind w:left="0" w:leftChars="0"/>
              <w:rPr>
                <w:color w:val="auto"/>
              </w:rPr>
            </w:pPr>
          </w:p>
          <w:p w14:paraId="7C802B9B">
            <w:pPr>
              <w:pStyle w:val="8"/>
              <w:ind w:firstLine="0" w:firstLineChars="0"/>
            </w:pPr>
          </w:p>
        </w:tc>
      </w:tr>
    </w:tbl>
    <w:p w14:paraId="34D02277">
      <w:pPr>
        <w:pStyle w:val="2"/>
        <w:ind w:left="480"/>
        <w:rPr>
          <w:color w:val="0070C0"/>
        </w:rPr>
        <w:sectPr>
          <w:footerReference r:id="rId11" w:type="default"/>
          <w:pgSz w:w="11906" w:h="16838"/>
          <w:pgMar w:top="1440" w:right="1247" w:bottom="1440"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57D29F7E">
      <w:pPr>
        <w:pStyle w:val="20"/>
        <w:adjustRightInd w:val="0"/>
        <w:snapToGrid w:val="0"/>
        <w:spacing w:before="0" w:beforeAutospacing="0" w:after="0" w:afterAutospacing="0" w:line="360" w:lineRule="auto"/>
        <w:ind w:firstLine="0" w:firstLineChars="0"/>
        <w:outlineLvl w:val="0"/>
        <w:rPr>
          <w:rFonts w:ascii="黑体" w:hAnsi="黑体" w:eastAsia="黑体"/>
          <w:snapToGrid w:val="0"/>
          <w:sz w:val="32"/>
          <w:szCs w:val="32"/>
        </w:rPr>
      </w:pPr>
      <w:r>
        <w:rPr>
          <w:rFonts w:hint="eastAsia" w:ascii="黑体" w:hAnsi="黑体" w:eastAsia="黑体"/>
          <w:snapToGrid w:val="0"/>
          <w:sz w:val="32"/>
          <w:szCs w:val="32"/>
        </w:rPr>
        <w:t>附表</w:t>
      </w:r>
    </w:p>
    <w:p w14:paraId="35F10A92">
      <w:pPr>
        <w:pStyle w:val="20"/>
        <w:adjustRightInd w:val="0"/>
        <w:snapToGrid w:val="0"/>
        <w:spacing w:before="0" w:beforeAutospacing="0" w:after="0" w:afterAutospacing="0" w:line="360" w:lineRule="auto"/>
        <w:ind w:firstLine="76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3"/>
        <w:gridCol w:w="1449"/>
        <w:gridCol w:w="1170"/>
        <w:gridCol w:w="1701"/>
        <w:gridCol w:w="1688"/>
        <w:gridCol w:w="1773"/>
        <w:gridCol w:w="1609"/>
        <w:gridCol w:w="1035"/>
      </w:tblGrid>
      <w:tr w14:paraId="1BD26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tcBorders>
              <w:tl2br w:val="single" w:color="auto" w:sz="4" w:space="0"/>
            </w:tcBorders>
            <w:tcMar>
              <w:left w:w="28" w:type="dxa"/>
              <w:right w:w="28" w:type="dxa"/>
            </w:tcMar>
            <w:vAlign w:val="center"/>
          </w:tcPr>
          <w:p w14:paraId="5D12F4CF">
            <w:pPr>
              <w:pStyle w:val="31"/>
              <w:jc w:val="right"/>
              <w:rPr>
                <w:rFonts w:ascii="黑体" w:hAnsi="黑体" w:eastAsia="黑体" w:cs="宋体"/>
                <w:snapToGrid w:val="0"/>
                <w:color w:val="000000"/>
                <w:spacing w:val="-6"/>
                <w:kern w:val="21"/>
                <w:sz w:val="21"/>
              </w:rPr>
            </w:pPr>
            <w:r>
              <w:rPr>
                <w:rFonts w:hint="eastAsia" w:ascii="黑体" w:hAnsi="黑体" w:eastAsia="黑体" w:cs="宋体"/>
                <w:snapToGrid w:val="0"/>
                <w:color w:val="000000"/>
                <w:spacing w:val="-6"/>
                <w:kern w:val="21"/>
                <w:sz w:val="21"/>
              </w:rPr>
              <w:t>项目</w:t>
            </w:r>
          </w:p>
          <w:p w14:paraId="1A221278">
            <w:pPr>
              <w:pStyle w:val="31"/>
              <w:jc w:val="left"/>
              <w:rPr>
                <w:rFonts w:ascii="黑体" w:hAnsi="黑体" w:eastAsia="黑体" w:cs="宋体"/>
                <w:snapToGrid w:val="0"/>
                <w:color w:val="000000"/>
                <w:spacing w:val="-6"/>
                <w:kern w:val="21"/>
                <w:sz w:val="21"/>
              </w:rPr>
            </w:pPr>
            <w:r>
              <w:rPr>
                <w:rFonts w:hint="eastAsia" w:ascii="黑体" w:hAnsi="黑体" w:eastAsia="黑体" w:cs="宋体"/>
                <w:snapToGrid w:val="0"/>
                <w:color w:val="000000"/>
                <w:spacing w:val="-6"/>
                <w:kern w:val="21"/>
                <w:sz w:val="21"/>
              </w:rPr>
              <w:t>分类</w:t>
            </w:r>
          </w:p>
        </w:tc>
        <w:tc>
          <w:tcPr>
            <w:tcW w:w="1943" w:type="dxa"/>
            <w:tcMar>
              <w:left w:w="28" w:type="dxa"/>
              <w:right w:w="28" w:type="dxa"/>
            </w:tcMar>
            <w:vAlign w:val="center"/>
          </w:tcPr>
          <w:p w14:paraId="3C67B697">
            <w:pPr>
              <w:pStyle w:val="31"/>
              <w:rPr>
                <w:rFonts w:ascii="黑体" w:hAnsi="黑体" w:eastAsia="黑体" w:cs="宋体"/>
                <w:snapToGrid w:val="0"/>
                <w:color w:val="000000"/>
                <w:spacing w:val="-6"/>
                <w:kern w:val="21"/>
                <w:sz w:val="21"/>
              </w:rPr>
            </w:pPr>
            <w:r>
              <w:rPr>
                <w:rFonts w:hint="eastAsia" w:ascii="黑体" w:hAnsi="黑体" w:eastAsia="黑体" w:cs="宋体"/>
                <w:snapToGrid w:val="0"/>
                <w:color w:val="000000"/>
                <w:spacing w:val="-6"/>
                <w:kern w:val="21"/>
                <w:sz w:val="21"/>
              </w:rPr>
              <w:t>污染物名称</w:t>
            </w:r>
          </w:p>
        </w:tc>
        <w:tc>
          <w:tcPr>
            <w:tcW w:w="1449" w:type="dxa"/>
            <w:tcMar>
              <w:left w:w="28" w:type="dxa"/>
              <w:right w:w="28" w:type="dxa"/>
            </w:tcMar>
            <w:vAlign w:val="center"/>
          </w:tcPr>
          <w:p w14:paraId="51B131B5">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现有工程</w:t>
            </w:r>
          </w:p>
          <w:p w14:paraId="770B1DEF">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排放量（固</w:t>
            </w:r>
            <w:r>
              <w:rPr>
                <w:rFonts w:hint="eastAsia" w:ascii="黑体" w:hAnsi="黑体" w:eastAsia="黑体"/>
                <w:snapToGrid w:val="0"/>
                <w:color w:val="000000"/>
                <w:spacing w:val="-6"/>
                <w:kern w:val="21"/>
                <w:sz w:val="21"/>
              </w:rPr>
              <w:t>体</w:t>
            </w:r>
            <w:r>
              <w:rPr>
                <w:rFonts w:ascii="黑体" w:hAnsi="黑体" w:eastAsia="黑体"/>
                <w:snapToGrid w:val="0"/>
                <w:color w:val="000000"/>
                <w:spacing w:val="-6"/>
                <w:kern w:val="21"/>
                <w:sz w:val="21"/>
              </w:rPr>
              <w:t>废</w:t>
            </w:r>
            <w:r>
              <w:rPr>
                <w:rFonts w:hint="eastAsia" w:ascii="黑体" w:hAnsi="黑体" w:eastAsia="黑体"/>
                <w:snapToGrid w:val="0"/>
                <w:color w:val="000000"/>
                <w:spacing w:val="-6"/>
                <w:kern w:val="21"/>
                <w:sz w:val="21"/>
              </w:rPr>
              <w:t>物</w:t>
            </w:r>
            <w:r>
              <w:rPr>
                <w:rFonts w:ascii="黑体" w:hAnsi="黑体" w:eastAsia="黑体"/>
                <w:snapToGrid w:val="0"/>
                <w:color w:val="000000"/>
                <w:spacing w:val="-6"/>
                <w:kern w:val="21"/>
                <w:sz w:val="21"/>
              </w:rPr>
              <w:t>产生量）</w:t>
            </w:r>
            <w:r>
              <w:rPr>
                <w:rFonts w:ascii="黑体" w:hAnsi="黑体" w:eastAsia="黑体"/>
                <w:snapToGrid w:val="0"/>
                <w:color w:val="000000"/>
                <w:spacing w:val="-6"/>
                <w:kern w:val="21"/>
                <w:sz w:val="21"/>
              </w:rPr>
              <w:fldChar w:fldCharType="begin"/>
            </w:r>
            <w:r>
              <w:rPr>
                <w:rFonts w:ascii="黑体" w:hAnsi="黑体" w:eastAsia="黑体"/>
                <w:snapToGrid w:val="0"/>
                <w:color w:val="000000"/>
                <w:spacing w:val="-6"/>
                <w:kern w:val="21"/>
                <w:sz w:val="21"/>
              </w:rPr>
              <w:instrText xml:space="preserve"> = 1 \* GB3 \* MERGEFORMAT </w:instrText>
            </w:r>
            <w:r>
              <w:rPr>
                <w:rFonts w:ascii="黑体" w:hAnsi="黑体" w:eastAsia="黑体"/>
                <w:snapToGrid w:val="0"/>
                <w:color w:val="000000"/>
                <w:spacing w:val="-6"/>
                <w:kern w:val="21"/>
                <w:sz w:val="21"/>
              </w:rPr>
              <w:fldChar w:fldCharType="separate"/>
            </w:r>
            <w:r>
              <w:rPr>
                <w:rFonts w:hint="eastAsia" w:ascii="黑体" w:hAnsi="黑体" w:eastAsia="黑体" w:cs="宋体"/>
                <w:sz w:val="21"/>
              </w:rPr>
              <w:t>①</w:t>
            </w:r>
            <w:r>
              <w:rPr>
                <w:rFonts w:ascii="黑体" w:hAnsi="黑体" w:eastAsia="黑体"/>
                <w:snapToGrid w:val="0"/>
                <w:color w:val="000000"/>
                <w:spacing w:val="-6"/>
                <w:kern w:val="21"/>
                <w:sz w:val="21"/>
              </w:rPr>
              <w:fldChar w:fldCharType="end"/>
            </w:r>
          </w:p>
        </w:tc>
        <w:tc>
          <w:tcPr>
            <w:tcW w:w="1170" w:type="dxa"/>
            <w:tcMar>
              <w:left w:w="28" w:type="dxa"/>
              <w:right w:w="28" w:type="dxa"/>
            </w:tcMar>
            <w:vAlign w:val="center"/>
          </w:tcPr>
          <w:p w14:paraId="44E7B21B">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现有工程</w:t>
            </w:r>
          </w:p>
          <w:p w14:paraId="0E0A5B20">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许可排放量</w:t>
            </w:r>
          </w:p>
          <w:p w14:paraId="2D427B12">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fldChar w:fldCharType="begin"/>
            </w:r>
            <w:r>
              <w:rPr>
                <w:rFonts w:ascii="黑体" w:hAnsi="黑体" w:eastAsia="黑体"/>
                <w:snapToGrid w:val="0"/>
                <w:color w:val="000000"/>
                <w:spacing w:val="-6"/>
                <w:kern w:val="21"/>
                <w:sz w:val="21"/>
              </w:rPr>
              <w:instrText xml:space="preserve"> = 2 \* GB3 \* MERGEFORMAT </w:instrText>
            </w:r>
            <w:r>
              <w:rPr>
                <w:rFonts w:ascii="黑体" w:hAnsi="黑体" w:eastAsia="黑体"/>
                <w:snapToGrid w:val="0"/>
                <w:color w:val="000000"/>
                <w:spacing w:val="-6"/>
                <w:kern w:val="21"/>
                <w:sz w:val="21"/>
              </w:rPr>
              <w:fldChar w:fldCharType="separate"/>
            </w:r>
            <w:r>
              <w:rPr>
                <w:rFonts w:hint="eastAsia" w:ascii="黑体" w:hAnsi="黑体" w:eastAsia="黑体" w:cs="宋体"/>
                <w:snapToGrid w:val="0"/>
                <w:color w:val="000000"/>
                <w:spacing w:val="-6"/>
                <w:kern w:val="21"/>
                <w:sz w:val="21"/>
              </w:rPr>
              <w:t>②</w:t>
            </w:r>
            <w:r>
              <w:rPr>
                <w:rFonts w:ascii="黑体" w:hAnsi="黑体" w:eastAsia="黑体"/>
                <w:snapToGrid w:val="0"/>
                <w:color w:val="000000"/>
                <w:spacing w:val="-6"/>
                <w:kern w:val="21"/>
                <w:sz w:val="21"/>
              </w:rPr>
              <w:fldChar w:fldCharType="end"/>
            </w:r>
          </w:p>
        </w:tc>
        <w:tc>
          <w:tcPr>
            <w:tcW w:w="1701" w:type="dxa"/>
            <w:tcMar>
              <w:left w:w="28" w:type="dxa"/>
              <w:right w:w="28" w:type="dxa"/>
            </w:tcMar>
            <w:vAlign w:val="center"/>
          </w:tcPr>
          <w:p w14:paraId="054C0C4A">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在建工程</w:t>
            </w:r>
          </w:p>
          <w:p w14:paraId="6ABB5DA9">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排放量（固</w:t>
            </w:r>
            <w:r>
              <w:rPr>
                <w:rFonts w:hint="eastAsia" w:ascii="黑体" w:hAnsi="黑体" w:eastAsia="黑体"/>
                <w:snapToGrid w:val="0"/>
                <w:color w:val="000000"/>
                <w:spacing w:val="-6"/>
                <w:kern w:val="21"/>
                <w:sz w:val="21"/>
              </w:rPr>
              <w:t>体</w:t>
            </w:r>
            <w:r>
              <w:rPr>
                <w:rFonts w:ascii="黑体" w:hAnsi="黑体" w:eastAsia="黑体"/>
                <w:snapToGrid w:val="0"/>
                <w:color w:val="000000"/>
                <w:spacing w:val="-6"/>
                <w:kern w:val="21"/>
                <w:sz w:val="21"/>
              </w:rPr>
              <w:t>废</w:t>
            </w:r>
            <w:r>
              <w:rPr>
                <w:rFonts w:hint="eastAsia" w:ascii="黑体" w:hAnsi="黑体" w:eastAsia="黑体"/>
                <w:snapToGrid w:val="0"/>
                <w:color w:val="000000"/>
                <w:spacing w:val="-6"/>
                <w:kern w:val="21"/>
                <w:sz w:val="21"/>
              </w:rPr>
              <w:t>物</w:t>
            </w:r>
            <w:r>
              <w:rPr>
                <w:rFonts w:ascii="黑体" w:hAnsi="黑体" w:eastAsia="黑体"/>
                <w:snapToGrid w:val="0"/>
                <w:color w:val="000000"/>
                <w:spacing w:val="-6"/>
                <w:kern w:val="21"/>
                <w:sz w:val="21"/>
              </w:rPr>
              <w:t>产生量）</w:t>
            </w:r>
            <w:r>
              <w:rPr>
                <w:rFonts w:ascii="黑体" w:hAnsi="黑体" w:eastAsia="黑体"/>
                <w:snapToGrid w:val="0"/>
                <w:color w:val="000000"/>
                <w:spacing w:val="-6"/>
                <w:kern w:val="21"/>
                <w:sz w:val="21"/>
              </w:rPr>
              <w:fldChar w:fldCharType="begin"/>
            </w:r>
            <w:r>
              <w:rPr>
                <w:rFonts w:ascii="黑体" w:hAnsi="黑体" w:eastAsia="黑体"/>
                <w:snapToGrid w:val="0"/>
                <w:color w:val="000000"/>
                <w:spacing w:val="-6"/>
                <w:kern w:val="21"/>
                <w:sz w:val="21"/>
              </w:rPr>
              <w:instrText xml:space="preserve"> = 3 \* GB3 \* MERGEFORMAT </w:instrText>
            </w:r>
            <w:r>
              <w:rPr>
                <w:rFonts w:ascii="黑体" w:hAnsi="黑体" w:eastAsia="黑体"/>
                <w:snapToGrid w:val="0"/>
                <w:color w:val="000000"/>
                <w:spacing w:val="-6"/>
                <w:kern w:val="21"/>
                <w:sz w:val="21"/>
              </w:rPr>
              <w:fldChar w:fldCharType="separate"/>
            </w:r>
            <w:r>
              <w:rPr>
                <w:rFonts w:hint="eastAsia" w:ascii="黑体" w:hAnsi="黑体" w:eastAsia="黑体" w:cs="宋体"/>
                <w:sz w:val="21"/>
              </w:rPr>
              <w:t>③</w:t>
            </w:r>
            <w:r>
              <w:rPr>
                <w:rFonts w:ascii="黑体" w:hAnsi="黑体" w:eastAsia="黑体"/>
                <w:snapToGrid w:val="0"/>
                <w:color w:val="000000"/>
                <w:spacing w:val="-6"/>
                <w:kern w:val="21"/>
                <w:sz w:val="21"/>
              </w:rPr>
              <w:fldChar w:fldCharType="end"/>
            </w:r>
          </w:p>
        </w:tc>
        <w:tc>
          <w:tcPr>
            <w:tcW w:w="1688" w:type="dxa"/>
            <w:tcMar>
              <w:left w:w="28" w:type="dxa"/>
              <w:right w:w="28" w:type="dxa"/>
            </w:tcMar>
            <w:vAlign w:val="center"/>
          </w:tcPr>
          <w:p w14:paraId="1A0CEE7F">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本项目</w:t>
            </w:r>
          </w:p>
          <w:p w14:paraId="5C30105F">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排放量（固</w:t>
            </w:r>
            <w:r>
              <w:rPr>
                <w:rFonts w:hint="eastAsia" w:ascii="黑体" w:hAnsi="黑体" w:eastAsia="黑体"/>
                <w:snapToGrid w:val="0"/>
                <w:color w:val="000000"/>
                <w:spacing w:val="-6"/>
                <w:kern w:val="21"/>
                <w:sz w:val="21"/>
              </w:rPr>
              <w:t>体</w:t>
            </w:r>
            <w:r>
              <w:rPr>
                <w:rFonts w:ascii="黑体" w:hAnsi="黑体" w:eastAsia="黑体"/>
                <w:snapToGrid w:val="0"/>
                <w:color w:val="000000"/>
                <w:spacing w:val="-6"/>
                <w:kern w:val="21"/>
                <w:sz w:val="21"/>
              </w:rPr>
              <w:t>废</w:t>
            </w:r>
            <w:r>
              <w:rPr>
                <w:rFonts w:hint="eastAsia" w:ascii="黑体" w:hAnsi="黑体" w:eastAsia="黑体"/>
                <w:snapToGrid w:val="0"/>
                <w:color w:val="000000"/>
                <w:spacing w:val="-6"/>
                <w:kern w:val="21"/>
                <w:sz w:val="21"/>
              </w:rPr>
              <w:t>物</w:t>
            </w:r>
            <w:r>
              <w:rPr>
                <w:rFonts w:ascii="黑体" w:hAnsi="黑体" w:eastAsia="黑体"/>
                <w:snapToGrid w:val="0"/>
                <w:color w:val="000000"/>
                <w:spacing w:val="-6"/>
                <w:kern w:val="21"/>
                <w:sz w:val="21"/>
              </w:rPr>
              <w:t>产生量）</w:t>
            </w:r>
            <w:r>
              <w:rPr>
                <w:rFonts w:ascii="黑体" w:hAnsi="黑体" w:eastAsia="黑体"/>
                <w:snapToGrid w:val="0"/>
                <w:color w:val="000000"/>
                <w:spacing w:val="-6"/>
                <w:kern w:val="21"/>
                <w:sz w:val="21"/>
              </w:rPr>
              <w:fldChar w:fldCharType="begin"/>
            </w:r>
            <w:r>
              <w:rPr>
                <w:rFonts w:ascii="黑体" w:hAnsi="黑体" w:eastAsia="黑体"/>
                <w:snapToGrid w:val="0"/>
                <w:color w:val="000000"/>
                <w:spacing w:val="-6"/>
                <w:kern w:val="21"/>
                <w:sz w:val="21"/>
              </w:rPr>
              <w:instrText xml:space="preserve"> = 4 \* GB3 \* MERGEFORMAT </w:instrText>
            </w:r>
            <w:r>
              <w:rPr>
                <w:rFonts w:ascii="黑体" w:hAnsi="黑体" w:eastAsia="黑体"/>
                <w:snapToGrid w:val="0"/>
                <w:color w:val="000000"/>
                <w:spacing w:val="-6"/>
                <w:kern w:val="21"/>
                <w:sz w:val="21"/>
              </w:rPr>
              <w:fldChar w:fldCharType="separate"/>
            </w:r>
            <w:r>
              <w:rPr>
                <w:rFonts w:hint="eastAsia" w:ascii="黑体" w:hAnsi="黑体" w:eastAsia="黑体" w:cs="宋体"/>
                <w:sz w:val="21"/>
              </w:rPr>
              <w:t>④</w:t>
            </w:r>
            <w:r>
              <w:rPr>
                <w:rFonts w:ascii="黑体" w:hAnsi="黑体" w:eastAsia="黑体"/>
                <w:snapToGrid w:val="0"/>
                <w:color w:val="000000"/>
                <w:spacing w:val="-6"/>
                <w:kern w:val="21"/>
                <w:sz w:val="21"/>
              </w:rPr>
              <w:fldChar w:fldCharType="end"/>
            </w:r>
          </w:p>
        </w:tc>
        <w:tc>
          <w:tcPr>
            <w:tcW w:w="1773" w:type="dxa"/>
            <w:tcMar>
              <w:left w:w="28" w:type="dxa"/>
              <w:right w:w="28" w:type="dxa"/>
            </w:tcMar>
            <w:vAlign w:val="center"/>
          </w:tcPr>
          <w:p w14:paraId="2BC3DE80">
            <w:pPr>
              <w:pStyle w:val="31"/>
              <w:rPr>
                <w:rFonts w:ascii="黑体" w:hAnsi="黑体" w:eastAsia="黑体"/>
                <w:snapToGrid w:val="0"/>
                <w:color w:val="000000"/>
                <w:spacing w:val="-16"/>
                <w:kern w:val="21"/>
                <w:sz w:val="21"/>
              </w:rPr>
            </w:pPr>
            <w:r>
              <w:rPr>
                <w:rFonts w:ascii="黑体" w:hAnsi="黑体" w:eastAsia="黑体"/>
                <w:snapToGrid w:val="0"/>
                <w:color w:val="000000"/>
                <w:spacing w:val="-16"/>
                <w:kern w:val="21"/>
                <w:sz w:val="21"/>
              </w:rPr>
              <w:t>以新带老削减量</w:t>
            </w:r>
          </w:p>
          <w:p w14:paraId="08B123B5">
            <w:pPr>
              <w:pStyle w:val="31"/>
              <w:rPr>
                <w:rFonts w:ascii="黑体" w:hAnsi="黑体" w:eastAsia="黑体"/>
                <w:snapToGrid w:val="0"/>
                <w:color w:val="000000"/>
                <w:spacing w:val="-16"/>
                <w:kern w:val="21"/>
                <w:sz w:val="21"/>
              </w:rPr>
            </w:pPr>
            <w:r>
              <w:rPr>
                <w:rFonts w:ascii="黑体" w:hAnsi="黑体" w:eastAsia="黑体"/>
                <w:snapToGrid w:val="0"/>
                <w:color w:val="000000"/>
                <w:spacing w:val="-16"/>
                <w:kern w:val="21"/>
                <w:sz w:val="21"/>
              </w:rPr>
              <w:t>（新建项目不填）</w:t>
            </w:r>
            <w:r>
              <w:rPr>
                <w:rFonts w:ascii="黑体" w:hAnsi="黑体" w:eastAsia="黑体"/>
                <w:snapToGrid w:val="0"/>
                <w:color w:val="000000"/>
                <w:spacing w:val="-16"/>
                <w:kern w:val="21"/>
                <w:sz w:val="21"/>
              </w:rPr>
              <w:fldChar w:fldCharType="begin"/>
            </w:r>
            <w:r>
              <w:rPr>
                <w:rFonts w:ascii="黑体" w:hAnsi="黑体" w:eastAsia="黑体"/>
                <w:snapToGrid w:val="0"/>
                <w:color w:val="000000"/>
                <w:spacing w:val="-16"/>
                <w:kern w:val="21"/>
                <w:sz w:val="21"/>
              </w:rPr>
              <w:instrText xml:space="preserve"> = 5 \* GB3 \* MERGEFORMAT </w:instrText>
            </w:r>
            <w:r>
              <w:rPr>
                <w:rFonts w:ascii="黑体" w:hAnsi="黑体" w:eastAsia="黑体"/>
                <w:snapToGrid w:val="0"/>
                <w:color w:val="000000"/>
                <w:spacing w:val="-16"/>
                <w:kern w:val="21"/>
                <w:sz w:val="21"/>
              </w:rPr>
              <w:fldChar w:fldCharType="separate"/>
            </w:r>
            <w:r>
              <w:rPr>
                <w:rFonts w:hint="eastAsia" w:ascii="黑体" w:hAnsi="黑体" w:eastAsia="黑体" w:cs="宋体"/>
                <w:sz w:val="21"/>
              </w:rPr>
              <w:t>⑤</w:t>
            </w:r>
            <w:r>
              <w:rPr>
                <w:rFonts w:ascii="黑体" w:hAnsi="黑体" w:eastAsia="黑体"/>
                <w:snapToGrid w:val="0"/>
                <w:color w:val="000000"/>
                <w:spacing w:val="-16"/>
                <w:kern w:val="21"/>
                <w:sz w:val="21"/>
              </w:rPr>
              <w:fldChar w:fldCharType="end"/>
            </w:r>
          </w:p>
        </w:tc>
        <w:tc>
          <w:tcPr>
            <w:tcW w:w="1609" w:type="dxa"/>
            <w:tcMar>
              <w:left w:w="28" w:type="dxa"/>
              <w:right w:w="28" w:type="dxa"/>
            </w:tcMar>
            <w:vAlign w:val="center"/>
          </w:tcPr>
          <w:p w14:paraId="044A52D9">
            <w:pPr>
              <w:pStyle w:val="31"/>
              <w:rPr>
                <w:rFonts w:ascii="黑体" w:hAnsi="黑体" w:eastAsia="黑体"/>
                <w:snapToGrid w:val="0"/>
                <w:color w:val="000000"/>
                <w:spacing w:val="-16"/>
                <w:kern w:val="21"/>
                <w:sz w:val="21"/>
              </w:rPr>
            </w:pPr>
            <w:r>
              <w:rPr>
                <w:rFonts w:ascii="黑体" w:hAnsi="黑体" w:eastAsia="黑体"/>
                <w:snapToGrid w:val="0"/>
                <w:color w:val="000000"/>
                <w:spacing w:val="-16"/>
                <w:kern w:val="21"/>
                <w:sz w:val="21"/>
              </w:rPr>
              <w:t>本项目建成后</w:t>
            </w:r>
          </w:p>
          <w:p w14:paraId="71457CD9">
            <w:pPr>
              <w:pStyle w:val="31"/>
              <w:rPr>
                <w:rFonts w:ascii="黑体" w:hAnsi="黑体" w:eastAsia="黑体"/>
                <w:snapToGrid w:val="0"/>
                <w:color w:val="000000"/>
                <w:spacing w:val="-16"/>
                <w:kern w:val="21"/>
                <w:sz w:val="21"/>
              </w:rPr>
            </w:pPr>
            <w:r>
              <w:rPr>
                <w:rFonts w:hint="eastAsia" w:ascii="黑体" w:hAnsi="黑体" w:eastAsia="黑体"/>
                <w:snapToGrid w:val="0"/>
                <w:color w:val="000000"/>
                <w:spacing w:val="-16"/>
                <w:kern w:val="21"/>
                <w:sz w:val="21"/>
              </w:rPr>
              <w:t>全厂</w:t>
            </w:r>
            <w:r>
              <w:rPr>
                <w:rFonts w:ascii="黑体" w:hAnsi="黑体" w:eastAsia="黑体"/>
                <w:snapToGrid w:val="0"/>
                <w:color w:val="000000"/>
                <w:spacing w:val="-16"/>
                <w:kern w:val="21"/>
                <w:sz w:val="21"/>
              </w:rPr>
              <w:t>排放量（固</w:t>
            </w:r>
            <w:r>
              <w:rPr>
                <w:rFonts w:hint="eastAsia" w:ascii="黑体" w:hAnsi="黑体" w:eastAsia="黑体"/>
                <w:snapToGrid w:val="0"/>
                <w:color w:val="000000"/>
                <w:spacing w:val="-16"/>
                <w:kern w:val="21"/>
                <w:sz w:val="21"/>
              </w:rPr>
              <w:t>体</w:t>
            </w:r>
            <w:r>
              <w:rPr>
                <w:rFonts w:ascii="黑体" w:hAnsi="黑体" w:eastAsia="黑体"/>
                <w:snapToGrid w:val="0"/>
                <w:color w:val="000000"/>
                <w:spacing w:val="-16"/>
                <w:kern w:val="21"/>
                <w:sz w:val="21"/>
              </w:rPr>
              <w:t>废</w:t>
            </w:r>
            <w:r>
              <w:rPr>
                <w:rFonts w:hint="eastAsia" w:ascii="黑体" w:hAnsi="黑体" w:eastAsia="黑体"/>
                <w:snapToGrid w:val="0"/>
                <w:color w:val="000000"/>
                <w:spacing w:val="-16"/>
                <w:kern w:val="21"/>
                <w:sz w:val="21"/>
              </w:rPr>
              <w:t>物</w:t>
            </w:r>
            <w:r>
              <w:rPr>
                <w:rFonts w:ascii="黑体" w:hAnsi="黑体" w:eastAsia="黑体"/>
                <w:snapToGrid w:val="0"/>
                <w:color w:val="000000"/>
                <w:spacing w:val="-16"/>
                <w:kern w:val="21"/>
                <w:sz w:val="21"/>
              </w:rPr>
              <w:t>产生量）</w:t>
            </w:r>
            <w:r>
              <w:rPr>
                <w:rFonts w:ascii="黑体" w:hAnsi="黑体" w:eastAsia="黑体"/>
                <w:snapToGrid w:val="0"/>
                <w:color w:val="000000"/>
                <w:spacing w:val="-16"/>
                <w:kern w:val="21"/>
                <w:sz w:val="21"/>
              </w:rPr>
              <w:fldChar w:fldCharType="begin"/>
            </w:r>
            <w:r>
              <w:rPr>
                <w:rFonts w:ascii="黑体" w:hAnsi="黑体" w:eastAsia="黑体"/>
                <w:snapToGrid w:val="0"/>
                <w:color w:val="000000"/>
                <w:spacing w:val="-16"/>
                <w:kern w:val="21"/>
                <w:sz w:val="21"/>
              </w:rPr>
              <w:instrText xml:space="preserve"> = 6 \* GB3 \* MERGEFORMAT </w:instrText>
            </w:r>
            <w:r>
              <w:rPr>
                <w:rFonts w:ascii="黑体" w:hAnsi="黑体" w:eastAsia="黑体"/>
                <w:snapToGrid w:val="0"/>
                <w:color w:val="000000"/>
                <w:spacing w:val="-16"/>
                <w:kern w:val="21"/>
                <w:sz w:val="21"/>
              </w:rPr>
              <w:fldChar w:fldCharType="separate"/>
            </w:r>
            <w:r>
              <w:rPr>
                <w:rFonts w:hint="eastAsia" w:ascii="黑体" w:hAnsi="黑体" w:eastAsia="黑体" w:cs="宋体"/>
                <w:sz w:val="21"/>
              </w:rPr>
              <w:t>⑥</w:t>
            </w:r>
            <w:r>
              <w:rPr>
                <w:rFonts w:ascii="黑体" w:hAnsi="黑体" w:eastAsia="黑体"/>
                <w:snapToGrid w:val="0"/>
                <w:color w:val="000000"/>
                <w:spacing w:val="-16"/>
                <w:kern w:val="21"/>
                <w:sz w:val="21"/>
              </w:rPr>
              <w:fldChar w:fldCharType="end"/>
            </w:r>
          </w:p>
        </w:tc>
        <w:tc>
          <w:tcPr>
            <w:tcW w:w="1035" w:type="dxa"/>
            <w:tcMar>
              <w:left w:w="28" w:type="dxa"/>
              <w:right w:w="28" w:type="dxa"/>
            </w:tcMar>
            <w:vAlign w:val="center"/>
          </w:tcPr>
          <w:p w14:paraId="552ADD6B">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t>变化量</w:t>
            </w:r>
          </w:p>
          <w:p w14:paraId="75A8246E">
            <w:pPr>
              <w:pStyle w:val="31"/>
              <w:rPr>
                <w:rFonts w:ascii="黑体" w:hAnsi="黑体" w:eastAsia="黑体"/>
                <w:snapToGrid w:val="0"/>
                <w:color w:val="000000"/>
                <w:spacing w:val="-6"/>
                <w:kern w:val="21"/>
                <w:sz w:val="21"/>
              </w:rPr>
            </w:pPr>
            <w:r>
              <w:rPr>
                <w:rFonts w:ascii="黑体" w:hAnsi="黑体" w:eastAsia="黑体"/>
                <w:snapToGrid w:val="0"/>
                <w:color w:val="000000"/>
                <w:spacing w:val="-6"/>
                <w:kern w:val="21"/>
                <w:sz w:val="21"/>
              </w:rPr>
              <w:fldChar w:fldCharType="begin"/>
            </w:r>
            <w:r>
              <w:rPr>
                <w:rFonts w:ascii="黑体" w:hAnsi="黑体" w:eastAsia="黑体"/>
                <w:snapToGrid w:val="0"/>
                <w:color w:val="000000"/>
                <w:spacing w:val="-6"/>
                <w:kern w:val="21"/>
                <w:sz w:val="21"/>
              </w:rPr>
              <w:instrText xml:space="preserve"> = 7 \* GB3 \* MERGEFORMAT </w:instrText>
            </w:r>
            <w:r>
              <w:rPr>
                <w:rFonts w:ascii="黑体" w:hAnsi="黑体" w:eastAsia="黑体"/>
                <w:snapToGrid w:val="0"/>
                <w:color w:val="000000"/>
                <w:spacing w:val="-6"/>
                <w:kern w:val="21"/>
                <w:sz w:val="21"/>
              </w:rPr>
              <w:fldChar w:fldCharType="separate"/>
            </w:r>
            <w:r>
              <w:rPr>
                <w:rFonts w:hint="eastAsia" w:ascii="黑体" w:hAnsi="黑体" w:eastAsia="黑体" w:cs="宋体"/>
                <w:sz w:val="21"/>
              </w:rPr>
              <w:t>⑦</w:t>
            </w:r>
            <w:r>
              <w:rPr>
                <w:rFonts w:ascii="黑体" w:hAnsi="黑体" w:eastAsia="黑体"/>
                <w:snapToGrid w:val="0"/>
                <w:color w:val="000000"/>
                <w:spacing w:val="-6"/>
                <w:kern w:val="21"/>
                <w:sz w:val="21"/>
              </w:rPr>
              <w:fldChar w:fldCharType="end"/>
            </w:r>
          </w:p>
        </w:tc>
      </w:tr>
      <w:tr w14:paraId="7A16D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vAlign w:val="center"/>
          </w:tcPr>
          <w:p w14:paraId="7E229EE6">
            <w:pPr>
              <w:pStyle w:val="31"/>
              <w:rPr>
                <w:rFonts w:hAnsi="宋体" w:cs="宋体"/>
                <w:snapToGrid w:val="0"/>
                <w:color w:val="000000"/>
                <w:kern w:val="21"/>
                <w:sz w:val="21"/>
              </w:rPr>
            </w:pPr>
            <w:r>
              <w:rPr>
                <w:rFonts w:hint="eastAsia" w:hAnsi="宋体" w:cs="宋体"/>
                <w:snapToGrid w:val="0"/>
                <w:color w:val="000000"/>
                <w:kern w:val="21"/>
                <w:sz w:val="21"/>
              </w:rPr>
              <w:t>废气</w:t>
            </w:r>
          </w:p>
        </w:tc>
        <w:tc>
          <w:tcPr>
            <w:tcW w:w="1943" w:type="dxa"/>
            <w:vAlign w:val="center"/>
          </w:tcPr>
          <w:p w14:paraId="2A41D5E4">
            <w:pPr>
              <w:pStyle w:val="31"/>
              <w:rPr>
                <w:rFonts w:hAnsi="宋体" w:cs="宋体"/>
                <w:snapToGrid w:val="0"/>
                <w:color w:val="000000"/>
                <w:kern w:val="21"/>
                <w:sz w:val="21"/>
              </w:rPr>
            </w:pPr>
            <w:r>
              <w:rPr>
                <w:rFonts w:hint="eastAsia" w:hAnsi="宋体" w:cs="宋体"/>
                <w:snapToGrid w:val="0"/>
                <w:color w:val="000000"/>
                <w:kern w:val="21"/>
                <w:sz w:val="21"/>
              </w:rPr>
              <w:t>颗粒物</w:t>
            </w:r>
          </w:p>
        </w:tc>
        <w:tc>
          <w:tcPr>
            <w:tcW w:w="1449" w:type="dxa"/>
            <w:vAlign w:val="center"/>
          </w:tcPr>
          <w:p w14:paraId="2AECC2C6">
            <w:pPr>
              <w:pStyle w:val="31"/>
              <w:rPr>
                <w:snapToGrid w:val="0"/>
                <w:color w:val="000000"/>
                <w:kern w:val="21"/>
                <w:sz w:val="21"/>
              </w:rPr>
            </w:pPr>
          </w:p>
        </w:tc>
        <w:tc>
          <w:tcPr>
            <w:tcW w:w="1170" w:type="dxa"/>
            <w:vAlign w:val="center"/>
          </w:tcPr>
          <w:p w14:paraId="4BA49534">
            <w:pPr>
              <w:pStyle w:val="31"/>
              <w:rPr>
                <w:snapToGrid w:val="0"/>
                <w:color w:val="000000"/>
                <w:kern w:val="21"/>
                <w:sz w:val="21"/>
              </w:rPr>
            </w:pPr>
          </w:p>
        </w:tc>
        <w:tc>
          <w:tcPr>
            <w:tcW w:w="1701" w:type="dxa"/>
            <w:vAlign w:val="center"/>
          </w:tcPr>
          <w:p w14:paraId="196C5BFC">
            <w:pPr>
              <w:pStyle w:val="31"/>
              <w:rPr>
                <w:snapToGrid w:val="0"/>
                <w:color w:val="000000"/>
                <w:kern w:val="21"/>
                <w:sz w:val="21"/>
              </w:rPr>
            </w:pPr>
          </w:p>
        </w:tc>
        <w:tc>
          <w:tcPr>
            <w:tcW w:w="1688" w:type="dxa"/>
            <w:vAlign w:val="center"/>
          </w:tcPr>
          <w:p w14:paraId="0003AE56">
            <w:pPr>
              <w:pStyle w:val="31"/>
              <w:rPr>
                <w:snapToGrid w:val="0"/>
                <w:color w:val="000000"/>
                <w:kern w:val="21"/>
                <w:sz w:val="21"/>
              </w:rPr>
            </w:pPr>
            <w:r>
              <w:rPr>
                <w:rFonts w:hint="eastAsia"/>
                <w:snapToGrid w:val="0"/>
                <w:color w:val="000000"/>
                <w:kern w:val="21"/>
                <w:sz w:val="21"/>
              </w:rPr>
              <w:t>0.0</w:t>
            </w:r>
            <w:r>
              <w:rPr>
                <w:rFonts w:hint="eastAsia"/>
                <w:snapToGrid w:val="0"/>
                <w:color w:val="000000"/>
                <w:kern w:val="21"/>
                <w:sz w:val="21"/>
                <w:lang w:val="en-US" w:eastAsia="zh-CN"/>
              </w:rPr>
              <w:t>653</w:t>
            </w:r>
            <w:r>
              <w:rPr>
                <w:rFonts w:hint="eastAsia"/>
                <w:snapToGrid w:val="0"/>
                <w:kern w:val="21"/>
                <w:sz w:val="21"/>
              </w:rPr>
              <w:t>t/a</w:t>
            </w:r>
          </w:p>
        </w:tc>
        <w:tc>
          <w:tcPr>
            <w:tcW w:w="1773" w:type="dxa"/>
            <w:vAlign w:val="center"/>
          </w:tcPr>
          <w:p w14:paraId="1C87D02D">
            <w:pPr>
              <w:pStyle w:val="31"/>
              <w:rPr>
                <w:snapToGrid w:val="0"/>
                <w:color w:val="000000"/>
                <w:kern w:val="21"/>
                <w:sz w:val="21"/>
                <w:highlight w:val="yellow"/>
              </w:rPr>
            </w:pPr>
          </w:p>
        </w:tc>
        <w:tc>
          <w:tcPr>
            <w:tcW w:w="1609" w:type="dxa"/>
            <w:vAlign w:val="center"/>
          </w:tcPr>
          <w:p w14:paraId="77221F72">
            <w:pPr>
              <w:pStyle w:val="31"/>
              <w:rPr>
                <w:snapToGrid w:val="0"/>
                <w:color w:val="000000"/>
                <w:kern w:val="21"/>
                <w:sz w:val="21"/>
                <w:highlight w:val="yellow"/>
              </w:rPr>
            </w:pPr>
            <w:r>
              <w:rPr>
                <w:rFonts w:hint="eastAsia"/>
                <w:snapToGrid w:val="0"/>
                <w:color w:val="000000"/>
                <w:kern w:val="21"/>
                <w:sz w:val="21"/>
              </w:rPr>
              <w:t>0.0</w:t>
            </w:r>
            <w:r>
              <w:rPr>
                <w:rFonts w:hint="eastAsia"/>
                <w:snapToGrid w:val="0"/>
                <w:color w:val="000000"/>
                <w:kern w:val="21"/>
                <w:sz w:val="21"/>
                <w:lang w:val="en-US" w:eastAsia="zh-CN"/>
              </w:rPr>
              <w:t>653</w:t>
            </w:r>
            <w:r>
              <w:rPr>
                <w:rFonts w:hint="eastAsia"/>
                <w:snapToGrid w:val="0"/>
                <w:kern w:val="21"/>
                <w:sz w:val="21"/>
              </w:rPr>
              <w:t>t/a</w:t>
            </w:r>
          </w:p>
        </w:tc>
        <w:tc>
          <w:tcPr>
            <w:tcW w:w="1035" w:type="dxa"/>
            <w:vAlign w:val="center"/>
          </w:tcPr>
          <w:p w14:paraId="76728C9A">
            <w:pPr>
              <w:pStyle w:val="31"/>
              <w:rPr>
                <w:snapToGrid w:val="0"/>
                <w:color w:val="000000"/>
                <w:kern w:val="21"/>
                <w:sz w:val="21"/>
              </w:rPr>
            </w:pPr>
          </w:p>
        </w:tc>
      </w:tr>
      <w:tr w14:paraId="3D152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7B32485B">
            <w:pPr>
              <w:pStyle w:val="31"/>
              <w:rPr>
                <w:rFonts w:hAnsi="宋体" w:cs="宋体"/>
                <w:snapToGrid w:val="0"/>
                <w:color w:val="000000"/>
                <w:kern w:val="21"/>
                <w:sz w:val="21"/>
              </w:rPr>
            </w:pPr>
          </w:p>
        </w:tc>
        <w:tc>
          <w:tcPr>
            <w:tcW w:w="1943" w:type="dxa"/>
            <w:vAlign w:val="center"/>
          </w:tcPr>
          <w:p w14:paraId="602519A1">
            <w:pPr>
              <w:pStyle w:val="31"/>
              <w:rPr>
                <w:rFonts w:hAnsi="宋体" w:cs="宋体"/>
                <w:snapToGrid w:val="0"/>
                <w:color w:val="000000"/>
                <w:kern w:val="21"/>
                <w:sz w:val="21"/>
              </w:rPr>
            </w:pPr>
            <w:r>
              <w:rPr>
                <w:rFonts w:hint="eastAsia" w:hAnsi="宋体" w:cs="宋体"/>
                <w:snapToGrid w:val="0"/>
                <w:color w:val="000000"/>
                <w:kern w:val="21"/>
                <w:sz w:val="21"/>
              </w:rPr>
              <w:t>挥发性有机物</w:t>
            </w:r>
          </w:p>
          <w:p w14:paraId="54CA669B">
            <w:pPr>
              <w:pStyle w:val="31"/>
              <w:rPr>
                <w:rFonts w:hAnsi="宋体" w:cs="宋体"/>
                <w:snapToGrid w:val="0"/>
                <w:color w:val="000000"/>
                <w:kern w:val="21"/>
                <w:sz w:val="21"/>
              </w:rPr>
            </w:pPr>
            <w:r>
              <w:rPr>
                <w:rFonts w:hint="eastAsia" w:hAnsi="宋体" w:cs="宋体"/>
                <w:snapToGrid w:val="0"/>
                <w:color w:val="000000"/>
                <w:kern w:val="21"/>
                <w:sz w:val="21"/>
              </w:rPr>
              <w:t>（非甲烷总烃）</w:t>
            </w:r>
          </w:p>
        </w:tc>
        <w:tc>
          <w:tcPr>
            <w:tcW w:w="1449" w:type="dxa"/>
            <w:vAlign w:val="center"/>
          </w:tcPr>
          <w:p w14:paraId="2DCE67BE">
            <w:pPr>
              <w:pStyle w:val="31"/>
              <w:rPr>
                <w:snapToGrid w:val="0"/>
                <w:color w:val="000000"/>
                <w:kern w:val="21"/>
                <w:sz w:val="21"/>
              </w:rPr>
            </w:pPr>
          </w:p>
        </w:tc>
        <w:tc>
          <w:tcPr>
            <w:tcW w:w="1170" w:type="dxa"/>
            <w:vAlign w:val="center"/>
          </w:tcPr>
          <w:p w14:paraId="132B75DD">
            <w:pPr>
              <w:pStyle w:val="31"/>
              <w:rPr>
                <w:snapToGrid w:val="0"/>
                <w:color w:val="000000"/>
                <w:kern w:val="21"/>
                <w:sz w:val="21"/>
              </w:rPr>
            </w:pPr>
          </w:p>
        </w:tc>
        <w:tc>
          <w:tcPr>
            <w:tcW w:w="1701" w:type="dxa"/>
            <w:vAlign w:val="center"/>
          </w:tcPr>
          <w:p w14:paraId="45FA09F6">
            <w:pPr>
              <w:pStyle w:val="31"/>
              <w:rPr>
                <w:snapToGrid w:val="0"/>
                <w:color w:val="000000"/>
                <w:kern w:val="21"/>
                <w:sz w:val="21"/>
              </w:rPr>
            </w:pPr>
          </w:p>
        </w:tc>
        <w:tc>
          <w:tcPr>
            <w:tcW w:w="1688" w:type="dxa"/>
            <w:vAlign w:val="center"/>
          </w:tcPr>
          <w:p w14:paraId="6349D1B2">
            <w:pPr>
              <w:pStyle w:val="31"/>
              <w:rPr>
                <w:snapToGrid w:val="0"/>
                <w:color w:val="000000"/>
                <w:kern w:val="21"/>
                <w:sz w:val="21"/>
              </w:rPr>
            </w:pPr>
            <w:r>
              <w:rPr>
                <w:rFonts w:hint="eastAsia"/>
                <w:snapToGrid w:val="0"/>
                <w:color w:val="000000"/>
                <w:kern w:val="21"/>
                <w:sz w:val="21"/>
              </w:rPr>
              <w:t>1.7598</w:t>
            </w:r>
            <w:r>
              <w:rPr>
                <w:rFonts w:ascii="Arial" w:hAnsi="Arial" w:cs="Arial"/>
                <w:snapToGrid w:val="0"/>
                <w:color w:val="000000"/>
                <w:kern w:val="21"/>
                <w:sz w:val="21"/>
              </w:rPr>
              <w:t>×</w:t>
            </w:r>
            <w:r>
              <w:rPr>
                <w:rFonts w:hint="eastAsia"/>
                <w:snapToGrid w:val="0"/>
                <w:color w:val="000000"/>
                <w:kern w:val="21"/>
                <w:sz w:val="21"/>
              </w:rPr>
              <w:t>10</w:t>
            </w:r>
            <w:r>
              <w:rPr>
                <w:rFonts w:hint="eastAsia"/>
                <w:snapToGrid w:val="0"/>
                <w:color w:val="000000"/>
                <w:kern w:val="21"/>
                <w:sz w:val="21"/>
                <w:vertAlign w:val="superscript"/>
              </w:rPr>
              <w:t>-5</w:t>
            </w:r>
            <w:r>
              <w:rPr>
                <w:rFonts w:hint="eastAsia"/>
                <w:snapToGrid w:val="0"/>
                <w:color w:val="000000"/>
                <w:kern w:val="21"/>
                <w:sz w:val="21"/>
              </w:rPr>
              <w:t>t</w:t>
            </w:r>
            <w:r>
              <w:rPr>
                <w:rFonts w:hint="eastAsia"/>
                <w:snapToGrid w:val="0"/>
                <w:kern w:val="21"/>
                <w:sz w:val="21"/>
              </w:rPr>
              <w:t>/a</w:t>
            </w:r>
          </w:p>
        </w:tc>
        <w:tc>
          <w:tcPr>
            <w:tcW w:w="1773" w:type="dxa"/>
            <w:vAlign w:val="center"/>
          </w:tcPr>
          <w:p w14:paraId="3BF7168E">
            <w:pPr>
              <w:pStyle w:val="31"/>
              <w:bidi w:val="0"/>
              <w:ind w:firstLine="0" w:firstLineChars="0"/>
              <w:jc w:val="center"/>
              <w:rPr>
                <w:rFonts w:hint="default" w:ascii="Times New Roman" w:hAnsi="Times New Roman" w:eastAsia="宋体" w:cs="Times New Roman"/>
                <w:kern w:val="2"/>
                <w:sz w:val="21"/>
                <w:szCs w:val="21"/>
                <w:highlight w:val="yellow"/>
                <w:lang w:val="en-US" w:eastAsia="zh-CN" w:bidi="ar-SA"/>
              </w:rPr>
            </w:pPr>
          </w:p>
        </w:tc>
        <w:tc>
          <w:tcPr>
            <w:tcW w:w="1609" w:type="dxa"/>
            <w:vAlign w:val="center"/>
          </w:tcPr>
          <w:p w14:paraId="535A3446">
            <w:pPr>
              <w:pStyle w:val="31"/>
              <w:rPr>
                <w:snapToGrid w:val="0"/>
                <w:color w:val="000000"/>
                <w:kern w:val="21"/>
                <w:sz w:val="21"/>
              </w:rPr>
            </w:pPr>
            <w:r>
              <w:rPr>
                <w:rFonts w:hint="eastAsia"/>
                <w:snapToGrid w:val="0"/>
                <w:color w:val="000000"/>
                <w:kern w:val="21"/>
                <w:sz w:val="21"/>
              </w:rPr>
              <w:t>1.7598</w:t>
            </w:r>
            <w:r>
              <w:rPr>
                <w:rFonts w:ascii="Arial" w:hAnsi="Arial" w:cs="Arial"/>
                <w:snapToGrid w:val="0"/>
                <w:color w:val="000000"/>
                <w:kern w:val="21"/>
                <w:sz w:val="21"/>
              </w:rPr>
              <w:t>×</w:t>
            </w:r>
            <w:r>
              <w:rPr>
                <w:rFonts w:hint="eastAsia"/>
                <w:snapToGrid w:val="0"/>
                <w:color w:val="000000"/>
                <w:kern w:val="21"/>
                <w:sz w:val="21"/>
              </w:rPr>
              <w:t>10</w:t>
            </w:r>
            <w:r>
              <w:rPr>
                <w:rFonts w:hint="eastAsia"/>
                <w:snapToGrid w:val="0"/>
                <w:color w:val="000000"/>
                <w:kern w:val="21"/>
                <w:sz w:val="21"/>
                <w:vertAlign w:val="superscript"/>
              </w:rPr>
              <w:t>-5</w:t>
            </w:r>
            <w:r>
              <w:rPr>
                <w:rFonts w:hint="eastAsia"/>
                <w:snapToGrid w:val="0"/>
                <w:color w:val="000000"/>
                <w:kern w:val="21"/>
                <w:sz w:val="21"/>
              </w:rPr>
              <w:t>t</w:t>
            </w:r>
            <w:r>
              <w:rPr>
                <w:rFonts w:hint="eastAsia"/>
                <w:snapToGrid w:val="0"/>
                <w:kern w:val="21"/>
                <w:sz w:val="21"/>
              </w:rPr>
              <w:t>/a</w:t>
            </w:r>
          </w:p>
        </w:tc>
        <w:tc>
          <w:tcPr>
            <w:tcW w:w="1035" w:type="dxa"/>
            <w:vAlign w:val="center"/>
          </w:tcPr>
          <w:p w14:paraId="79D3AE9B">
            <w:pPr>
              <w:pStyle w:val="31"/>
              <w:rPr>
                <w:snapToGrid w:val="0"/>
                <w:color w:val="000000"/>
                <w:kern w:val="21"/>
                <w:sz w:val="21"/>
              </w:rPr>
            </w:pPr>
          </w:p>
        </w:tc>
      </w:tr>
      <w:tr w14:paraId="34E17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5DB3BD5E">
            <w:pPr>
              <w:pStyle w:val="31"/>
              <w:rPr>
                <w:rFonts w:hAnsi="宋体" w:cs="宋体"/>
                <w:snapToGrid w:val="0"/>
                <w:color w:val="000000"/>
                <w:kern w:val="21"/>
                <w:sz w:val="21"/>
              </w:rPr>
            </w:pPr>
          </w:p>
        </w:tc>
        <w:tc>
          <w:tcPr>
            <w:tcW w:w="1943" w:type="dxa"/>
            <w:vAlign w:val="center"/>
          </w:tcPr>
          <w:p w14:paraId="5047ECC7">
            <w:pPr>
              <w:pStyle w:val="31"/>
              <w:rPr>
                <w:rFonts w:hAnsi="宋体" w:cs="宋体"/>
                <w:snapToGrid w:val="0"/>
                <w:color w:val="000000"/>
                <w:kern w:val="21"/>
                <w:sz w:val="21"/>
                <w:highlight w:val="none"/>
              </w:rPr>
            </w:pPr>
            <w:r>
              <w:rPr>
                <w:rFonts w:hint="eastAsia" w:hAnsi="宋体" w:cs="宋体"/>
                <w:snapToGrid w:val="0"/>
                <w:color w:val="000000"/>
                <w:kern w:val="21"/>
                <w:sz w:val="21"/>
                <w:highlight w:val="none"/>
              </w:rPr>
              <w:t>油雾</w:t>
            </w:r>
          </w:p>
        </w:tc>
        <w:tc>
          <w:tcPr>
            <w:tcW w:w="1449" w:type="dxa"/>
            <w:vAlign w:val="center"/>
          </w:tcPr>
          <w:p w14:paraId="24282812">
            <w:pPr>
              <w:pStyle w:val="31"/>
              <w:rPr>
                <w:snapToGrid w:val="0"/>
                <w:color w:val="000000"/>
                <w:kern w:val="21"/>
                <w:sz w:val="21"/>
                <w:highlight w:val="none"/>
              </w:rPr>
            </w:pPr>
          </w:p>
        </w:tc>
        <w:tc>
          <w:tcPr>
            <w:tcW w:w="1170" w:type="dxa"/>
            <w:vAlign w:val="center"/>
          </w:tcPr>
          <w:p w14:paraId="42C62789">
            <w:pPr>
              <w:pStyle w:val="31"/>
              <w:rPr>
                <w:snapToGrid w:val="0"/>
                <w:color w:val="000000"/>
                <w:kern w:val="21"/>
                <w:sz w:val="21"/>
                <w:highlight w:val="none"/>
              </w:rPr>
            </w:pPr>
          </w:p>
        </w:tc>
        <w:tc>
          <w:tcPr>
            <w:tcW w:w="1701" w:type="dxa"/>
            <w:vAlign w:val="center"/>
          </w:tcPr>
          <w:p w14:paraId="146B663E">
            <w:pPr>
              <w:pStyle w:val="31"/>
              <w:rPr>
                <w:snapToGrid w:val="0"/>
                <w:color w:val="000000"/>
                <w:kern w:val="21"/>
                <w:sz w:val="21"/>
                <w:highlight w:val="none"/>
              </w:rPr>
            </w:pPr>
          </w:p>
        </w:tc>
        <w:tc>
          <w:tcPr>
            <w:tcW w:w="1688" w:type="dxa"/>
            <w:vAlign w:val="center"/>
          </w:tcPr>
          <w:p w14:paraId="2DAF380C">
            <w:pPr>
              <w:spacing w:line="240" w:lineRule="auto"/>
              <w:ind w:firstLine="0" w:firstLineChars="0"/>
              <w:jc w:val="center"/>
              <w:rPr>
                <w:snapToGrid w:val="0"/>
                <w:color w:val="000000"/>
                <w:kern w:val="21"/>
                <w:sz w:val="21"/>
                <w:szCs w:val="21"/>
                <w:highlight w:val="none"/>
              </w:rPr>
            </w:pPr>
            <w:r>
              <w:rPr>
                <w:rFonts w:hint="eastAsia"/>
                <w:snapToGrid w:val="0"/>
                <w:color w:val="000000"/>
                <w:kern w:val="21"/>
                <w:sz w:val="21"/>
                <w:szCs w:val="21"/>
                <w:highlight w:val="none"/>
              </w:rPr>
              <w:t>0.0588t/a</w:t>
            </w:r>
          </w:p>
        </w:tc>
        <w:tc>
          <w:tcPr>
            <w:tcW w:w="1773" w:type="dxa"/>
            <w:vAlign w:val="center"/>
          </w:tcPr>
          <w:p w14:paraId="470D4F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1B0BCF45">
            <w:pPr>
              <w:spacing w:line="240" w:lineRule="auto"/>
              <w:ind w:firstLine="0" w:firstLineChars="0"/>
              <w:jc w:val="center"/>
              <w:rPr>
                <w:snapToGrid w:val="0"/>
                <w:color w:val="000000"/>
                <w:kern w:val="21"/>
                <w:sz w:val="21"/>
                <w:szCs w:val="21"/>
                <w:highlight w:val="none"/>
              </w:rPr>
            </w:pPr>
            <w:r>
              <w:rPr>
                <w:rFonts w:hint="eastAsia"/>
                <w:snapToGrid w:val="0"/>
                <w:color w:val="000000"/>
                <w:kern w:val="21"/>
                <w:sz w:val="21"/>
                <w:szCs w:val="21"/>
                <w:highlight w:val="none"/>
              </w:rPr>
              <w:t>0.0588t/a</w:t>
            </w:r>
          </w:p>
        </w:tc>
        <w:tc>
          <w:tcPr>
            <w:tcW w:w="1035" w:type="dxa"/>
            <w:vAlign w:val="center"/>
          </w:tcPr>
          <w:p w14:paraId="54E9EFEB">
            <w:pPr>
              <w:pStyle w:val="31"/>
              <w:rPr>
                <w:snapToGrid w:val="0"/>
                <w:color w:val="000000"/>
                <w:kern w:val="21"/>
                <w:sz w:val="21"/>
              </w:rPr>
            </w:pPr>
          </w:p>
        </w:tc>
      </w:tr>
      <w:tr w14:paraId="5E60C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vAlign w:val="center"/>
          </w:tcPr>
          <w:p w14:paraId="0AB5F966">
            <w:pPr>
              <w:pStyle w:val="31"/>
              <w:rPr>
                <w:rFonts w:hint="eastAsia" w:hAnsi="宋体" w:eastAsia="宋体" w:cs="宋体"/>
                <w:snapToGrid w:val="0"/>
                <w:color w:val="000000"/>
                <w:kern w:val="21"/>
                <w:sz w:val="21"/>
                <w:lang w:val="en-US" w:eastAsia="zh-CN"/>
              </w:rPr>
            </w:pPr>
            <w:r>
              <w:rPr>
                <w:rFonts w:hint="eastAsia" w:hAnsi="宋体" w:cs="宋体"/>
                <w:snapToGrid w:val="0"/>
                <w:color w:val="000000"/>
                <w:kern w:val="21"/>
                <w:sz w:val="21"/>
                <w:lang w:val="en-US" w:eastAsia="zh-CN"/>
              </w:rPr>
              <w:t>废水</w:t>
            </w:r>
          </w:p>
        </w:tc>
        <w:tc>
          <w:tcPr>
            <w:tcW w:w="1943" w:type="dxa"/>
            <w:vAlign w:val="center"/>
          </w:tcPr>
          <w:p w14:paraId="3B9D57DD">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COD</w:t>
            </w:r>
          </w:p>
        </w:tc>
        <w:tc>
          <w:tcPr>
            <w:tcW w:w="1449" w:type="dxa"/>
            <w:vAlign w:val="center"/>
          </w:tcPr>
          <w:p w14:paraId="74D9E057">
            <w:pPr>
              <w:pStyle w:val="31"/>
              <w:rPr>
                <w:snapToGrid w:val="0"/>
                <w:color w:val="000000"/>
                <w:kern w:val="21"/>
                <w:sz w:val="21"/>
                <w:szCs w:val="21"/>
                <w:highlight w:val="none"/>
              </w:rPr>
            </w:pPr>
          </w:p>
        </w:tc>
        <w:tc>
          <w:tcPr>
            <w:tcW w:w="1170" w:type="dxa"/>
            <w:vAlign w:val="center"/>
          </w:tcPr>
          <w:p w14:paraId="406BCC10">
            <w:pPr>
              <w:pStyle w:val="31"/>
              <w:rPr>
                <w:snapToGrid w:val="0"/>
                <w:color w:val="000000"/>
                <w:kern w:val="21"/>
                <w:sz w:val="21"/>
                <w:szCs w:val="21"/>
                <w:highlight w:val="none"/>
              </w:rPr>
            </w:pPr>
          </w:p>
        </w:tc>
        <w:tc>
          <w:tcPr>
            <w:tcW w:w="1701" w:type="dxa"/>
            <w:vAlign w:val="center"/>
          </w:tcPr>
          <w:p w14:paraId="7A875D5B">
            <w:pPr>
              <w:pStyle w:val="31"/>
              <w:rPr>
                <w:snapToGrid w:val="0"/>
                <w:color w:val="000000"/>
                <w:kern w:val="21"/>
                <w:sz w:val="21"/>
                <w:szCs w:val="21"/>
                <w:highlight w:val="none"/>
              </w:rPr>
            </w:pPr>
          </w:p>
        </w:tc>
        <w:tc>
          <w:tcPr>
            <w:tcW w:w="1688" w:type="dxa"/>
            <w:vAlign w:val="center"/>
          </w:tcPr>
          <w:p w14:paraId="74074D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0.6275</w:t>
            </w:r>
            <w:r>
              <w:rPr>
                <w:rFonts w:hint="eastAsia"/>
                <w:snapToGrid w:val="0"/>
                <w:color w:val="000000"/>
                <w:kern w:val="21"/>
                <w:sz w:val="21"/>
                <w:szCs w:val="21"/>
                <w:highlight w:val="none"/>
              </w:rPr>
              <w:t>t/a</w:t>
            </w:r>
          </w:p>
        </w:tc>
        <w:tc>
          <w:tcPr>
            <w:tcW w:w="1773" w:type="dxa"/>
            <w:vAlign w:val="center"/>
          </w:tcPr>
          <w:p w14:paraId="4E2EDB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7E3804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0.6275</w:t>
            </w:r>
            <w:r>
              <w:rPr>
                <w:rFonts w:hint="eastAsia"/>
                <w:snapToGrid w:val="0"/>
                <w:color w:val="000000"/>
                <w:kern w:val="21"/>
                <w:sz w:val="21"/>
                <w:szCs w:val="21"/>
                <w:highlight w:val="none"/>
              </w:rPr>
              <w:t>t/a</w:t>
            </w:r>
          </w:p>
        </w:tc>
        <w:tc>
          <w:tcPr>
            <w:tcW w:w="1035" w:type="dxa"/>
            <w:vAlign w:val="center"/>
          </w:tcPr>
          <w:p w14:paraId="57AA1C0A">
            <w:pPr>
              <w:pStyle w:val="31"/>
              <w:rPr>
                <w:snapToGrid w:val="0"/>
                <w:color w:val="000000"/>
                <w:kern w:val="21"/>
                <w:sz w:val="21"/>
              </w:rPr>
            </w:pPr>
          </w:p>
        </w:tc>
      </w:tr>
      <w:tr w14:paraId="70970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738AC237">
            <w:pPr>
              <w:pStyle w:val="31"/>
              <w:rPr>
                <w:rFonts w:hAnsi="宋体" w:cs="宋体"/>
                <w:snapToGrid w:val="0"/>
                <w:color w:val="000000"/>
                <w:kern w:val="21"/>
                <w:sz w:val="21"/>
              </w:rPr>
            </w:pPr>
          </w:p>
        </w:tc>
        <w:tc>
          <w:tcPr>
            <w:tcW w:w="1943" w:type="dxa"/>
            <w:vAlign w:val="center"/>
          </w:tcPr>
          <w:p w14:paraId="1F242C8A">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BOD</w:t>
            </w:r>
            <w:r>
              <w:rPr>
                <w:rFonts w:hint="default"/>
                <w:sz w:val="21"/>
                <w:szCs w:val="21"/>
                <w:highlight w:val="none"/>
                <w:vertAlign w:val="subscript"/>
                <w:lang w:val="en-US" w:eastAsia="zh-CN"/>
              </w:rPr>
              <w:t>5</w:t>
            </w:r>
          </w:p>
        </w:tc>
        <w:tc>
          <w:tcPr>
            <w:tcW w:w="1449" w:type="dxa"/>
            <w:vAlign w:val="center"/>
          </w:tcPr>
          <w:p w14:paraId="52F00362">
            <w:pPr>
              <w:pStyle w:val="31"/>
              <w:rPr>
                <w:snapToGrid w:val="0"/>
                <w:color w:val="000000"/>
                <w:kern w:val="21"/>
                <w:sz w:val="21"/>
                <w:szCs w:val="21"/>
                <w:highlight w:val="none"/>
              </w:rPr>
            </w:pPr>
          </w:p>
        </w:tc>
        <w:tc>
          <w:tcPr>
            <w:tcW w:w="1170" w:type="dxa"/>
            <w:vAlign w:val="center"/>
          </w:tcPr>
          <w:p w14:paraId="61D027BF">
            <w:pPr>
              <w:pStyle w:val="31"/>
              <w:rPr>
                <w:snapToGrid w:val="0"/>
                <w:color w:val="000000"/>
                <w:kern w:val="21"/>
                <w:sz w:val="21"/>
                <w:szCs w:val="21"/>
                <w:highlight w:val="none"/>
              </w:rPr>
            </w:pPr>
          </w:p>
        </w:tc>
        <w:tc>
          <w:tcPr>
            <w:tcW w:w="1701" w:type="dxa"/>
            <w:vAlign w:val="center"/>
          </w:tcPr>
          <w:p w14:paraId="6CE51A57">
            <w:pPr>
              <w:pStyle w:val="31"/>
              <w:rPr>
                <w:snapToGrid w:val="0"/>
                <w:color w:val="000000"/>
                <w:kern w:val="21"/>
                <w:sz w:val="21"/>
                <w:szCs w:val="21"/>
                <w:highlight w:val="none"/>
              </w:rPr>
            </w:pPr>
          </w:p>
        </w:tc>
        <w:tc>
          <w:tcPr>
            <w:tcW w:w="1688" w:type="dxa"/>
            <w:vAlign w:val="center"/>
          </w:tcPr>
          <w:p w14:paraId="0D2B21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0.278</w:t>
            </w:r>
            <w:r>
              <w:rPr>
                <w:rFonts w:hint="eastAsia"/>
                <w:snapToGrid w:val="0"/>
                <w:color w:val="000000"/>
                <w:kern w:val="21"/>
                <w:sz w:val="21"/>
                <w:szCs w:val="21"/>
                <w:highlight w:val="none"/>
              </w:rPr>
              <w:t>t/a</w:t>
            </w:r>
          </w:p>
        </w:tc>
        <w:tc>
          <w:tcPr>
            <w:tcW w:w="1773" w:type="dxa"/>
            <w:vAlign w:val="center"/>
          </w:tcPr>
          <w:p w14:paraId="154F0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146117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0.278</w:t>
            </w:r>
            <w:r>
              <w:rPr>
                <w:rFonts w:hint="eastAsia"/>
                <w:snapToGrid w:val="0"/>
                <w:color w:val="000000"/>
                <w:kern w:val="21"/>
                <w:sz w:val="21"/>
                <w:szCs w:val="21"/>
                <w:highlight w:val="none"/>
              </w:rPr>
              <w:t>t/a</w:t>
            </w:r>
          </w:p>
        </w:tc>
        <w:tc>
          <w:tcPr>
            <w:tcW w:w="1035" w:type="dxa"/>
            <w:vAlign w:val="center"/>
          </w:tcPr>
          <w:p w14:paraId="34C23EBD">
            <w:pPr>
              <w:pStyle w:val="31"/>
              <w:rPr>
                <w:snapToGrid w:val="0"/>
                <w:color w:val="000000"/>
                <w:kern w:val="21"/>
                <w:sz w:val="21"/>
              </w:rPr>
            </w:pPr>
          </w:p>
        </w:tc>
      </w:tr>
      <w:tr w14:paraId="79285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0AE88BC2">
            <w:pPr>
              <w:pStyle w:val="31"/>
              <w:rPr>
                <w:rFonts w:hAnsi="宋体" w:cs="宋体"/>
                <w:snapToGrid w:val="0"/>
                <w:color w:val="000000"/>
                <w:kern w:val="21"/>
                <w:sz w:val="21"/>
              </w:rPr>
            </w:pPr>
          </w:p>
        </w:tc>
        <w:tc>
          <w:tcPr>
            <w:tcW w:w="1943" w:type="dxa"/>
            <w:vAlign w:val="center"/>
          </w:tcPr>
          <w:p w14:paraId="14E5FB03">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default"/>
                <w:sz w:val="21"/>
                <w:szCs w:val="21"/>
                <w:highlight w:val="none"/>
                <w:lang w:val="en-US" w:eastAsia="zh-CN"/>
              </w:rPr>
              <w:t>SS</w:t>
            </w:r>
          </w:p>
        </w:tc>
        <w:tc>
          <w:tcPr>
            <w:tcW w:w="1449" w:type="dxa"/>
            <w:vAlign w:val="center"/>
          </w:tcPr>
          <w:p w14:paraId="677A6A94">
            <w:pPr>
              <w:pStyle w:val="31"/>
              <w:rPr>
                <w:snapToGrid w:val="0"/>
                <w:color w:val="000000"/>
                <w:kern w:val="21"/>
                <w:sz w:val="21"/>
                <w:szCs w:val="21"/>
                <w:highlight w:val="none"/>
              </w:rPr>
            </w:pPr>
          </w:p>
        </w:tc>
        <w:tc>
          <w:tcPr>
            <w:tcW w:w="1170" w:type="dxa"/>
            <w:vAlign w:val="center"/>
          </w:tcPr>
          <w:p w14:paraId="5B876FFF">
            <w:pPr>
              <w:pStyle w:val="31"/>
              <w:rPr>
                <w:snapToGrid w:val="0"/>
                <w:color w:val="000000"/>
                <w:kern w:val="21"/>
                <w:sz w:val="21"/>
                <w:szCs w:val="21"/>
                <w:highlight w:val="none"/>
              </w:rPr>
            </w:pPr>
          </w:p>
        </w:tc>
        <w:tc>
          <w:tcPr>
            <w:tcW w:w="1701" w:type="dxa"/>
            <w:vAlign w:val="center"/>
          </w:tcPr>
          <w:p w14:paraId="173517EF">
            <w:pPr>
              <w:pStyle w:val="31"/>
              <w:rPr>
                <w:snapToGrid w:val="0"/>
                <w:color w:val="000000"/>
                <w:kern w:val="21"/>
                <w:sz w:val="21"/>
                <w:szCs w:val="21"/>
                <w:highlight w:val="none"/>
              </w:rPr>
            </w:pPr>
          </w:p>
        </w:tc>
        <w:tc>
          <w:tcPr>
            <w:tcW w:w="1688" w:type="dxa"/>
            <w:vAlign w:val="center"/>
          </w:tcPr>
          <w:p w14:paraId="5C6CC7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0.3682</w:t>
            </w:r>
            <w:r>
              <w:rPr>
                <w:rFonts w:hint="eastAsia"/>
                <w:snapToGrid w:val="0"/>
                <w:color w:val="000000"/>
                <w:kern w:val="21"/>
                <w:sz w:val="21"/>
                <w:szCs w:val="21"/>
                <w:highlight w:val="none"/>
              </w:rPr>
              <w:t>t/a</w:t>
            </w:r>
          </w:p>
        </w:tc>
        <w:tc>
          <w:tcPr>
            <w:tcW w:w="1773" w:type="dxa"/>
            <w:vAlign w:val="center"/>
          </w:tcPr>
          <w:p w14:paraId="35262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380C79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0.3682</w:t>
            </w:r>
            <w:r>
              <w:rPr>
                <w:rFonts w:hint="eastAsia"/>
                <w:snapToGrid w:val="0"/>
                <w:color w:val="000000"/>
                <w:kern w:val="21"/>
                <w:sz w:val="21"/>
                <w:szCs w:val="21"/>
                <w:highlight w:val="none"/>
              </w:rPr>
              <w:t>t/a</w:t>
            </w:r>
          </w:p>
        </w:tc>
        <w:tc>
          <w:tcPr>
            <w:tcW w:w="1035" w:type="dxa"/>
            <w:vAlign w:val="center"/>
          </w:tcPr>
          <w:p w14:paraId="76EBAAB8">
            <w:pPr>
              <w:pStyle w:val="31"/>
              <w:rPr>
                <w:snapToGrid w:val="0"/>
                <w:color w:val="000000"/>
                <w:kern w:val="21"/>
                <w:sz w:val="21"/>
              </w:rPr>
            </w:pPr>
          </w:p>
        </w:tc>
      </w:tr>
      <w:tr w14:paraId="1061F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41960865">
            <w:pPr>
              <w:pStyle w:val="31"/>
              <w:rPr>
                <w:rFonts w:hAnsi="宋体" w:cs="宋体"/>
                <w:snapToGrid w:val="0"/>
                <w:color w:val="000000"/>
                <w:kern w:val="21"/>
                <w:sz w:val="21"/>
              </w:rPr>
            </w:pPr>
          </w:p>
        </w:tc>
        <w:tc>
          <w:tcPr>
            <w:tcW w:w="1943" w:type="dxa"/>
            <w:vAlign w:val="center"/>
          </w:tcPr>
          <w:p w14:paraId="23CCAC8F">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氨氮</w:t>
            </w:r>
          </w:p>
        </w:tc>
        <w:tc>
          <w:tcPr>
            <w:tcW w:w="1449" w:type="dxa"/>
            <w:vAlign w:val="center"/>
          </w:tcPr>
          <w:p w14:paraId="7285014B">
            <w:pPr>
              <w:pStyle w:val="31"/>
              <w:rPr>
                <w:snapToGrid w:val="0"/>
                <w:color w:val="000000"/>
                <w:kern w:val="21"/>
                <w:sz w:val="21"/>
                <w:szCs w:val="21"/>
                <w:highlight w:val="none"/>
              </w:rPr>
            </w:pPr>
          </w:p>
        </w:tc>
        <w:tc>
          <w:tcPr>
            <w:tcW w:w="1170" w:type="dxa"/>
            <w:vAlign w:val="center"/>
          </w:tcPr>
          <w:p w14:paraId="13661ED2">
            <w:pPr>
              <w:pStyle w:val="31"/>
              <w:rPr>
                <w:snapToGrid w:val="0"/>
                <w:color w:val="000000"/>
                <w:kern w:val="21"/>
                <w:sz w:val="21"/>
                <w:szCs w:val="21"/>
                <w:highlight w:val="none"/>
              </w:rPr>
            </w:pPr>
          </w:p>
        </w:tc>
        <w:tc>
          <w:tcPr>
            <w:tcW w:w="1701" w:type="dxa"/>
            <w:vAlign w:val="center"/>
          </w:tcPr>
          <w:p w14:paraId="7B9F6FBD">
            <w:pPr>
              <w:pStyle w:val="31"/>
              <w:rPr>
                <w:snapToGrid w:val="0"/>
                <w:color w:val="000000"/>
                <w:kern w:val="21"/>
                <w:sz w:val="21"/>
                <w:szCs w:val="21"/>
                <w:highlight w:val="none"/>
              </w:rPr>
            </w:pPr>
          </w:p>
        </w:tc>
        <w:tc>
          <w:tcPr>
            <w:tcW w:w="1688" w:type="dxa"/>
            <w:vAlign w:val="center"/>
          </w:tcPr>
          <w:p w14:paraId="2C703EDC">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0.0469</w:t>
            </w:r>
            <w:r>
              <w:rPr>
                <w:rFonts w:hint="eastAsia"/>
                <w:snapToGrid w:val="0"/>
                <w:color w:val="000000"/>
                <w:kern w:val="21"/>
                <w:sz w:val="21"/>
                <w:szCs w:val="21"/>
                <w:highlight w:val="none"/>
              </w:rPr>
              <w:t>t/a</w:t>
            </w:r>
          </w:p>
        </w:tc>
        <w:tc>
          <w:tcPr>
            <w:tcW w:w="1773" w:type="dxa"/>
            <w:vAlign w:val="center"/>
          </w:tcPr>
          <w:p w14:paraId="7CCE2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59496AB2">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0.0469</w:t>
            </w:r>
            <w:r>
              <w:rPr>
                <w:rFonts w:hint="eastAsia"/>
                <w:snapToGrid w:val="0"/>
                <w:color w:val="000000"/>
                <w:kern w:val="21"/>
                <w:sz w:val="21"/>
                <w:szCs w:val="21"/>
                <w:highlight w:val="none"/>
              </w:rPr>
              <w:t>t/a</w:t>
            </w:r>
          </w:p>
        </w:tc>
        <w:tc>
          <w:tcPr>
            <w:tcW w:w="1035" w:type="dxa"/>
            <w:vAlign w:val="center"/>
          </w:tcPr>
          <w:p w14:paraId="769B2C65">
            <w:pPr>
              <w:pStyle w:val="31"/>
              <w:rPr>
                <w:snapToGrid w:val="0"/>
                <w:color w:val="000000"/>
                <w:kern w:val="21"/>
                <w:sz w:val="21"/>
              </w:rPr>
            </w:pPr>
          </w:p>
        </w:tc>
      </w:tr>
      <w:tr w14:paraId="38AB8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0ABE0DBA">
            <w:pPr>
              <w:pStyle w:val="31"/>
              <w:rPr>
                <w:rFonts w:hAnsi="宋体" w:cs="宋体"/>
                <w:snapToGrid w:val="0"/>
                <w:color w:val="000000"/>
                <w:kern w:val="21"/>
                <w:sz w:val="21"/>
              </w:rPr>
            </w:pPr>
          </w:p>
        </w:tc>
        <w:tc>
          <w:tcPr>
            <w:tcW w:w="1943" w:type="dxa"/>
            <w:vAlign w:val="center"/>
          </w:tcPr>
          <w:p w14:paraId="6D51B108">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石油类</w:t>
            </w:r>
          </w:p>
        </w:tc>
        <w:tc>
          <w:tcPr>
            <w:tcW w:w="1449" w:type="dxa"/>
            <w:vAlign w:val="center"/>
          </w:tcPr>
          <w:p w14:paraId="21EF9DD7">
            <w:pPr>
              <w:pStyle w:val="31"/>
              <w:rPr>
                <w:snapToGrid w:val="0"/>
                <w:color w:val="000000"/>
                <w:kern w:val="21"/>
                <w:sz w:val="21"/>
                <w:szCs w:val="21"/>
                <w:highlight w:val="none"/>
              </w:rPr>
            </w:pPr>
          </w:p>
        </w:tc>
        <w:tc>
          <w:tcPr>
            <w:tcW w:w="1170" w:type="dxa"/>
            <w:vAlign w:val="center"/>
          </w:tcPr>
          <w:p w14:paraId="7ED29F1C">
            <w:pPr>
              <w:pStyle w:val="31"/>
              <w:rPr>
                <w:snapToGrid w:val="0"/>
                <w:color w:val="000000"/>
                <w:kern w:val="21"/>
                <w:sz w:val="21"/>
                <w:szCs w:val="21"/>
                <w:highlight w:val="none"/>
              </w:rPr>
            </w:pPr>
          </w:p>
        </w:tc>
        <w:tc>
          <w:tcPr>
            <w:tcW w:w="1701" w:type="dxa"/>
            <w:vAlign w:val="center"/>
          </w:tcPr>
          <w:p w14:paraId="5526D125">
            <w:pPr>
              <w:pStyle w:val="31"/>
              <w:rPr>
                <w:snapToGrid w:val="0"/>
                <w:color w:val="000000"/>
                <w:kern w:val="21"/>
                <w:sz w:val="21"/>
                <w:szCs w:val="21"/>
                <w:highlight w:val="none"/>
              </w:rPr>
            </w:pPr>
          </w:p>
        </w:tc>
        <w:tc>
          <w:tcPr>
            <w:tcW w:w="1688" w:type="dxa"/>
            <w:vAlign w:val="center"/>
          </w:tcPr>
          <w:p w14:paraId="51299B91">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0.0002</w:t>
            </w:r>
            <w:r>
              <w:rPr>
                <w:rFonts w:hint="eastAsia"/>
                <w:snapToGrid w:val="0"/>
                <w:color w:val="000000"/>
                <w:kern w:val="21"/>
                <w:sz w:val="21"/>
                <w:szCs w:val="21"/>
                <w:highlight w:val="none"/>
              </w:rPr>
              <w:t>t/a</w:t>
            </w:r>
          </w:p>
        </w:tc>
        <w:tc>
          <w:tcPr>
            <w:tcW w:w="1773" w:type="dxa"/>
            <w:vAlign w:val="center"/>
          </w:tcPr>
          <w:p w14:paraId="3B8F1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1F5825F0">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0.0002</w:t>
            </w:r>
            <w:r>
              <w:rPr>
                <w:rFonts w:hint="eastAsia"/>
                <w:snapToGrid w:val="0"/>
                <w:color w:val="000000"/>
                <w:kern w:val="21"/>
                <w:sz w:val="21"/>
                <w:szCs w:val="21"/>
                <w:highlight w:val="none"/>
              </w:rPr>
              <w:t>t/a</w:t>
            </w:r>
          </w:p>
        </w:tc>
        <w:tc>
          <w:tcPr>
            <w:tcW w:w="1035" w:type="dxa"/>
            <w:vAlign w:val="center"/>
          </w:tcPr>
          <w:p w14:paraId="72BD1625">
            <w:pPr>
              <w:pStyle w:val="31"/>
              <w:rPr>
                <w:snapToGrid w:val="0"/>
                <w:color w:val="000000"/>
                <w:kern w:val="21"/>
                <w:sz w:val="21"/>
              </w:rPr>
            </w:pPr>
          </w:p>
        </w:tc>
      </w:tr>
      <w:tr w14:paraId="09B27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306E4F61">
            <w:pPr>
              <w:pStyle w:val="31"/>
              <w:rPr>
                <w:rFonts w:hAnsi="宋体" w:cs="宋体"/>
                <w:snapToGrid w:val="0"/>
                <w:color w:val="000000"/>
                <w:kern w:val="21"/>
                <w:sz w:val="21"/>
              </w:rPr>
            </w:pPr>
          </w:p>
        </w:tc>
        <w:tc>
          <w:tcPr>
            <w:tcW w:w="1943" w:type="dxa"/>
            <w:vAlign w:val="center"/>
          </w:tcPr>
          <w:p w14:paraId="005C2A5E">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动植物油</w:t>
            </w:r>
          </w:p>
        </w:tc>
        <w:tc>
          <w:tcPr>
            <w:tcW w:w="1449" w:type="dxa"/>
            <w:vAlign w:val="center"/>
          </w:tcPr>
          <w:p w14:paraId="34582FD9">
            <w:pPr>
              <w:pStyle w:val="31"/>
              <w:rPr>
                <w:snapToGrid w:val="0"/>
                <w:color w:val="000000"/>
                <w:kern w:val="21"/>
                <w:sz w:val="21"/>
                <w:szCs w:val="21"/>
                <w:highlight w:val="none"/>
              </w:rPr>
            </w:pPr>
          </w:p>
        </w:tc>
        <w:tc>
          <w:tcPr>
            <w:tcW w:w="1170" w:type="dxa"/>
            <w:vAlign w:val="center"/>
          </w:tcPr>
          <w:p w14:paraId="72EDCB57">
            <w:pPr>
              <w:pStyle w:val="31"/>
              <w:rPr>
                <w:snapToGrid w:val="0"/>
                <w:color w:val="000000"/>
                <w:kern w:val="21"/>
                <w:sz w:val="21"/>
                <w:szCs w:val="21"/>
                <w:highlight w:val="none"/>
              </w:rPr>
            </w:pPr>
          </w:p>
        </w:tc>
        <w:tc>
          <w:tcPr>
            <w:tcW w:w="1701" w:type="dxa"/>
            <w:vAlign w:val="center"/>
          </w:tcPr>
          <w:p w14:paraId="22796808">
            <w:pPr>
              <w:pStyle w:val="31"/>
              <w:rPr>
                <w:snapToGrid w:val="0"/>
                <w:color w:val="000000"/>
                <w:kern w:val="21"/>
                <w:sz w:val="21"/>
                <w:szCs w:val="21"/>
                <w:highlight w:val="none"/>
              </w:rPr>
            </w:pPr>
          </w:p>
        </w:tc>
        <w:tc>
          <w:tcPr>
            <w:tcW w:w="1688" w:type="dxa"/>
            <w:vAlign w:val="center"/>
          </w:tcPr>
          <w:p w14:paraId="2D5AD64B">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0.0224</w:t>
            </w:r>
            <w:r>
              <w:rPr>
                <w:rFonts w:hint="eastAsia"/>
                <w:snapToGrid w:val="0"/>
                <w:color w:val="000000"/>
                <w:kern w:val="21"/>
                <w:sz w:val="21"/>
                <w:szCs w:val="21"/>
                <w:highlight w:val="none"/>
              </w:rPr>
              <w:t>t/a</w:t>
            </w:r>
          </w:p>
        </w:tc>
        <w:tc>
          <w:tcPr>
            <w:tcW w:w="1773" w:type="dxa"/>
            <w:vAlign w:val="center"/>
          </w:tcPr>
          <w:p w14:paraId="5A6EDE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14CB8F09">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0.0224</w:t>
            </w:r>
            <w:r>
              <w:rPr>
                <w:rFonts w:hint="eastAsia"/>
                <w:snapToGrid w:val="0"/>
                <w:color w:val="000000"/>
                <w:kern w:val="21"/>
                <w:sz w:val="21"/>
                <w:szCs w:val="21"/>
                <w:highlight w:val="none"/>
              </w:rPr>
              <w:t>t/a</w:t>
            </w:r>
          </w:p>
        </w:tc>
        <w:tc>
          <w:tcPr>
            <w:tcW w:w="1035" w:type="dxa"/>
            <w:vAlign w:val="center"/>
          </w:tcPr>
          <w:p w14:paraId="647A5E9A">
            <w:pPr>
              <w:pStyle w:val="31"/>
              <w:rPr>
                <w:snapToGrid w:val="0"/>
                <w:color w:val="000000"/>
                <w:kern w:val="21"/>
                <w:sz w:val="21"/>
              </w:rPr>
            </w:pPr>
          </w:p>
        </w:tc>
      </w:tr>
      <w:tr w14:paraId="4B05C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13119365">
            <w:pPr>
              <w:pStyle w:val="31"/>
              <w:rPr>
                <w:rFonts w:hAnsi="宋体" w:cs="宋体"/>
                <w:snapToGrid w:val="0"/>
                <w:color w:val="000000"/>
                <w:kern w:val="21"/>
                <w:sz w:val="21"/>
              </w:rPr>
            </w:pPr>
          </w:p>
        </w:tc>
        <w:tc>
          <w:tcPr>
            <w:tcW w:w="1943" w:type="dxa"/>
            <w:vAlign w:val="center"/>
          </w:tcPr>
          <w:p w14:paraId="36CAE9B2">
            <w:pPr>
              <w:pStyle w:val="31"/>
              <w:bidi w:val="0"/>
              <w:ind w:firstLine="0" w:firstLineChars="0"/>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阴离子表面活性剂</w:t>
            </w:r>
          </w:p>
        </w:tc>
        <w:tc>
          <w:tcPr>
            <w:tcW w:w="1449" w:type="dxa"/>
            <w:vAlign w:val="center"/>
          </w:tcPr>
          <w:p w14:paraId="2DFFAA2B">
            <w:pPr>
              <w:pStyle w:val="31"/>
              <w:rPr>
                <w:snapToGrid w:val="0"/>
                <w:color w:val="000000"/>
                <w:kern w:val="21"/>
                <w:sz w:val="21"/>
                <w:szCs w:val="21"/>
                <w:highlight w:val="none"/>
              </w:rPr>
            </w:pPr>
          </w:p>
        </w:tc>
        <w:tc>
          <w:tcPr>
            <w:tcW w:w="1170" w:type="dxa"/>
            <w:vAlign w:val="center"/>
          </w:tcPr>
          <w:p w14:paraId="2D68296A">
            <w:pPr>
              <w:pStyle w:val="31"/>
              <w:rPr>
                <w:snapToGrid w:val="0"/>
                <w:color w:val="000000"/>
                <w:kern w:val="21"/>
                <w:sz w:val="21"/>
                <w:szCs w:val="21"/>
                <w:highlight w:val="none"/>
              </w:rPr>
            </w:pPr>
          </w:p>
        </w:tc>
        <w:tc>
          <w:tcPr>
            <w:tcW w:w="1701" w:type="dxa"/>
            <w:vAlign w:val="center"/>
          </w:tcPr>
          <w:p w14:paraId="72E64969">
            <w:pPr>
              <w:pStyle w:val="31"/>
              <w:rPr>
                <w:snapToGrid w:val="0"/>
                <w:color w:val="000000"/>
                <w:kern w:val="21"/>
                <w:sz w:val="21"/>
                <w:szCs w:val="21"/>
                <w:highlight w:val="none"/>
              </w:rPr>
            </w:pPr>
          </w:p>
        </w:tc>
        <w:tc>
          <w:tcPr>
            <w:tcW w:w="1688" w:type="dxa"/>
            <w:vAlign w:val="center"/>
          </w:tcPr>
          <w:p w14:paraId="78532786">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0.0002</w:t>
            </w:r>
            <w:r>
              <w:rPr>
                <w:rFonts w:hint="eastAsia"/>
                <w:snapToGrid w:val="0"/>
                <w:color w:val="000000"/>
                <w:kern w:val="21"/>
                <w:sz w:val="21"/>
                <w:szCs w:val="21"/>
                <w:highlight w:val="none"/>
              </w:rPr>
              <w:t>t/a</w:t>
            </w:r>
          </w:p>
        </w:tc>
        <w:tc>
          <w:tcPr>
            <w:tcW w:w="1773" w:type="dxa"/>
            <w:vAlign w:val="center"/>
          </w:tcPr>
          <w:p w14:paraId="2CF3A8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p>
        </w:tc>
        <w:tc>
          <w:tcPr>
            <w:tcW w:w="1609" w:type="dxa"/>
            <w:vAlign w:val="center"/>
          </w:tcPr>
          <w:p w14:paraId="07D57F1D">
            <w:pPr>
              <w:pStyle w:val="31"/>
              <w:bidi w:val="0"/>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0.0002</w:t>
            </w:r>
            <w:r>
              <w:rPr>
                <w:rFonts w:hint="eastAsia"/>
                <w:snapToGrid w:val="0"/>
                <w:color w:val="000000"/>
                <w:kern w:val="21"/>
                <w:sz w:val="21"/>
                <w:szCs w:val="21"/>
                <w:highlight w:val="none"/>
              </w:rPr>
              <w:t>t/a</w:t>
            </w:r>
          </w:p>
        </w:tc>
        <w:tc>
          <w:tcPr>
            <w:tcW w:w="1035" w:type="dxa"/>
            <w:vAlign w:val="center"/>
          </w:tcPr>
          <w:p w14:paraId="5507634B">
            <w:pPr>
              <w:pStyle w:val="31"/>
              <w:rPr>
                <w:snapToGrid w:val="0"/>
                <w:color w:val="000000"/>
                <w:kern w:val="21"/>
                <w:sz w:val="21"/>
              </w:rPr>
            </w:pPr>
          </w:p>
        </w:tc>
      </w:tr>
      <w:tr w14:paraId="6BF88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0" w:type="dxa"/>
            <w:vMerge w:val="restart"/>
            <w:vAlign w:val="center"/>
          </w:tcPr>
          <w:p w14:paraId="30D78361">
            <w:pPr>
              <w:pStyle w:val="31"/>
              <w:rPr>
                <w:rFonts w:hAnsi="宋体" w:cs="宋体"/>
                <w:snapToGrid w:val="0"/>
                <w:color w:val="000000"/>
                <w:kern w:val="21"/>
                <w:sz w:val="21"/>
              </w:rPr>
            </w:pPr>
            <w:r>
              <w:rPr>
                <w:rFonts w:hint="eastAsia" w:hAnsi="宋体" w:cs="宋体"/>
                <w:snapToGrid w:val="0"/>
                <w:color w:val="000000"/>
                <w:kern w:val="21"/>
                <w:sz w:val="21"/>
              </w:rPr>
              <w:t>一般工业</w:t>
            </w:r>
          </w:p>
          <w:p w14:paraId="52347F20">
            <w:pPr>
              <w:pStyle w:val="31"/>
              <w:rPr>
                <w:rFonts w:hAnsi="宋体" w:cs="宋体"/>
                <w:snapToGrid w:val="0"/>
                <w:color w:val="000000"/>
                <w:kern w:val="21"/>
                <w:sz w:val="21"/>
              </w:rPr>
            </w:pPr>
            <w:r>
              <w:rPr>
                <w:rFonts w:hint="eastAsia" w:hAnsi="宋体" w:cs="宋体"/>
                <w:snapToGrid w:val="0"/>
                <w:color w:val="000000"/>
                <w:kern w:val="21"/>
                <w:sz w:val="21"/>
              </w:rPr>
              <w:t>固体废物</w:t>
            </w:r>
          </w:p>
        </w:tc>
        <w:tc>
          <w:tcPr>
            <w:tcW w:w="1943" w:type="dxa"/>
            <w:vAlign w:val="center"/>
          </w:tcPr>
          <w:p w14:paraId="7E10CCA9">
            <w:pPr>
              <w:widowControl/>
              <w:spacing w:line="240" w:lineRule="auto"/>
              <w:ind w:firstLine="0" w:firstLineChars="0"/>
              <w:jc w:val="center"/>
              <w:rPr>
                <w:sz w:val="21"/>
                <w:szCs w:val="21"/>
              </w:rPr>
            </w:pPr>
            <w:r>
              <w:rPr>
                <w:rFonts w:hint="eastAsia"/>
                <w:sz w:val="21"/>
                <w:szCs w:val="21"/>
              </w:rPr>
              <w:t>废金属沉淀物</w:t>
            </w:r>
          </w:p>
        </w:tc>
        <w:tc>
          <w:tcPr>
            <w:tcW w:w="1449" w:type="dxa"/>
            <w:vAlign w:val="center"/>
          </w:tcPr>
          <w:p w14:paraId="198276E0">
            <w:pPr>
              <w:widowControl/>
              <w:spacing w:line="240" w:lineRule="auto"/>
              <w:ind w:firstLine="0" w:firstLineChars="0"/>
              <w:jc w:val="center"/>
              <w:rPr>
                <w:sz w:val="21"/>
                <w:szCs w:val="21"/>
              </w:rPr>
            </w:pPr>
          </w:p>
        </w:tc>
        <w:tc>
          <w:tcPr>
            <w:tcW w:w="1170" w:type="dxa"/>
            <w:vAlign w:val="center"/>
          </w:tcPr>
          <w:p w14:paraId="3D2422A2">
            <w:pPr>
              <w:widowControl/>
              <w:spacing w:line="240" w:lineRule="auto"/>
              <w:ind w:firstLine="0" w:firstLineChars="0"/>
              <w:jc w:val="center"/>
              <w:rPr>
                <w:sz w:val="21"/>
                <w:szCs w:val="21"/>
              </w:rPr>
            </w:pPr>
          </w:p>
        </w:tc>
        <w:tc>
          <w:tcPr>
            <w:tcW w:w="1701" w:type="dxa"/>
            <w:vAlign w:val="center"/>
          </w:tcPr>
          <w:p w14:paraId="5CAA1D5A">
            <w:pPr>
              <w:widowControl/>
              <w:spacing w:line="240" w:lineRule="auto"/>
              <w:ind w:firstLine="0" w:firstLineChars="0"/>
              <w:jc w:val="center"/>
              <w:rPr>
                <w:sz w:val="21"/>
                <w:szCs w:val="21"/>
              </w:rPr>
            </w:pPr>
          </w:p>
        </w:tc>
        <w:tc>
          <w:tcPr>
            <w:tcW w:w="1688" w:type="dxa"/>
            <w:vAlign w:val="center"/>
          </w:tcPr>
          <w:p w14:paraId="6642E6C8">
            <w:pPr>
              <w:pStyle w:val="31"/>
              <w:rPr>
                <w:sz w:val="21"/>
              </w:rPr>
            </w:pPr>
            <w:r>
              <w:rPr>
                <w:rFonts w:hint="eastAsia"/>
                <w:sz w:val="21"/>
              </w:rPr>
              <w:t>1t/a</w:t>
            </w:r>
          </w:p>
        </w:tc>
        <w:tc>
          <w:tcPr>
            <w:tcW w:w="1773" w:type="dxa"/>
            <w:vAlign w:val="center"/>
          </w:tcPr>
          <w:p w14:paraId="46981135">
            <w:pPr>
              <w:widowControl/>
              <w:spacing w:line="240" w:lineRule="auto"/>
              <w:ind w:firstLine="0" w:firstLineChars="0"/>
              <w:jc w:val="center"/>
              <w:rPr>
                <w:sz w:val="21"/>
                <w:szCs w:val="21"/>
              </w:rPr>
            </w:pPr>
          </w:p>
        </w:tc>
        <w:tc>
          <w:tcPr>
            <w:tcW w:w="1609" w:type="dxa"/>
            <w:vAlign w:val="center"/>
          </w:tcPr>
          <w:p w14:paraId="2B1E5C4A">
            <w:pPr>
              <w:pStyle w:val="31"/>
              <w:rPr>
                <w:sz w:val="21"/>
              </w:rPr>
            </w:pPr>
            <w:r>
              <w:rPr>
                <w:rFonts w:hint="eastAsia"/>
                <w:sz w:val="21"/>
              </w:rPr>
              <w:t>1t/a</w:t>
            </w:r>
          </w:p>
        </w:tc>
        <w:tc>
          <w:tcPr>
            <w:tcW w:w="1035" w:type="dxa"/>
            <w:vAlign w:val="center"/>
          </w:tcPr>
          <w:p w14:paraId="656C5BD7">
            <w:pPr>
              <w:widowControl/>
              <w:spacing w:line="240" w:lineRule="auto"/>
              <w:ind w:firstLine="0" w:firstLineChars="0"/>
              <w:jc w:val="center"/>
              <w:rPr>
                <w:sz w:val="21"/>
                <w:szCs w:val="21"/>
              </w:rPr>
            </w:pPr>
          </w:p>
        </w:tc>
      </w:tr>
      <w:tr w14:paraId="799BB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5825D004">
            <w:pPr>
              <w:pStyle w:val="31"/>
              <w:rPr>
                <w:rFonts w:hAnsi="宋体" w:cs="宋体"/>
                <w:snapToGrid w:val="0"/>
                <w:color w:val="000000"/>
                <w:kern w:val="21"/>
                <w:sz w:val="21"/>
              </w:rPr>
            </w:pPr>
          </w:p>
        </w:tc>
        <w:tc>
          <w:tcPr>
            <w:tcW w:w="1943" w:type="dxa"/>
            <w:vAlign w:val="center"/>
          </w:tcPr>
          <w:p w14:paraId="75FA1E36">
            <w:pPr>
              <w:widowControl/>
              <w:spacing w:line="240" w:lineRule="auto"/>
              <w:ind w:firstLine="0" w:firstLineChars="0"/>
              <w:jc w:val="center"/>
              <w:rPr>
                <w:sz w:val="21"/>
                <w:szCs w:val="21"/>
              </w:rPr>
            </w:pPr>
            <w:r>
              <w:rPr>
                <w:rFonts w:hint="eastAsia"/>
                <w:sz w:val="21"/>
                <w:szCs w:val="21"/>
              </w:rPr>
              <w:t>废铁屑</w:t>
            </w:r>
          </w:p>
        </w:tc>
        <w:tc>
          <w:tcPr>
            <w:tcW w:w="1449" w:type="dxa"/>
            <w:vAlign w:val="center"/>
          </w:tcPr>
          <w:p w14:paraId="5CCB4A25">
            <w:pPr>
              <w:pStyle w:val="31"/>
              <w:rPr>
                <w:snapToGrid w:val="0"/>
                <w:color w:val="000000"/>
                <w:kern w:val="21"/>
                <w:sz w:val="21"/>
              </w:rPr>
            </w:pPr>
          </w:p>
        </w:tc>
        <w:tc>
          <w:tcPr>
            <w:tcW w:w="1170" w:type="dxa"/>
            <w:vAlign w:val="center"/>
          </w:tcPr>
          <w:p w14:paraId="2A7A4CA6">
            <w:pPr>
              <w:pStyle w:val="31"/>
              <w:rPr>
                <w:snapToGrid w:val="0"/>
                <w:color w:val="000000"/>
                <w:kern w:val="21"/>
                <w:sz w:val="21"/>
              </w:rPr>
            </w:pPr>
          </w:p>
        </w:tc>
        <w:tc>
          <w:tcPr>
            <w:tcW w:w="1701" w:type="dxa"/>
            <w:vAlign w:val="center"/>
          </w:tcPr>
          <w:p w14:paraId="57FEDCDC">
            <w:pPr>
              <w:pStyle w:val="31"/>
              <w:rPr>
                <w:snapToGrid w:val="0"/>
                <w:color w:val="000000"/>
                <w:kern w:val="21"/>
                <w:sz w:val="21"/>
              </w:rPr>
            </w:pPr>
          </w:p>
        </w:tc>
        <w:tc>
          <w:tcPr>
            <w:tcW w:w="1688" w:type="dxa"/>
            <w:vAlign w:val="center"/>
          </w:tcPr>
          <w:p w14:paraId="00600153">
            <w:pPr>
              <w:pStyle w:val="31"/>
              <w:rPr>
                <w:sz w:val="21"/>
              </w:rPr>
            </w:pPr>
            <w:r>
              <w:rPr>
                <w:rFonts w:hint="eastAsia"/>
                <w:sz w:val="21"/>
              </w:rPr>
              <w:t>500t/a</w:t>
            </w:r>
          </w:p>
        </w:tc>
        <w:tc>
          <w:tcPr>
            <w:tcW w:w="1773" w:type="dxa"/>
            <w:vAlign w:val="center"/>
          </w:tcPr>
          <w:p w14:paraId="5436F76A">
            <w:pPr>
              <w:pStyle w:val="31"/>
              <w:rPr>
                <w:rFonts w:hAnsi="宋体" w:cs="宋体"/>
                <w:snapToGrid w:val="0"/>
                <w:color w:val="000000"/>
                <w:kern w:val="21"/>
                <w:sz w:val="21"/>
              </w:rPr>
            </w:pPr>
          </w:p>
        </w:tc>
        <w:tc>
          <w:tcPr>
            <w:tcW w:w="1609" w:type="dxa"/>
            <w:vAlign w:val="center"/>
          </w:tcPr>
          <w:p w14:paraId="35E511F2">
            <w:pPr>
              <w:pStyle w:val="31"/>
              <w:rPr>
                <w:sz w:val="21"/>
              </w:rPr>
            </w:pPr>
            <w:r>
              <w:rPr>
                <w:rFonts w:hint="eastAsia"/>
                <w:sz w:val="21"/>
              </w:rPr>
              <w:t>500t/a</w:t>
            </w:r>
          </w:p>
        </w:tc>
        <w:tc>
          <w:tcPr>
            <w:tcW w:w="1035" w:type="dxa"/>
            <w:vAlign w:val="center"/>
          </w:tcPr>
          <w:p w14:paraId="08D7510C">
            <w:pPr>
              <w:pStyle w:val="31"/>
              <w:rPr>
                <w:sz w:val="21"/>
              </w:rPr>
            </w:pPr>
          </w:p>
        </w:tc>
      </w:tr>
      <w:tr w14:paraId="4631F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30FB598D">
            <w:pPr>
              <w:pStyle w:val="31"/>
              <w:rPr>
                <w:rFonts w:hAnsi="宋体" w:cs="宋体"/>
                <w:snapToGrid w:val="0"/>
                <w:color w:val="000000"/>
                <w:kern w:val="21"/>
                <w:sz w:val="21"/>
              </w:rPr>
            </w:pPr>
          </w:p>
        </w:tc>
        <w:tc>
          <w:tcPr>
            <w:tcW w:w="1943" w:type="dxa"/>
            <w:vAlign w:val="center"/>
          </w:tcPr>
          <w:p w14:paraId="690475CA">
            <w:pPr>
              <w:widowControl/>
              <w:spacing w:line="240" w:lineRule="auto"/>
              <w:ind w:firstLine="0" w:firstLineChars="0"/>
              <w:jc w:val="center"/>
              <w:rPr>
                <w:sz w:val="21"/>
                <w:szCs w:val="21"/>
              </w:rPr>
            </w:pPr>
            <w:r>
              <w:rPr>
                <w:rFonts w:hint="eastAsia"/>
                <w:sz w:val="21"/>
                <w:szCs w:val="21"/>
              </w:rPr>
              <w:t>不合格工件</w:t>
            </w:r>
          </w:p>
        </w:tc>
        <w:tc>
          <w:tcPr>
            <w:tcW w:w="1449" w:type="dxa"/>
            <w:vAlign w:val="center"/>
          </w:tcPr>
          <w:p w14:paraId="1B373912">
            <w:pPr>
              <w:pStyle w:val="31"/>
              <w:rPr>
                <w:snapToGrid w:val="0"/>
                <w:color w:val="000000"/>
                <w:kern w:val="21"/>
                <w:sz w:val="21"/>
              </w:rPr>
            </w:pPr>
          </w:p>
        </w:tc>
        <w:tc>
          <w:tcPr>
            <w:tcW w:w="1170" w:type="dxa"/>
            <w:vAlign w:val="center"/>
          </w:tcPr>
          <w:p w14:paraId="575B898A">
            <w:pPr>
              <w:pStyle w:val="31"/>
              <w:rPr>
                <w:snapToGrid w:val="0"/>
                <w:color w:val="000000"/>
                <w:kern w:val="21"/>
                <w:sz w:val="21"/>
              </w:rPr>
            </w:pPr>
          </w:p>
        </w:tc>
        <w:tc>
          <w:tcPr>
            <w:tcW w:w="1701" w:type="dxa"/>
            <w:vAlign w:val="center"/>
          </w:tcPr>
          <w:p w14:paraId="75A1588A">
            <w:pPr>
              <w:pStyle w:val="31"/>
              <w:rPr>
                <w:snapToGrid w:val="0"/>
                <w:color w:val="000000"/>
                <w:kern w:val="21"/>
                <w:sz w:val="21"/>
              </w:rPr>
            </w:pPr>
          </w:p>
        </w:tc>
        <w:tc>
          <w:tcPr>
            <w:tcW w:w="1688" w:type="dxa"/>
            <w:vAlign w:val="center"/>
          </w:tcPr>
          <w:p w14:paraId="0438D556">
            <w:pPr>
              <w:pStyle w:val="31"/>
              <w:rPr>
                <w:sz w:val="21"/>
              </w:rPr>
            </w:pPr>
            <w:r>
              <w:rPr>
                <w:rFonts w:hint="eastAsia"/>
                <w:sz w:val="21"/>
              </w:rPr>
              <w:t>10t/a</w:t>
            </w:r>
          </w:p>
        </w:tc>
        <w:tc>
          <w:tcPr>
            <w:tcW w:w="1773" w:type="dxa"/>
            <w:vAlign w:val="center"/>
          </w:tcPr>
          <w:p w14:paraId="784A5FE8">
            <w:pPr>
              <w:pStyle w:val="31"/>
              <w:rPr>
                <w:rFonts w:hAnsi="宋体" w:cs="宋体"/>
                <w:snapToGrid w:val="0"/>
                <w:color w:val="000000"/>
                <w:kern w:val="21"/>
                <w:sz w:val="21"/>
              </w:rPr>
            </w:pPr>
          </w:p>
        </w:tc>
        <w:tc>
          <w:tcPr>
            <w:tcW w:w="1609" w:type="dxa"/>
            <w:vAlign w:val="center"/>
          </w:tcPr>
          <w:p w14:paraId="03D9B021">
            <w:pPr>
              <w:pStyle w:val="31"/>
              <w:rPr>
                <w:sz w:val="21"/>
              </w:rPr>
            </w:pPr>
            <w:r>
              <w:rPr>
                <w:rFonts w:hint="eastAsia"/>
                <w:sz w:val="21"/>
              </w:rPr>
              <w:t>10t/a</w:t>
            </w:r>
          </w:p>
        </w:tc>
        <w:tc>
          <w:tcPr>
            <w:tcW w:w="1035" w:type="dxa"/>
            <w:vAlign w:val="center"/>
          </w:tcPr>
          <w:p w14:paraId="166DEF19">
            <w:pPr>
              <w:pStyle w:val="31"/>
              <w:rPr>
                <w:sz w:val="21"/>
              </w:rPr>
            </w:pPr>
          </w:p>
        </w:tc>
      </w:tr>
      <w:tr w14:paraId="12DBA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5699D4E4">
            <w:pPr>
              <w:pStyle w:val="31"/>
              <w:rPr>
                <w:rFonts w:hAnsi="宋体" w:cs="宋体"/>
                <w:snapToGrid w:val="0"/>
                <w:color w:val="000000"/>
                <w:kern w:val="21"/>
                <w:sz w:val="21"/>
              </w:rPr>
            </w:pPr>
          </w:p>
        </w:tc>
        <w:tc>
          <w:tcPr>
            <w:tcW w:w="1943" w:type="dxa"/>
            <w:vAlign w:val="center"/>
          </w:tcPr>
          <w:p w14:paraId="000D8285">
            <w:pPr>
              <w:widowControl/>
              <w:spacing w:line="240" w:lineRule="auto"/>
              <w:ind w:firstLine="0" w:firstLineChars="0"/>
              <w:jc w:val="center"/>
              <w:rPr>
                <w:sz w:val="21"/>
                <w:szCs w:val="21"/>
              </w:rPr>
            </w:pPr>
            <w:r>
              <w:rPr>
                <w:rFonts w:hint="eastAsia"/>
                <w:sz w:val="21"/>
                <w:szCs w:val="21"/>
              </w:rPr>
              <w:t>下脚料</w:t>
            </w:r>
          </w:p>
        </w:tc>
        <w:tc>
          <w:tcPr>
            <w:tcW w:w="1449" w:type="dxa"/>
            <w:vAlign w:val="center"/>
          </w:tcPr>
          <w:p w14:paraId="4FD48093">
            <w:pPr>
              <w:pStyle w:val="31"/>
              <w:rPr>
                <w:snapToGrid w:val="0"/>
                <w:color w:val="000000"/>
                <w:kern w:val="21"/>
                <w:sz w:val="21"/>
              </w:rPr>
            </w:pPr>
          </w:p>
        </w:tc>
        <w:tc>
          <w:tcPr>
            <w:tcW w:w="1170" w:type="dxa"/>
            <w:vAlign w:val="center"/>
          </w:tcPr>
          <w:p w14:paraId="2AE6AF96">
            <w:pPr>
              <w:pStyle w:val="31"/>
              <w:rPr>
                <w:snapToGrid w:val="0"/>
                <w:color w:val="000000"/>
                <w:kern w:val="21"/>
                <w:sz w:val="21"/>
              </w:rPr>
            </w:pPr>
          </w:p>
        </w:tc>
        <w:tc>
          <w:tcPr>
            <w:tcW w:w="1701" w:type="dxa"/>
            <w:vAlign w:val="center"/>
          </w:tcPr>
          <w:p w14:paraId="52A7651F">
            <w:pPr>
              <w:pStyle w:val="31"/>
              <w:rPr>
                <w:snapToGrid w:val="0"/>
                <w:color w:val="000000"/>
                <w:kern w:val="21"/>
                <w:sz w:val="21"/>
              </w:rPr>
            </w:pPr>
          </w:p>
        </w:tc>
        <w:tc>
          <w:tcPr>
            <w:tcW w:w="1688" w:type="dxa"/>
            <w:vAlign w:val="center"/>
          </w:tcPr>
          <w:p w14:paraId="729ADD7A">
            <w:pPr>
              <w:pStyle w:val="31"/>
              <w:rPr>
                <w:sz w:val="21"/>
              </w:rPr>
            </w:pPr>
            <w:r>
              <w:rPr>
                <w:rFonts w:hint="eastAsia"/>
                <w:sz w:val="21"/>
              </w:rPr>
              <w:t>10t/a</w:t>
            </w:r>
          </w:p>
        </w:tc>
        <w:tc>
          <w:tcPr>
            <w:tcW w:w="1773" w:type="dxa"/>
            <w:vAlign w:val="center"/>
          </w:tcPr>
          <w:p w14:paraId="0D7E28D9">
            <w:pPr>
              <w:pStyle w:val="31"/>
              <w:rPr>
                <w:rFonts w:hAnsi="宋体" w:cs="宋体"/>
                <w:snapToGrid w:val="0"/>
                <w:color w:val="000000"/>
                <w:kern w:val="21"/>
                <w:sz w:val="21"/>
              </w:rPr>
            </w:pPr>
          </w:p>
        </w:tc>
        <w:tc>
          <w:tcPr>
            <w:tcW w:w="1609" w:type="dxa"/>
            <w:vAlign w:val="center"/>
          </w:tcPr>
          <w:p w14:paraId="5FDD7BEC">
            <w:pPr>
              <w:pStyle w:val="31"/>
              <w:rPr>
                <w:sz w:val="21"/>
              </w:rPr>
            </w:pPr>
            <w:r>
              <w:rPr>
                <w:rFonts w:hint="eastAsia"/>
                <w:sz w:val="21"/>
              </w:rPr>
              <w:t>10t/a</w:t>
            </w:r>
          </w:p>
        </w:tc>
        <w:tc>
          <w:tcPr>
            <w:tcW w:w="1035" w:type="dxa"/>
            <w:vAlign w:val="center"/>
          </w:tcPr>
          <w:p w14:paraId="73BA1C2A">
            <w:pPr>
              <w:pStyle w:val="31"/>
              <w:rPr>
                <w:sz w:val="21"/>
              </w:rPr>
            </w:pPr>
          </w:p>
        </w:tc>
      </w:tr>
      <w:tr w14:paraId="77438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4DD2181B">
            <w:pPr>
              <w:pStyle w:val="31"/>
              <w:rPr>
                <w:rFonts w:hAnsi="宋体" w:cs="宋体"/>
                <w:snapToGrid w:val="0"/>
                <w:color w:val="000000"/>
                <w:kern w:val="21"/>
                <w:sz w:val="21"/>
              </w:rPr>
            </w:pPr>
          </w:p>
        </w:tc>
        <w:tc>
          <w:tcPr>
            <w:tcW w:w="1943" w:type="dxa"/>
            <w:vAlign w:val="center"/>
          </w:tcPr>
          <w:p w14:paraId="0E9CF1F9">
            <w:pPr>
              <w:widowControl/>
              <w:spacing w:line="240" w:lineRule="auto"/>
              <w:ind w:firstLine="0" w:firstLineChars="0"/>
              <w:jc w:val="center"/>
              <w:rPr>
                <w:sz w:val="21"/>
                <w:szCs w:val="21"/>
              </w:rPr>
            </w:pPr>
            <w:r>
              <w:rPr>
                <w:color w:val="000000"/>
                <w:kern w:val="0"/>
                <w:sz w:val="21"/>
                <w:szCs w:val="21"/>
              </w:rPr>
              <w:t>除尘灰</w:t>
            </w:r>
          </w:p>
        </w:tc>
        <w:tc>
          <w:tcPr>
            <w:tcW w:w="1449" w:type="dxa"/>
            <w:vAlign w:val="center"/>
          </w:tcPr>
          <w:p w14:paraId="6A022154">
            <w:pPr>
              <w:pStyle w:val="31"/>
              <w:rPr>
                <w:rFonts w:hAnsi="宋体" w:cs="宋体"/>
                <w:snapToGrid w:val="0"/>
                <w:color w:val="000000"/>
                <w:kern w:val="21"/>
                <w:sz w:val="21"/>
              </w:rPr>
            </w:pPr>
          </w:p>
        </w:tc>
        <w:tc>
          <w:tcPr>
            <w:tcW w:w="1170" w:type="dxa"/>
            <w:vAlign w:val="center"/>
          </w:tcPr>
          <w:p w14:paraId="774DB18B">
            <w:pPr>
              <w:pStyle w:val="31"/>
              <w:rPr>
                <w:rFonts w:hAnsi="宋体" w:cs="宋体"/>
                <w:snapToGrid w:val="0"/>
                <w:color w:val="000000"/>
                <w:kern w:val="21"/>
                <w:sz w:val="21"/>
              </w:rPr>
            </w:pPr>
          </w:p>
        </w:tc>
        <w:tc>
          <w:tcPr>
            <w:tcW w:w="1701" w:type="dxa"/>
            <w:vAlign w:val="center"/>
          </w:tcPr>
          <w:p w14:paraId="62C059FB">
            <w:pPr>
              <w:pStyle w:val="31"/>
              <w:rPr>
                <w:rFonts w:hAnsi="宋体" w:cs="宋体"/>
                <w:snapToGrid w:val="0"/>
                <w:color w:val="000000"/>
                <w:kern w:val="21"/>
                <w:sz w:val="21"/>
              </w:rPr>
            </w:pPr>
          </w:p>
        </w:tc>
        <w:tc>
          <w:tcPr>
            <w:tcW w:w="1688" w:type="dxa"/>
            <w:vAlign w:val="center"/>
          </w:tcPr>
          <w:p w14:paraId="2F0F532F">
            <w:pPr>
              <w:pStyle w:val="31"/>
              <w:rPr>
                <w:sz w:val="21"/>
              </w:rPr>
            </w:pPr>
            <w:r>
              <w:rPr>
                <w:rFonts w:hint="eastAsia"/>
                <w:sz w:val="21"/>
              </w:rPr>
              <w:t>0.2t/a</w:t>
            </w:r>
          </w:p>
        </w:tc>
        <w:tc>
          <w:tcPr>
            <w:tcW w:w="1773" w:type="dxa"/>
            <w:vAlign w:val="center"/>
          </w:tcPr>
          <w:p w14:paraId="0A4DDF2B">
            <w:pPr>
              <w:pStyle w:val="31"/>
              <w:rPr>
                <w:rFonts w:hAnsi="宋体" w:cs="宋体"/>
                <w:snapToGrid w:val="0"/>
                <w:color w:val="000000"/>
                <w:kern w:val="21"/>
                <w:sz w:val="21"/>
              </w:rPr>
            </w:pPr>
          </w:p>
        </w:tc>
        <w:tc>
          <w:tcPr>
            <w:tcW w:w="1609" w:type="dxa"/>
            <w:vAlign w:val="center"/>
          </w:tcPr>
          <w:p w14:paraId="010D5BEB">
            <w:pPr>
              <w:pStyle w:val="31"/>
              <w:rPr>
                <w:sz w:val="21"/>
              </w:rPr>
            </w:pPr>
            <w:r>
              <w:rPr>
                <w:rFonts w:hint="eastAsia"/>
                <w:sz w:val="21"/>
              </w:rPr>
              <w:t>0.2t/a</w:t>
            </w:r>
          </w:p>
        </w:tc>
        <w:tc>
          <w:tcPr>
            <w:tcW w:w="1035" w:type="dxa"/>
            <w:vAlign w:val="center"/>
          </w:tcPr>
          <w:p w14:paraId="7A5B89FD">
            <w:pPr>
              <w:pStyle w:val="31"/>
              <w:rPr>
                <w:rFonts w:hAnsi="宋体" w:cs="宋体"/>
                <w:snapToGrid w:val="0"/>
                <w:color w:val="000000"/>
                <w:kern w:val="21"/>
                <w:sz w:val="21"/>
              </w:rPr>
            </w:pPr>
          </w:p>
        </w:tc>
      </w:tr>
      <w:tr w14:paraId="1ABC4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707D8CA1">
            <w:pPr>
              <w:pStyle w:val="31"/>
              <w:rPr>
                <w:rFonts w:hAnsi="宋体" w:cs="宋体"/>
                <w:snapToGrid w:val="0"/>
                <w:color w:val="000000"/>
                <w:kern w:val="21"/>
                <w:sz w:val="21"/>
              </w:rPr>
            </w:pPr>
          </w:p>
        </w:tc>
        <w:tc>
          <w:tcPr>
            <w:tcW w:w="1943" w:type="dxa"/>
            <w:vAlign w:val="center"/>
          </w:tcPr>
          <w:p w14:paraId="5A8DF4ED">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废布袋</w:t>
            </w:r>
          </w:p>
        </w:tc>
        <w:tc>
          <w:tcPr>
            <w:tcW w:w="1449" w:type="dxa"/>
            <w:vAlign w:val="center"/>
          </w:tcPr>
          <w:p w14:paraId="19B85125">
            <w:pPr>
              <w:pStyle w:val="31"/>
              <w:rPr>
                <w:rFonts w:hAnsi="宋体" w:cs="宋体"/>
                <w:snapToGrid w:val="0"/>
                <w:color w:val="000000"/>
                <w:kern w:val="21"/>
                <w:sz w:val="21"/>
                <w:highlight w:val="none"/>
              </w:rPr>
            </w:pPr>
          </w:p>
        </w:tc>
        <w:tc>
          <w:tcPr>
            <w:tcW w:w="1170" w:type="dxa"/>
            <w:vAlign w:val="center"/>
          </w:tcPr>
          <w:p w14:paraId="7F3896A4">
            <w:pPr>
              <w:pStyle w:val="31"/>
              <w:rPr>
                <w:rFonts w:hAnsi="宋体" w:cs="宋体"/>
                <w:snapToGrid w:val="0"/>
                <w:color w:val="000000"/>
                <w:kern w:val="21"/>
                <w:sz w:val="21"/>
                <w:highlight w:val="none"/>
              </w:rPr>
            </w:pPr>
          </w:p>
        </w:tc>
        <w:tc>
          <w:tcPr>
            <w:tcW w:w="1701" w:type="dxa"/>
            <w:vAlign w:val="center"/>
          </w:tcPr>
          <w:p w14:paraId="1FD6EA7F">
            <w:pPr>
              <w:pStyle w:val="31"/>
              <w:rPr>
                <w:rFonts w:hAnsi="宋体" w:cs="宋体"/>
                <w:snapToGrid w:val="0"/>
                <w:color w:val="000000"/>
                <w:kern w:val="21"/>
                <w:sz w:val="21"/>
                <w:highlight w:val="none"/>
              </w:rPr>
            </w:pPr>
          </w:p>
        </w:tc>
        <w:tc>
          <w:tcPr>
            <w:tcW w:w="1688" w:type="dxa"/>
            <w:vAlign w:val="center"/>
          </w:tcPr>
          <w:p w14:paraId="066621DC">
            <w:pPr>
              <w:pStyle w:val="31"/>
              <w:rPr>
                <w:sz w:val="21"/>
                <w:highlight w:val="none"/>
              </w:rPr>
            </w:pPr>
            <w:r>
              <w:rPr>
                <w:rFonts w:hint="eastAsia"/>
                <w:sz w:val="21"/>
                <w:highlight w:val="none"/>
              </w:rPr>
              <w:t>0.05t/a</w:t>
            </w:r>
          </w:p>
        </w:tc>
        <w:tc>
          <w:tcPr>
            <w:tcW w:w="1773" w:type="dxa"/>
            <w:vAlign w:val="center"/>
          </w:tcPr>
          <w:p w14:paraId="68207E00">
            <w:pPr>
              <w:pStyle w:val="31"/>
              <w:rPr>
                <w:rFonts w:hAnsi="宋体" w:cs="宋体"/>
                <w:snapToGrid w:val="0"/>
                <w:color w:val="000000"/>
                <w:kern w:val="21"/>
                <w:sz w:val="21"/>
                <w:highlight w:val="none"/>
              </w:rPr>
            </w:pPr>
          </w:p>
        </w:tc>
        <w:tc>
          <w:tcPr>
            <w:tcW w:w="1609" w:type="dxa"/>
            <w:vAlign w:val="center"/>
          </w:tcPr>
          <w:p w14:paraId="4CA26077">
            <w:pPr>
              <w:pStyle w:val="31"/>
              <w:rPr>
                <w:sz w:val="21"/>
                <w:highlight w:val="none"/>
              </w:rPr>
            </w:pPr>
            <w:r>
              <w:rPr>
                <w:rFonts w:hint="eastAsia"/>
                <w:sz w:val="21"/>
                <w:highlight w:val="none"/>
              </w:rPr>
              <w:t>0.05t/a</w:t>
            </w:r>
          </w:p>
        </w:tc>
        <w:tc>
          <w:tcPr>
            <w:tcW w:w="1035" w:type="dxa"/>
            <w:vAlign w:val="center"/>
          </w:tcPr>
          <w:p w14:paraId="7A17DADA">
            <w:pPr>
              <w:pStyle w:val="31"/>
              <w:rPr>
                <w:rFonts w:hAnsi="宋体" w:cs="宋体"/>
                <w:snapToGrid w:val="0"/>
                <w:color w:val="000000"/>
                <w:kern w:val="21"/>
                <w:sz w:val="21"/>
              </w:rPr>
            </w:pPr>
          </w:p>
        </w:tc>
      </w:tr>
      <w:tr w14:paraId="47D6D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7954B412">
            <w:pPr>
              <w:pStyle w:val="31"/>
              <w:rPr>
                <w:rFonts w:hAnsi="宋体" w:cs="宋体"/>
                <w:snapToGrid w:val="0"/>
                <w:color w:val="000000"/>
                <w:kern w:val="21"/>
                <w:sz w:val="21"/>
              </w:rPr>
            </w:pPr>
          </w:p>
        </w:tc>
        <w:tc>
          <w:tcPr>
            <w:tcW w:w="1943" w:type="dxa"/>
            <w:vAlign w:val="center"/>
          </w:tcPr>
          <w:p w14:paraId="34B1791E">
            <w:pPr>
              <w:widowControl/>
              <w:spacing w:line="240" w:lineRule="auto"/>
              <w:ind w:firstLine="0" w:firstLineChars="0"/>
              <w:jc w:val="center"/>
              <w:rPr>
                <w:color w:val="000000"/>
                <w:kern w:val="0"/>
                <w:sz w:val="21"/>
                <w:szCs w:val="21"/>
              </w:rPr>
            </w:pPr>
            <w:r>
              <w:rPr>
                <w:rFonts w:hint="eastAsia"/>
                <w:color w:val="000000"/>
                <w:kern w:val="0"/>
                <w:sz w:val="21"/>
                <w:szCs w:val="21"/>
              </w:rPr>
              <w:t>废包装箱</w:t>
            </w:r>
          </w:p>
        </w:tc>
        <w:tc>
          <w:tcPr>
            <w:tcW w:w="1449" w:type="dxa"/>
            <w:vAlign w:val="center"/>
          </w:tcPr>
          <w:p w14:paraId="697627D6">
            <w:pPr>
              <w:pStyle w:val="31"/>
              <w:rPr>
                <w:rFonts w:hAnsi="宋体" w:cs="宋体"/>
                <w:snapToGrid w:val="0"/>
                <w:color w:val="000000"/>
                <w:kern w:val="21"/>
                <w:sz w:val="21"/>
              </w:rPr>
            </w:pPr>
          </w:p>
        </w:tc>
        <w:tc>
          <w:tcPr>
            <w:tcW w:w="1170" w:type="dxa"/>
            <w:vAlign w:val="center"/>
          </w:tcPr>
          <w:p w14:paraId="4A5F64FA">
            <w:pPr>
              <w:pStyle w:val="31"/>
              <w:rPr>
                <w:rFonts w:hAnsi="宋体" w:cs="宋体"/>
                <w:snapToGrid w:val="0"/>
                <w:color w:val="000000"/>
                <w:kern w:val="21"/>
                <w:sz w:val="21"/>
              </w:rPr>
            </w:pPr>
          </w:p>
        </w:tc>
        <w:tc>
          <w:tcPr>
            <w:tcW w:w="1701" w:type="dxa"/>
            <w:vAlign w:val="center"/>
          </w:tcPr>
          <w:p w14:paraId="6DBB7C2B">
            <w:pPr>
              <w:pStyle w:val="31"/>
              <w:rPr>
                <w:rFonts w:hAnsi="宋体" w:cs="宋体"/>
                <w:snapToGrid w:val="0"/>
                <w:color w:val="000000"/>
                <w:kern w:val="21"/>
                <w:sz w:val="21"/>
              </w:rPr>
            </w:pPr>
          </w:p>
        </w:tc>
        <w:tc>
          <w:tcPr>
            <w:tcW w:w="1688" w:type="dxa"/>
            <w:vAlign w:val="center"/>
          </w:tcPr>
          <w:p w14:paraId="326499F9">
            <w:pPr>
              <w:pStyle w:val="31"/>
              <w:rPr>
                <w:sz w:val="21"/>
              </w:rPr>
            </w:pPr>
            <w:r>
              <w:rPr>
                <w:rFonts w:hint="eastAsia"/>
                <w:sz w:val="21"/>
              </w:rPr>
              <w:t>2t/a</w:t>
            </w:r>
          </w:p>
        </w:tc>
        <w:tc>
          <w:tcPr>
            <w:tcW w:w="1773" w:type="dxa"/>
            <w:vAlign w:val="center"/>
          </w:tcPr>
          <w:p w14:paraId="0BE09678">
            <w:pPr>
              <w:pStyle w:val="31"/>
              <w:rPr>
                <w:rFonts w:hAnsi="宋体" w:cs="宋体"/>
                <w:snapToGrid w:val="0"/>
                <w:color w:val="000000"/>
                <w:kern w:val="21"/>
                <w:sz w:val="21"/>
              </w:rPr>
            </w:pPr>
          </w:p>
        </w:tc>
        <w:tc>
          <w:tcPr>
            <w:tcW w:w="1609" w:type="dxa"/>
            <w:vAlign w:val="center"/>
          </w:tcPr>
          <w:p w14:paraId="615EC10F">
            <w:pPr>
              <w:pStyle w:val="31"/>
              <w:rPr>
                <w:sz w:val="21"/>
              </w:rPr>
            </w:pPr>
            <w:r>
              <w:rPr>
                <w:rFonts w:hint="eastAsia"/>
                <w:sz w:val="21"/>
              </w:rPr>
              <w:t>2t/a</w:t>
            </w:r>
          </w:p>
        </w:tc>
        <w:tc>
          <w:tcPr>
            <w:tcW w:w="1035" w:type="dxa"/>
            <w:vAlign w:val="center"/>
          </w:tcPr>
          <w:p w14:paraId="3CF24910">
            <w:pPr>
              <w:pStyle w:val="31"/>
              <w:rPr>
                <w:rFonts w:hAnsi="宋体" w:cs="宋体"/>
                <w:snapToGrid w:val="0"/>
                <w:color w:val="000000"/>
                <w:kern w:val="21"/>
                <w:sz w:val="21"/>
              </w:rPr>
            </w:pPr>
          </w:p>
        </w:tc>
      </w:tr>
      <w:tr w14:paraId="4BD0E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519ADF95">
            <w:pPr>
              <w:pStyle w:val="31"/>
              <w:rPr>
                <w:rFonts w:hAnsi="宋体" w:cs="宋体"/>
                <w:snapToGrid w:val="0"/>
                <w:color w:val="000000"/>
                <w:kern w:val="21"/>
                <w:sz w:val="21"/>
              </w:rPr>
            </w:pPr>
          </w:p>
        </w:tc>
        <w:tc>
          <w:tcPr>
            <w:tcW w:w="1943" w:type="dxa"/>
            <w:vAlign w:val="center"/>
          </w:tcPr>
          <w:p w14:paraId="12F9EAFB">
            <w:pPr>
              <w:widowControl/>
              <w:spacing w:line="240" w:lineRule="auto"/>
              <w:ind w:firstLine="0" w:firstLineChars="0"/>
              <w:jc w:val="center"/>
              <w:rPr>
                <w:color w:val="000000"/>
                <w:kern w:val="0"/>
                <w:sz w:val="21"/>
                <w:szCs w:val="21"/>
                <w:highlight w:val="none"/>
              </w:rPr>
            </w:pPr>
            <w:r>
              <w:rPr>
                <w:rFonts w:hint="eastAsia"/>
                <w:color w:val="000000"/>
                <w:kern w:val="0"/>
                <w:sz w:val="21"/>
                <w:szCs w:val="21"/>
                <w:highlight w:val="none"/>
              </w:rPr>
              <w:t>废树脂</w:t>
            </w:r>
          </w:p>
        </w:tc>
        <w:tc>
          <w:tcPr>
            <w:tcW w:w="1449" w:type="dxa"/>
            <w:vAlign w:val="center"/>
          </w:tcPr>
          <w:p w14:paraId="0E69B9A2">
            <w:pPr>
              <w:pStyle w:val="31"/>
              <w:rPr>
                <w:rFonts w:hAnsi="宋体" w:cs="宋体"/>
                <w:snapToGrid w:val="0"/>
                <w:color w:val="000000"/>
                <w:kern w:val="21"/>
                <w:sz w:val="21"/>
                <w:highlight w:val="none"/>
              </w:rPr>
            </w:pPr>
          </w:p>
        </w:tc>
        <w:tc>
          <w:tcPr>
            <w:tcW w:w="1170" w:type="dxa"/>
            <w:vAlign w:val="center"/>
          </w:tcPr>
          <w:p w14:paraId="3A19C307">
            <w:pPr>
              <w:pStyle w:val="31"/>
              <w:rPr>
                <w:rFonts w:hAnsi="宋体" w:cs="宋体"/>
                <w:snapToGrid w:val="0"/>
                <w:color w:val="000000"/>
                <w:kern w:val="21"/>
                <w:sz w:val="21"/>
                <w:highlight w:val="none"/>
              </w:rPr>
            </w:pPr>
          </w:p>
        </w:tc>
        <w:tc>
          <w:tcPr>
            <w:tcW w:w="1701" w:type="dxa"/>
            <w:vAlign w:val="center"/>
          </w:tcPr>
          <w:p w14:paraId="6784577B">
            <w:pPr>
              <w:pStyle w:val="31"/>
              <w:rPr>
                <w:rFonts w:hAnsi="宋体" w:cs="宋体"/>
                <w:snapToGrid w:val="0"/>
                <w:color w:val="000000"/>
                <w:kern w:val="21"/>
                <w:sz w:val="21"/>
                <w:highlight w:val="none"/>
              </w:rPr>
            </w:pPr>
          </w:p>
        </w:tc>
        <w:tc>
          <w:tcPr>
            <w:tcW w:w="1688" w:type="dxa"/>
            <w:vAlign w:val="center"/>
          </w:tcPr>
          <w:p w14:paraId="283BC0BD">
            <w:pPr>
              <w:pStyle w:val="31"/>
              <w:rPr>
                <w:sz w:val="21"/>
                <w:highlight w:val="none"/>
              </w:rPr>
            </w:pPr>
            <w:r>
              <w:rPr>
                <w:rFonts w:hint="eastAsia"/>
                <w:sz w:val="21"/>
                <w:highlight w:val="none"/>
              </w:rPr>
              <w:t>0.2t/a</w:t>
            </w:r>
          </w:p>
        </w:tc>
        <w:tc>
          <w:tcPr>
            <w:tcW w:w="1773" w:type="dxa"/>
            <w:vAlign w:val="center"/>
          </w:tcPr>
          <w:p w14:paraId="283ED7B2">
            <w:pPr>
              <w:pStyle w:val="31"/>
              <w:rPr>
                <w:rFonts w:hAnsi="宋体" w:cs="宋体"/>
                <w:snapToGrid w:val="0"/>
                <w:color w:val="000000"/>
                <w:kern w:val="21"/>
                <w:sz w:val="21"/>
                <w:highlight w:val="none"/>
              </w:rPr>
            </w:pPr>
          </w:p>
        </w:tc>
        <w:tc>
          <w:tcPr>
            <w:tcW w:w="1609" w:type="dxa"/>
            <w:vAlign w:val="center"/>
          </w:tcPr>
          <w:p w14:paraId="521C9001">
            <w:pPr>
              <w:pStyle w:val="31"/>
              <w:rPr>
                <w:sz w:val="21"/>
                <w:highlight w:val="none"/>
              </w:rPr>
            </w:pPr>
            <w:r>
              <w:rPr>
                <w:rFonts w:hint="eastAsia"/>
                <w:sz w:val="21"/>
                <w:highlight w:val="none"/>
              </w:rPr>
              <w:t>0.2t/a</w:t>
            </w:r>
          </w:p>
        </w:tc>
        <w:tc>
          <w:tcPr>
            <w:tcW w:w="1035" w:type="dxa"/>
            <w:vAlign w:val="center"/>
          </w:tcPr>
          <w:p w14:paraId="24FD47B5">
            <w:pPr>
              <w:pStyle w:val="31"/>
              <w:rPr>
                <w:rFonts w:hAnsi="宋体" w:cs="宋体"/>
                <w:snapToGrid w:val="0"/>
                <w:color w:val="000000"/>
                <w:kern w:val="21"/>
                <w:sz w:val="21"/>
              </w:rPr>
            </w:pPr>
          </w:p>
        </w:tc>
      </w:tr>
      <w:tr w14:paraId="579F9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6859F94A">
            <w:pPr>
              <w:pStyle w:val="31"/>
              <w:rPr>
                <w:rFonts w:hAnsi="宋体" w:cs="宋体"/>
                <w:snapToGrid w:val="0"/>
                <w:color w:val="000000"/>
                <w:kern w:val="21"/>
                <w:sz w:val="21"/>
              </w:rPr>
            </w:pPr>
          </w:p>
        </w:tc>
        <w:tc>
          <w:tcPr>
            <w:tcW w:w="1943" w:type="dxa"/>
            <w:vAlign w:val="center"/>
          </w:tcPr>
          <w:p w14:paraId="010BC3B4">
            <w:pPr>
              <w:widowControl/>
              <w:spacing w:line="240" w:lineRule="auto"/>
              <w:ind w:firstLine="0" w:firstLineChars="0"/>
              <w:jc w:val="center"/>
              <w:rPr>
                <w:sz w:val="21"/>
                <w:szCs w:val="21"/>
              </w:rPr>
            </w:pPr>
            <w:r>
              <w:rPr>
                <w:color w:val="000000"/>
                <w:kern w:val="0"/>
                <w:sz w:val="21"/>
                <w:szCs w:val="21"/>
              </w:rPr>
              <w:t>生活垃圾</w:t>
            </w:r>
          </w:p>
        </w:tc>
        <w:tc>
          <w:tcPr>
            <w:tcW w:w="1449" w:type="dxa"/>
            <w:vAlign w:val="center"/>
          </w:tcPr>
          <w:p w14:paraId="51FD7F46">
            <w:pPr>
              <w:pStyle w:val="31"/>
              <w:rPr>
                <w:rFonts w:hAnsi="宋体" w:cs="宋体"/>
                <w:snapToGrid w:val="0"/>
                <w:color w:val="000000"/>
                <w:kern w:val="21"/>
                <w:sz w:val="21"/>
              </w:rPr>
            </w:pPr>
          </w:p>
        </w:tc>
        <w:tc>
          <w:tcPr>
            <w:tcW w:w="1170" w:type="dxa"/>
            <w:vAlign w:val="center"/>
          </w:tcPr>
          <w:p w14:paraId="541292C4">
            <w:pPr>
              <w:pStyle w:val="31"/>
              <w:rPr>
                <w:rFonts w:hAnsi="宋体" w:cs="宋体"/>
                <w:snapToGrid w:val="0"/>
                <w:color w:val="000000"/>
                <w:kern w:val="21"/>
                <w:sz w:val="21"/>
              </w:rPr>
            </w:pPr>
          </w:p>
        </w:tc>
        <w:tc>
          <w:tcPr>
            <w:tcW w:w="1701" w:type="dxa"/>
            <w:vAlign w:val="center"/>
          </w:tcPr>
          <w:p w14:paraId="6142E9CB">
            <w:pPr>
              <w:pStyle w:val="31"/>
              <w:rPr>
                <w:rFonts w:hAnsi="宋体" w:cs="宋体"/>
                <w:snapToGrid w:val="0"/>
                <w:color w:val="000000"/>
                <w:kern w:val="21"/>
                <w:sz w:val="21"/>
              </w:rPr>
            </w:pPr>
          </w:p>
        </w:tc>
        <w:tc>
          <w:tcPr>
            <w:tcW w:w="1688" w:type="dxa"/>
            <w:vAlign w:val="center"/>
          </w:tcPr>
          <w:p w14:paraId="2C048394">
            <w:pPr>
              <w:pStyle w:val="31"/>
              <w:rPr>
                <w:sz w:val="21"/>
              </w:rPr>
            </w:pPr>
            <w:r>
              <w:rPr>
                <w:rFonts w:hint="eastAsia"/>
                <w:sz w:val="21"/>
              </w:rPr>
              <w:t>10</w:t>
            </w:r>
            <w:r>
              <w:rPr>
                <w:sz w:val="21"/>
              </w:rPr>
              <w:t>t/a</w:t>
            </w:r>
          </w:p>
        </w:tc>
        <w:tc>
          <w:tcPr>
            <w:tcW w:w="1773" w:type="dxa"/>
            <w:vAlign w:val="center"/>
          </w:tcPr>
          <w:p w14:paraId="35EF632E">
            <w:pPr>
              <w:pStyle w:val="31"/>
              <w:rPr>
                <w:rFonts w:hAnsi="宋体" w:cs="宋体"/>
                <w:snapToGrid w:val="0"/>
                <w:color w:val="000000"/>
                <w:kern w:val="21"/>
                <w:sz w:val="21"/>
              </w:rPr>
            </w:pPr>
          </w:p>
        </w:tc>
        <w:tc>
          <w:tcPr>
            <w:tcW w:w="1609" w:type="dxa"/>
            <w:vAlign w:val="center"/>
          </w:tcPr>
          <w:p w14:paraId="1D359AEB">
            <w:pPr>
              <w:pStyle w:val="31"/>
              <w:rPr>
                <w:sz w:val="21"/>
              </w:rPr>
            </w:pPr>
            <w:r>
              <w:rPr>
                <w:rFonts w:hint="eastAsia"/>
                <w:sz w:val="21"/>
              </w:rPr>
              <w:t>10</w:t>
            </w:r>
            <w:r>
              <w:rPr>
                <w:sz w:val="21"/>
              </w:rPr>
              <w:t>t/a</w:t>
            </w:r>
          </w:p>
        </w:tc>
        <w:tc>
          <w:tcPr>
            <w:tcW w:w="1035" w:type="dxa"/>
            <w:vAlign w:val="center"/>
          </w:tcPr>
          <w:p w14:paraId="20C26F5F">
            <w:pPr>
              <w:pStyle w:val="31"/>
              <w:rPr>
                <w:rFonts w:hAnsi="宋体" w:cs="宋体"/>
                <w:snapToGrid w:val="0"/>
                <w:color w:val="000000"/>
                <w:kern w:val="21"/>
                <w:sz w:val="21"/>
              </w:rPr>
            </w:pPr>
          </w:p>
        </w:tc>
      </w:tr>
      <w:tr w14:paraId="71305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vAlign w:val="center"/>
          </w:tcPr>
          <w:p w14:paraId="7DE45F61">
            <w:pPr>
              <w:pStyle w:val="31"/>
              <w:rPr>
                <w:rFonts w:hAnsi="宋体" w:cs="宋体"/>
                <w:snapToGrid w:val="0"/>
                <w:color w:val="000000"/>
                <w:kern w:val="21"/>
                <w:sz w:val="21"/>
              </w:rPr>
            </w:pPr>
            <w:r>
              <w:rPr>
                <w:rFonts w:hint="eastAsia" w:hAnsi="宋体" w:cs="宋体"/>
                <w:snapToGrid w:val="0"/>
                <w:color w:val="000000"/>
                <w:kern w:val="21"/>
                <w:sz w:val="21"/>
              </w:rPr>
              <w:t>危险废物</w:t>
            </w:r>
          </w:p>
        </w:tc>
        <w:tc>
          <w:tcPr>
            <w:tcW w:w="1943" w:type="dxa"/>
            <w:vAlign w:val="center"/>
          </w:tcPr>
          <w:p w14:paraId="49C65CEC">
            <w:pPr>
              <w:pStyle w:val="31"/>
              <w:rPr>
                <w:sz w:val="21"/>
              </w:rPr>
            </w:pPr>
            <w:r>
              <w:rPr>
                <w:sz w:val="21"/>
              </w:rPr>
              <w:t>废</w:t>
            </w:r>
            <w:r>
              <w:rPr>
                <w:rFonts w:hint="eastAsia"/>
                <w:sz w:val="21"/>
              </w:rPr>
              <w:t>润滑油</w:t>
            </w:r>
          </w:p>
        </w:tc>
        <w:tc>
          <w:tcPr>
            <w:tcW w:w="1449" w:type="dxa"/>
            <w:vAlign w:val="center"/>
          </w:tcPr>
          <w:p w14:paraId="72CA5AD1">
            <w:pPr>
              <w:pStyle w:val="31"/>
              <w:rPr>
                <w:rFonts w:hAnsi="宋体" w:cs="宋体"/>
                <w:snapToGrid w:val="0"/>
                <w:color w:val="000000"/>
                <w:kern w:val="21"/>
                <w:sz w:val="21"/>
              </w:rPr>
            </w:pPr>
          </w:p>
        </w:tc>
        <w:tc>
          <w:tcPr>
            <w:tcW w:w="1170" w:type="dxa"/>
            <w:vAlign w:val="center"/>
          </w:tcPr>
          <w:p w14:paraId="4449C1CB">
            <w:pPr>
              <w:pStyle w:val="31"/>
              <w:rPr>
                <w:rFonts w:hAnsi="宋体" w:cs="宋体"/>
                <w:snapToGrid w:val="0"/>
                <w:color w:val="000000"/>
                <w:kern w:val="21"/>
                <w:sz w:val="21"/>
              </w:rPr>
            </w:pPr>
          </w:p>
        </w:tc>
        <w:tc>
          <w:tcPr>
            <w:tcW w:w="1701" w:type="dxa"/>
            <w:vAlign w:val="center"/>
          </w:tcPr>
          <w:p w14:paraId="0830A9D9">
            <w:pPr>
              <w:pStyle w:val="31"/>
              <w:rPr>
                <w:sz w:val="21"/>
              </w:rPr>
            </w:pPr>
          </w:p>
        </w:tc>
        <w:tc>
          <w:tcPr>
            <w:tcW w:w="1688" w:type="dxa"/>
            <w:vAlign w:val="center"/>
          </w:tcPr>
          <w:p w14:paraId="28C97C35">
            <w:pPr>
              <w:pStyle w:val="31"/>
              <w:rPr>
                <w:sz w:val="21"/>
              </w:rPr>
            </w:pPr>
            <w:r>
              <w:rPr>
                <w:rFonts w:hint="eastAsia"/>
                <w:sz w:val="21"/>
              </w:rPr>
              <w:t>0.5</w:t>
            </w:r>
            <w:r>
              <w:rPr>
                <w:sz w:val="21"/>
              </w:rPr>
              <w:t>t/a</w:t>
            </w:r>
          </w:p>
        </w:tc>
        <w:tc>
          <w:tcPr>
            <w:tcW w:w="1773" w:type="dxa"/>
            <w:vAlign w:val="center"/>
          </w:tcPr>
          <w:p w14:paraId="77ACBA8B">
            <w:pPr>
              <w:pStyle w:val="31"/>
              <w:rPr>
                <w:rFonts w:hAnsi="宋体" w:cs="宋体"/>
                <w:snapToGrid w:val="0"/>
                <w:color w:val="000000"/>
                <w:kern w:val="21"/>
                <w:sz w:val="21"/>
              </w:rPr>
            </w:pPr>
          </w:p>
        </w:tc>
        <w:tc>
          <w:tcPr>
            <w:tcW w:w="1609" w:type="dxa"/>
            <w:vAlign w:val="center"/>
          </w:tcPr>
          <w:p w14:paraId="3FBE4875">
            <w:pPr>
              <w:pStyle w:val="31"/>
              <w:rPr>
                <w:sz w:val="21"/>
              </w:rPr>
            </w:pPr>
            <w:r>
              <w:rPr>
                <w:rFonts w:hint="eastAsia"/>
                <w:sz w:val="21"/>
              </w:rPr>
              <w:t>0.5</w:t>
            </w:r>
            <w:r>
              <w:rPr>
                <w:sz w:val="21"/>
              </w:rPr>
              <w:t>t/a</w:t>
            </w:r>
          </w:p>
        </w:tc>
        <w:tc>
          <w:tcPr>
            <w:tcW w:w="1035" w:type="dxa"/>
            <w:vAlign w:val="center"/>
          </w:tcPr>
          <w:p w14:paraId="613B667E">
            <w:pPr>
              <w:pStyle w:val="31"/>
              <w:rPr>
                <w:sz w:val="21"/>
              </w:rPr>
            </w:pPr>
          </w:p>
        </w:tc>
      </w:tr>
      <w:tr w14:paraId="22A15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488A6DAF">
            <w:pPr>
              <w:pStyle w:val="31"/>
              <w:rPr>
                <w:rFonts w:hAnsi="宋体" w:cs="宋体"/>
                <w:snapToGrid w:val="0"/>
                <w:color w:val="000000"/>
                <w:kern w:val="21"/>
                <w:sz w:val="21"/>
              </w:rPr>
            </w:pPr>
          </w:p>
        </w:tc>
        <w:tc>
          <w:tcPr>
            <w:tcW w:w="1943" w:type="dxa"/>
            <w:vAlign w:val="center"/>
          </w:tcPr>
          <w:p w14:paraId="7C7435A8">
            <w:pPr>
              <w:pStyle w:val="31"/>
              <w:rPr>
                <w:sz w:val="21"/>
              </w:rPr>
            </w:pPr>
            <w:r>
              <w:rPr>
                <w:sz w:val="21"/>
              </w:rPr>
              <w:t>废油桶</w:t>
            </w:r>
          </w:p>
        </w:tc>
        <w:tc>
          <w:tcPr>
            <w:tcW w:w="1449" w:type="dxa"/>
            <w:vAlign w:val="center"/>
          </w:tcPr>
          <w:p w14:paraId="2408EF81">
            <w:pPr>
              <w:pStyle w:val="31"/>
              <w:rPr>
                <w:rFonts w:hAnsi="宋体" w:cs="宋体"/>
                <w:snapToGrid w:val="0"/>
                <w:color w:val="000000"/>
                <w:kern w:val="21"/>
                <w:sz w:val="21"/>
              </w:rPr>
            </w:pPr>
          </w:p>
        </w:tc>
        <w:tc>
          <w:tcPr>
            <w:tcW w:w="1170" w:type="dxa"/>
            <w:vAlign w:val="center"/>
          </w:tcPr>
          <w:p w14:paraId="606CCDE4">
            <w:pPr>
              <w:pStyle w:val="31"/>
              <w:rPr>
                <w:rFonts w:hAnsi="宋体" w:cs="宋体"/>
                <w:snapToGrid w:val="0"/>
                <w:color w:val="000000"/>
                <w:kern w:val="21"/>
                <w:sz w:val="21"/>
              </w:rPr>
            </w:pPr>
          </w:p>
        </w:tc>
        <w:tc>
          <w:tcPr>
            <w:tcW w:w="1701" w:type="dxa"/>
            <w:vAlign w:val="center"/>
          </w:tcPr>
          <w:p w14:paraId="2F651E70">
            <w:pPr>
              <w:pStyle w:val="31"/>
              <w:rPr>
                <w:sz w:val="21"/>
              </w:rPr>
            </w:pPr>
          </w:p>
        </w:tc>
        <w:tc>
          <w:tcPr>
            <w:tcW w:w="1688" w:type="dxa"/>
            <w:vAlign w:val="center"/>
          </w:tcPr>
          <w:p w14:paraId="4FF98A6D">
            <w:pPr>
              <w:pStyle w:val="31"/>
              <w:rPr>
                <w:sz w:val="21"/>
              </w:rPr>
            </w:pPr>
            <w:r>
              <w:rPr>
                <w:rFonts w:hint="eastAsia"/>
                <w:sz w:val="21"/>
              </w:rPr>
              <w:t>0.1t/a</w:t>
            </w:r>
          </w:p>
        </w:tc>
        <w:tc>
          <w:tcPr>
            <w:tcW w:w="1773" w:type="dxa"/>
            <w:vAlign w:val="center"/>
          </w:tcPr>
          <w:p w14:paraId="02C17AA1">
            <w:pPr>
              <w:pStyle w:val="31"/>
              <w:rPr>
                <w:rFonts w:hAnsi="宋体" w:cs="宋体"/>
                <w:snapToGrid w:val="0"/>
                <w:color w:val="000000"/>
                <w:kern w:val="21"/>
                <w:sz w:val="21"/>
              </w:rPr>
            </w:pPr>
          </w:p>
        </w:tc>
        <w:tc>
          <w:tcPr>
            <w:tcW w:w="1609" w:type="dxa"/>
            <w:vAlign w:val="center"/>
          </w:tcPr>
          <w:p w14:paraId="5ABA4FF7">
            <w:pPr>
              <w:pStyle w:val="31"/>
              <w:rPr>
                <w:sz w:val="21"/>
              </w:rPr>
            </w:pPr>
            <w:r>
              <w:rPr>
                <w:rFonts w:hint="eastAsia"/>
                <w:sz w:val="21"/>
              </w:rPr>
              <w:t>0.1t/a</w:t>
            </w:r>
          </w:p>
        </w:tc>
        <w:tc>
          <w:tcPr>
            <w:tcW w:w="1035" w:type="dxa"/>
            <w:vAlign w:val="center"/>
          </w:tcPr>
          <w:p w14:paraId="2F966345">
            <w:pPr>
              <w:pStyle w:val="31"/>
              <w:rPr>
                <w:sz w:val="21"/>
              </w:rPr>
            </w:pPr>
          </w:p>
        </w:tc>
      </w:tr>
      <w:tr w14:paraId="5210F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00F33B45">
            <w:pPr>
              <w:pStyle w:val="31"/>
              <w:rPr>
                <w:rFonts w:hAnsi="宋体" w:cs="宋体"/>
                <w:snapToGrid w:val="0"/>
                <w:color w:val="000000"/>
                <w:kern w:val="21"/>
                <w:sz w:val="21"/>
              </w:rPr>
            </w:pPr>
          </w:p>
        </w:tc>
        <w:tc>
          <w:tcPr>
            <w:tcW w:w="1943" w:type="dxa"/>
            <w:vAlign w:val="center"/>
          </w:tcPr>
          <w:p w14:paraId="77241AF8">
            <w:pPr>
              <w:pStyle w:val="31"/>
              <w:rPr>
                <w:sz w:val="21"/>
                <w:highlight w:val="none"/>
              </w:rPr>
            </w:pPr>
            <w:r>
              <w:rPr>
                <w:rFonts w:hint="eastAsia"/>
                <w:color w:val="000000"/>
                <w:kern w:val="0"/>
                <w:sz w:val="21"/>
                <w:highlight w:val="none"/>
              </w:rPr>
              <w:t>废液压油</w:t>
            </w:r>
          </w:p>
        </w:tc>
        <w:tc>
          <w:tcPr>
            <w:tcW w:w="1449" w:type="dxa"/>
            <w:vAlign w:val="center"/>
          </w:tcPr>
          <w:p w14:paraId="414C58BD">
            <w:pPr>
              <w:pStyle w:val="31"/>
              <w:rPr>
                <w:rFonts w:hAnsi="宋体" w:cs="宋体"/>
                <w:snapToGrid w:val="0"/>
                <w:color w:val="000000"/>
                <w:kern w:val="21"/>
                <w:sz w:val="21"/>
                <w:highlight w:val="none"/>
              </w:rPr>
            </w:pPr>
          </w:p>
        </w:tc>
        <w:tc>
          <w:tcPr>
            <w:tcW w:w="1170" w:type="dxa"/>
            <w:vAlign w:val="center"/>
          </w:tcPr>
          <w:p w14:paraId="15784037">
            <w:pPr>
              <w:pStyle w:val="31"/>
              <w:rPr>
                <w:rFonts w:hAnsi="宋体" w:cs="宋体"/>
                <w:snapToGrid w:val="0"/>
                <w:color w:val="000000"/>
                <w:kern w:val="21"/>
                <w:sz w:val="21"/>
                <w:highlight w:val="none"/>
              </w:rPr>
            </w:pPr>
          </w:p>
        </w:tc>
        <w:tc>
          <w:tcPr>
            <w:tcW w:w="1701" w:type="dxa"/>
            <w:vAlign w:val="center"/>
          </w:tcPr>
          <w:p w14:paraId="532DD3A9">
            <w:pPr>
              <w:pStyle w:val="31"/>
              <w:rPr>
                <w:sz w:val="21"/>
                <w:highlight w:val="none"/>
              </w:rPr>
            </w:pPr>
          </w:p>
        </w:tc>
        <w:tc>
          <w:tcPr>
            <w:tcW w:w="1688" w:type="dxa"/>
            <w:vAlign w:val="center"/>
          </w:tcPr>
          <w:p w14:paraId="2310F003">
            <w:pPr>
              <w:pStyle w:val="31"/>
              <w:rPr>
                <w:sz w:val="21"/>
                <w:highlight w:val="none"/>
              </w:rPr>
            </w:pPr>
            <w:r>
              <w:rPr>
                <w:rFonts w:hint="eastAsia"/>
                <w:sz w:val="21"/>
                <w:highlight w:val="none"/>
              </w:rPr>
              <w:t>0.8</w:t>
            </w:r>
            <w:r>
              <w:rPr>
                <w:sz w:val="21"/>
                <w:highlight w:val="none"/>
              </w:rPr>
              <w:t>t/a</w:t>
            </w:r>
          </w:p>
        </w:tc>
        <w:tc>
          <w:tcPr>
            <w:tcW w:w="1773" w:type="dxa"/>
            <w:vAlign w:val="center"/>
          </w:tcPr>
          <w:p w14:paraId="711521F7">
            <w:pPr>
              <w:pStyle w:val="31"/>
              <w:rPr>
                <w:rFonts w:hAnsi="宋体" w:cs="宋体"/>
                <w:snapToGrid w:val="0"/>
                <w:color w:val="000000"/>
                <w:kern w:val="21"/>
                <w:sz w:val="21"/>
                <w:highlight w:val="none"/>
              </w:rPr>
            </w:pPr>
          </w:p>
        </w:tc>
        <w:tc>
          <w:tcPr>
            <w:tcW w:w="1609" w:type="dxa"/>
            <w:vAlign w:val="center"/>
          </w:tcPr>
          <w:p w14:paraId="290794C8">
            <w:pPr>
              <w:pStyle w:val="31"/>
              <w:rPr>
                <w:sz w:val="21"/>
                <w:highlight w:val="none"/>
              </w:rPr>
            </w:pPr>
            <w:r>
              <w:rPr>
                <w:rFonts w:hint="eastAsia"/>
                <w:sz w:val="21"/>
                <w:highlight w:val="none"/>
              </w:rPr>
              <w:t>0.8</w:t>
            </w:r>
            <w:r>
              <w:rPr>
                <w:sz w:val="21"/>
                <w:highlight w:val="none"/>
              </w:rPr>
              <w:t>t/a</w:t>
            </w:r>
          </w:p>
        </w:tc>
        <w:tc>
          <w:tcPr>
            <w:tcW w:w="1035" w:type="dxa"/>
            <w:vAlign w:val="center"/>
          </w:tcPr>
          <w:p w14:paraId="427AE185">
            <w:pPr>
              <w:pStyle w:val="31"/>
              <w:rPr>
                <w:sz w:val="21"/>
              </w:rPr>
            </w:pPr>
          </w:p>
        </w:tc>
      </w:tr>
      <w:tr w14:paraId="43BDE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40385190">
            <w:pPr>
              <w:pStyle w:val="31"/>
              <w:rPr>
                <w:rFonts w:hAnsi="宋体" w:cs="宋体"/>
                <w:snapToGrid w:val="0"/>
                <w:color w:val="000000"/>
                <w:kern w:val="21"/>
                <w:sz w:val="21"/>
              </w:rPr>
            </w:pPr>
          </w:p>
        </w:tc>
        <w:tc>
          <w:tcPr>
            <w:tcW w:w="1943" w:type="dxa"/>
            <w:vAlign w:val="center"/>
          </w:tcPr>
          <w:p w14:paraId="46988664">
            <w:pPr>
              <w:pStyle w:val="31"/>
              <w:rPr>
                <w:rFonts w:hint="eastAsia" w:eastAsia="宋体"/>
                <w:sz w:val="21"/>
                <w:highlight w:val="none"/>
                <w:lang w:eastAsia="zh-CN"/>
              </w:rPr>
            </w:pPr>
            <w:r>
              <w:rPr>
                <w:rFonts w:hint="eastAsia"/>
                <w:sz w:val="21"/>
                <w:highlight w:val="none"/>
              </w:rPr>
              <w:t>废</w:t>
            </w:r>
            <w:r>
              <w:rPr>
                <w:rFonts w:hint="eastAsia"/>
                <w:sz w:val="21"/>
                <w:highlight w:val="none"/>
                <w:lang w:eastAsia="zh-CN"/>
              </w:rPr>
              <w:t>淬火油</w:t>
            </w:r>
          </w:p>
        </w:tc>
        <w:tc>
          <w:tcPr>
            <w:tcW w:w="1449" w:type="dxa"/>
            <w:vAlign w:val="center"/>
          </w:tcPr>
          <w:p w14:paraId="0B280F6D">
            <w:pPr>
              <w:pStyle w:val="31"/>
              <w:rPr>
                <w:rFonts w:ascii="宋体" w:hAnsi="宋体" w:cs="宋体"/>
                <w:snapToGrid w:val="0"/>
                <w:color w:val="000000"/>
                <w:kern w:val="21"/>
                <w:sz w:val="21"/>
                <w:highlight w:val="none"/>
              </w:rPr>
            </w:pPr>
          </w:p>
        </w:tc>
        <w:tc>
          <w:tcPr>
            <w:tcW w:w="1170" w:type="dxa"/>
            <w:vAlign w:val="center"/>
          </w:tcPr>
          <w:p w14:paraId="7B740CD9">
            <w:pPr>
              <w:pStyle w:val="31"/>
              <w:rPr>
                <w:rFonts w:ascii="宋体" w:hAnsi="宋体" w:cs="宋体"/>
                <w:snapToGrid w:val="0"/>
                <w:color w:val="000000"/>
                <w:kern w:val="21"/>
                <w:sz w:val="21"/>
                <w:highlight w:val="none"/>
              </w:rPr>
            </w:pPr>
          </w:p>
        </w:tc>
        <w:tc>
          <w:tcPr>
            <w:tcW w:w="1701" w:type="dxa"/>
            <w:vAlign w:val="center"/>
          </w:tcPr>
          <w:p w14:paraId="09569C99">
            <w:pPr>
              <w:pStyle w:val="31"/>
              <w:rPr>
                <w:sz w:val="21"/>
                <w:highlight w:val="none"/>
              </w:rPr>
            </w:pPr>
          </w:p>
        </w:tc>
        <w:tc>
          <w:tcPr>
            <w:tcW w:w="1688" w:type="dxa"/>
            <w:vAlign w:val="center"/>
          </w:tcPr>
          <w:p w14:paraId="3A9F3B49">
            <w:pPr>
              <w:pStyle w:val="31"/>
              <w:rPr>
                <w:sz w:val="21"/>
                <w:highlight w:val="none"/>
              </w:rPr>
            </w:pPr>
            <w:r>
              <w:rPr>
                <w:rFonts w:hint="eastAsia"/>
                <w:sz w:val="21"/>
                <w:highlight w:val="none"/>
              </w:rPr>
              <w:t>0.8</w:t>
            </w:r>
            <w:r>
              <w:rPr>
                <w:sz w:val="21"/>
                <w:highlight w:val="none"/>
              </w:rPr>
              <w:t>t/a</w:t>
            </w:r>
          </w:p>
        </w:tc>
        <w:tc>
          <w:tcPr>
            <w:tcW w:w="1773" w:type="dxa"/>
            <w:vAlign w:val="center"/>
          </w:tcPr>
          <w:p w14:paraId="155F28A2">
            <w:pPr>
              <w:pStyle w:val="31"/>
              <w:rPr>
                <w:rFonts w:ascii="宋体" w:hAnsi="宋体" w:cs="宋体"/>
                <w:snapToGrid w:val="0"/>
                <w:color w:val="000000"/>
                <w:kern w:val="21"/>
                <w:sz w:val="21"/>
                <w:highlight w:val="none"/>
              </w:rPr>
            </w:pPr>
          </w:p>
        </w:tc>
        <w:tc>
          <w:tcPr>
            <w:tcW w:w="1609" w:type="dxa"/>
            <w:vAlign w:val="center"/>
          </w:tcPr>
          <w:p w14:paraId="23524162">
            <w:pPr>
              <w:pStyle w:val="31"/>
              <w:rPr>
                <w:sz w:val="21"/>
                <w:highlight w:val="none"/>
              </w:rPr>
            </w:pPr>
            <w:r>
              <w:rPr>
                <w:rFonts w:hint="eastAsia"/>
                <w:sz w:val="21"/>
                <w:highlight w:val="none"/>
              </w:rPr>
              <w:t>0.8</w:t>
            </w:r>
            <w:r>
              <w:rPr>
                <w:sz w:val="21"/>
                <w:highlight w:val="none"/>
              </w:rPr>
              <w:t>t/a</w:t>
            </w:r>
          </w:p>
        </w:tc>
        <w:tc>
          <w:tcPr>
            <w:tcW w:w="1035" w:type="dxa"/>
            <w:vAlign w:val="center"/>
          </w:tcPr>
          <w:p w14:paraId="64A0FDF1">
            <w:pPr>
              <w:pStyle w:val="31"/>
              <w:rPr>
                <w:sz w:val="21"/>
              </w:rPr>
            </w:pPr>
          </w:p>
        </w:tc>
      </w:tr>
      <w:tr w14:paraId="38EC1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07AC0C18">
            <w:pPr>
              <w:pStyle w:val="31"/>
              <w:rPr>
                <w:rFonts w:hAnsi="宋体" w:cs="宋体"/>
                <w:snapToGrid w:val="0"/>
                <w:color w:val="000000"/>
                <w:kern w:val="21"/>
                <w:sz w:val="21"/>
              </w:rPr>
            </w:pPr>
          </w:p>
        </w:tc>
        <w:tc>
          <w:tcPr>
            <w:tcW w:w="1943" w:type="dxa"/>
            <w:vAlign w:val="center"/>
          </w:tcPr>
          <w:p w14:paraId="61ECD090">
            <w:pPr>
              <w:pStyle w:val="31"/>
              <w:rPr>
                <w:sz w:val="21"/>
                <w:highlight w:val="none"/>
              </w:rPr>
            </w:pPr>
            <w:r>
              <w:rPr>
                <w:rFonts w:hint="eastAsia"/>
                <w:color w:val="000000"/>
                <w:kern w:val="0"/>
                <w:sz w:val="21"/>
                <w:highlight w:val="none"/>
              </w:rPr>
              <w:t>废切削液</w:t>
            </w:r>
          </w:p>
        </w:tc>
        <w:tc>
          <w:tcPr>
            <w:tcW w:w="1449" w:type="dxa"/>
            <w:vAlign w:val="center"/>
          </w:tcPr>
          <w:p w14:paraId="4AFC7F57">
            <w:pPr>
              <w:pStyle w:val="31"/>
              <w:rPr>
                <w:rFonts w:hAnsi="宋体" w:cs="宋体"/>
                <w:snapToGrid w:val="0"/>
                <w:color w:val="000000"/>
                <w:kern w:val="21"/>
                <w:sz w:val="21"/>
                <w:highlight w:val="none"/>
              </w:rPr>
            </w:pPr>
          </w:p>
        </w:tc>
        <w:tc>
          <w:tcPr>
            <w:tcW w:w="1170" w:type="dxa"/>
            <w:vAlign w:val="center"/>
          </w:tcPr>
          <w:p w14:paraId="5F3702B8">
            <w:pPr>
              <w:pStyle w:val="31"/>
              <w:rPr>
                <w:rFonts w:hAnsi="宋体" w:cs="宋体"/>
                <w:snapToGrid w:val="0"/>
                <w:color w:val="000000"/>
                <w:kern w:val="21"/>
                <w:sz w:val="21"/>
                <w:highlight w:val="none"/>
              </w:rPr>
            </w:pPr>
          </w:p>
        </w:tc>
        <w:tc>
          <w:tcPr>
            <w:tcW w:w="1701" w:type="dxa"/>
            <w:vAlign w:val="center"/>
          </w:tcPr>
          <w:p w14:paraId="1CA4B99A">
            <w:pPr>
              <w:pStyle w:val="31"/>
              <w:rPr>
                <w:sz w:val="21"/>
                <w:highlight w:val="none"/>
              </w:rPr>
            </w:pPr>
          </w:p>
        </w:tc>
        <w:tc>
          <w:tcPr>
            <w:tcW w:w="1688" w:type="dxa"/>
            <w:vAlign w:val="center"/>
          </w:tcPr>
          <w:p w14:paraId="09976B72">
            <w:pPr>
              <w:pStyle w:val="31"/>
              <w:rPr>
                <w:sz w:val="21"/>
                <w:highlight w:val="none"/>
              </w:rPr>
            </w:pPr>
            <w:r>
              <w:rPr>
                <w:rFonts w:hint="eastAsia"/>
                <w:sz w:val="21"/>
                <w:highlight w:val="none"/>
              </w:rPr>
              <w:t>1.2</w:t>
            </w:r>
            <w:r>
              <w:rPr>
                <w:sz w:val="21"/>
                <w:highlight w:val="none"/>
              </w:rPr>
              <w:t>t/a</w:t>
            </w:r>
          </w:p>
        </w:tc>
        <w:tc>
          <w:tcPr>
            <w:tcW w:w="1773" w:type="dxa"/>
            <w:vAlign w:val="center"/>
          </w:tcPr>
          <w:p w14:paraId="3A1E4E69">
            <w:pPr>
              <w:pStyle w:val="31"/>
              <w:rPr>
                <w:rFonts w:hAnsi="宋体" w:cs="宋体"/>
                <w:snapToGrid w:val="0"/>
                <w:color w:val="000000"/>
                <w:kern w:val="21"/>
                <w:sz w:val="21"/>
                <w:highlight w:val="none"/>
              </w:rPr>
            </w:pPr>
          </w:p>
        </w:tc>
        <w:tc>
          <w:tcPr>
            <w:tcW w:w="1609" w:type="dxa"/>
            <w:vAlign w:val="center"/>
          </w:tcPr>
          <w:p w14:paraId="70DE51EC">
            <w:pPr>
              <w:pStyle w:val="31"/>
              <w:rPr>
                <w:sz w:val="21"/>
                <w:highlight w:val="none"/>
              </w:rPr>
            </w:pPr>
            <w:r>
              <w:rPr>
                <w:rFonts w:hint="eastAsia"/>
                <w:sz w:val="21"/>
                <w:highlight w:val="none"/>
              </w:rPr>
              <w:t>1.2</w:t>
            </w:r>
            <w:r>
              <w:rPr>
                <w:sz w:val="21"/>
                <w:highlight w:val="none"/>
              </w:rPr>
              <w:t>t/a</w:t>
            </w:r>
          </w:p>
        </w:tc>
        <w:tc>
          <w:tcPr>
            <w:tcW w:w="1035" w:type="dxa"/>
            <w:vAlign w:val="center"/>
          </w:tcPr>
          <w:p w14:paraId="22D52C85">
            <w:pPr>
              <w:pStyle w:val="31"/>
              <w:rPr>
                <w:sz w:val="21"/>
              </w:rPr>
            </w:pPr>
          </w:p>
        </w:tc>
      </w:tr>
      <w:tr w14:paraId="53FC2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1C41C51F">
            <w:pPr>
              <w:pStyle w:val="31"/>
              <w:rPr>
                <w:rFonts w:hAnsi="宋体" w:cs="宋体"/>
                <w:snapToGrid w:val="0"/>
                <w:color w:val="000000"/>
                <w:kern w:val="21"/>
                <w:sz w:val="21"/>
              </w:rPr>
            </w:pPr>
          </w:p>
        </w:tc>
        <w:tc>
          <w:tcPr>
            <w:tcW w:w="1943" w:type="dxa"/>
            <w:vAlign w:val="center"/>
          </w:tcPr>
          <w:p w14:paraId="540061F6">
            <w:pPr>
              <w:pStyle w:val="31"/>
              <w:rPr>
                <w:sz w:val="21"/>
              </w:rPr>
            </w:pPr>
            <w:r>
              <w:rPr>
                <w:rFonts w:hint="eastAsia"/>
                <w:color w:val="000000"/>
                <w:kern w:val="0"/>
                <w:sz w:val="21"/>
              </w:rPr>
              <w:t>含油铁屑</w:t>
            </w:r>
          </w:p>
        </w:tc>
        <w:tc>
          <w:tcPr>
            <w:tcW w:w="1449" w:type="dxa"/>
            <w:vAlign w:val="center"/>
          </w:tcPr>
          <w:p w14:paraId="3430D3BE">
            <w:pPr>
              <w:pStyle w:val="31"/>
              <w:rPr>
                <w:rFonts w:hAnsi="宋体" w:cs="宋体"/>
                <w:snapToGrid w:val="0"/>
                <w:color w:val="000000"/>
                <w:kern w:val="21"/>
                <w:sz w:val="21"/>
              </w:rPr>
            </w:pPr>
          </w:p>
        </w:tc>
        <w:tc>
          <w:tcPr>
            <w:tcW w:w="1170" w:type="dxa"/>
            <w:vAlign w:val="center"/>
          </w:tcPr>
          <w:p w14:paraId="311F2BCA">
            <w:pPr>
              <w:pStyle w:val="31"/>
              <w:rPr>
                <w:rFonts w:hAnsi="宋体" w:cs="宋体"/>
                <w:snapToGrid w:val="0"/>
                <w:color w:val="000000"/>
                <w:kern w:val="21"/>
                <w:sz w:val="21"/>
              </w:rPr>
            </w:pPr>
          </w:p>
        </w:tc>
        <w:tc>
          <w:tcPr>
            <w:tcW w:w="1701" w:type="dxa"/>
            <w:vAlign w:val="center"/>
          </w:tcPr>
          <w:p w14:paraId="665381E8">
            <w:pPr>
              <w:pStyle w:val="31"/>
              <w:rPr>
                <w:sz w:val="21"/>
              </w:rPr>
            </w:pPr>
          </w:p>
        </w:tc>
        <w:tc>
          <w:tcPr>
            <w:tcW w:w="1688" w:type="dxa"/>
            <w:vAlign w:val="center"/>
          </w:tcPr>
          <w:p w14:paraId="0DD9B535">
            <w:pPr>
              <w:pStyle w:val="31"/>
              <w:rPr>
                <w:sz w:val="21"/>
              </w:rPr>
            </w:pPr>
            <w:r>
              <w:rPr>
                <w:rFonts w:hint="eastAsia"/>
                <w:sz w:val="21"/>
              </w:rPr>
              <w:t>2</w:t>
            </w:r>
            <w:r>
              <w:rPr>
                <w:sz w:val="21"/>
              </w:rPr>
              <w:t>t/a</w:t>
            </w:r>
          </w:p>
        </w:tc>
        <w:tc>
          <w:tcPr>
            <w:tcW w:w="1773" w:type="dxa"/>
            <w:vAlign w:val="center"/>
          </w:tcPr>
          <w:p w14:paraId="126A0C82">
            <w:pPr>
              <w:pStyle w:val="31"/>
              <w:rPr>
                <w:rFonts w:hAnsi="宋体" w:cs="宋体"/>
                <w:snapToGrid w:val="0"/>
                <w:color w:val="000000"/>
                <w:kern w:val="21"/>
                <w:sz w:val="21"/>
              </w:rPr>
            </w:pPr>
          </w:p>
        </w:tc>
        <w:tc>
          <w:tcPr>
            <w:tcW w:w="1609" w:type="dxa"/>
            <w:vAlign w:val="center"/>
          </w:tcPr>
          <w:p w14:paraId="6379ECBA">
            <w:pPr>
              <w:pStyle w:val="31"/>
              <w:rPr>
                <w:sz w:val="21"/>
              </w:rPr>
            </w:pPr>
            <w:r>
              <w:rPr>
                <w:rFonts w:hint="eastAsia"/>
                <w:sz w:val="21"/>
              </w:rPr>
              <w:t>2</w:t>
            </w:r>
            <w:r>
              <w:rPr>
                <w:sz w:val="21"/>
              </w:rPr>
              <w:t>t/a</w:t>
            </w:r>
          </w:p>
        </w:tc>
        <w:tc>
          <w:tcPr>
            <w:tcW w:w="1035" w:type="dxa"/>
            <w:vAlign w:val="center"/>
          </w:tcPr>
          <w:p w14:paraId="64C8938E">
            <w:pPr>
              <w:pStyle w:val="31"/>
              <w:rPr>
                <w:sz w:val="21"/>
              </w:rPr>
            </w:pPr>
          </w:p>
        </w:tc>
      </w:tr>
      <w:tr w14:paraId="68F22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1D2B5E03">
            <w:pPr>
              <w:pStyle w:val="31"/>
              <w:rPr>
                <w:rFonts w:hAnsi="宋体" w:cs="宋体"/>
                <w:snapToGrid w:val="0"/>
                <w:color w:val="000000"/>
                <w:kern w:val="21"/>
                <w:sz w:val="21"/>
              </w:rPr>
            </w:pPr>
          </w:p>
        </w:tc>
        <w:tc>
          <w:tcPr>
            <w:tcW w:w="1943" w:type="dxa"/>
            <w:vAlign w:val="center"/>
          </w:tcPr>
          <w:p w14:paraId="22EB8489">
            <w:pPr>
              <w:pStyle w:val="31"/>
              <w:rPr>
                <w:color w:val="000000"/>
                <w:kern w:val="0"/>
                <w:sz w:val="21"/>
              </w:rPr>
            </w:pPr>
            <w:r>
              <w:rPr>
                <w:rFonts w:hint="eastAsia"/>
                <w:color w:val="000000"/>
                <w:kern w:val="0"/>
                <w:sz w:val="21"/>
              </w:rPr>
              <w:t>含油金属沉淀物</w:t>
            </w:r>
          </w:p>
        </w:tc>
        <w:tc>
          <w:tcPr>
            <w:tcW w:w="1449" w:type="dxa"/>
            <w:vAlign w:val="center"/>
          </w:tcPr>
          <w:p w14:paraId="6B061C09">
            <w:pPr>
              <w:pStyle w:val="31"/>
              <w:rPr>
                <w:rFonts w:hAnsi="宋体" w:cs="宋体"/>
                <w:snapToGrid w:val="0"/>
                <w:color w:val="000000"/>
                <w:kern w:val="21"/>
                <w:sz w:val="21"/>
              </w:rPr>
            </w:pPr>
          </w:p>
        </w:tc>
        <w:tc>
          <w:tcPr>
            <w:tcW w:w="1170" w:type="dxa"/>
            <w:vAlign w:val="center"/>
          </w:tcPr>
          <w:p w14:paraId="1A56D748">
            <w:pPr>
              <w:pStyle w:val="31"/>
              <w:rPr>
                <w:rFonts w:hAnsi="宋体" w:cs="宋体"/>
                <w:snapToGrid w:val="0"/>
                <w:color w:val="000000"/>
                <w:kern w:val="21"/>
                <w:sz w:val="21"/>
              </w:rPr>
            </w:pPr>
          </w:p>
        </w:tc>
        <w:tc>
          <w:tcPr>
            <w:tcW w:w="1701" w:type="dxa"/>
            <w:vAlign w:val="center"/>
          </w:tcPr>
          <w:p w14:paraId="4C23C31F">
            <w:pPr>
              <w:pStyle w:val="31"/>
              <w:rPr>
                <w:sz w:val="21"/>
              </w:rPr>
            </w:pPr>
          </w:p>
        </w:tc>
        <w:tc>
          <w:tcPr>
            <w:tcW w:w="1688" w:type="dxa"/>
            <w:vAlign w:val="center"/>
          </w:tcPr>
          <w:p w14:paraId="66E48EFA">
            <w:pPr>
              <w:pStyle w:val="31"/>
              <w:rPr>
                <w:sz w:val="21"/>
              </w:rPr>
            </w:pPr>
            <w:r>
              <w:rPr>
                <w:rFonts w:hint="eastAsia"/>
                <w:sz w:val="21"/>
              </w:rPr>
              <w:t>1t/a</w:t>
            </w:r>
          </w:p>
        </w:tc>
        <w:tc>
          <w:tcPr>
            <w:tcW w:w="1773" w:type="dxa"/>
            <w:vAlign w:val="center"/>
          </w:tcPr>
          <w:p w14:paraId="24C44B50">
            <w:pPr>
              <w:pStyle w:val="31"/>
              <w:rPr>
                <w:rFonts w:hAnsi="宋体" w:cs="宋体"/>
                <w:snapToGrid w:val="0"/>
                <w:color w:val="000000"/>
                <w:kern w:val="21"/>
                <w:sz w:val="21"/>
              </w:rPr>
            </w:pPr>
          </w:p>
        </w:tc>
        <w:tc>
          <w:tcPr>
            <w:tcW w:w="1609" w:type="dxa"/>
            <w:vAlign w:val="center"/>
          </w:tcPr>
          <w:p w14:paraId="3C011C6E">
            <w:pPr>
              <w:pStyle w:val="31"/>
              <w:rPr>
                <w:sz w:val="21"/>
              </w:rPr>
            </w:pPr>
            <w:r>
              <w:rPr>
                <w:rFonts w:hint="eastAsia"/>
                <w:sz w:val="21"/>
              </w:rPr>
              <w:t>1t/a</w:t>
            </w:r>
          </w:p>
        </w:tc>
        <w:tc>
          <w:tcPr>
            <w:tcW w:w="1035" w:type="dxa"/>
            <w:vAlign w:val="center"/>
          </w:tcPr>
          <w:p w14:paraId="7031E863">
            <w:pPr>
              <w:pStyle w:val="31"/>
              <w:rPr>
                <w:sz w:val="21"/>
              </w:rPr>
            </w:pPr>
          </w:p>
        </w:tc>
      </w:tr>
      <w:tr w14:paraId="3201F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760269E1">
            <w:pPr>
              <w:pStyle w:val="31"/>
              <w:rPr>
                <w:rFonts w:hAnsi="宋体" w:cs="宋体"/>
                <w:snapToGrid w:val="0"/>
                <w:color w:val="000000"/>
                <w:kern w:val="21"/>
                <w:sz w:val="21"/>
              </w:rPr>
            </w:pPr>
          </w:p>
        </w:tc>
        <w:tc>
          <w:tcPr>
            <w:tcW w:w="1943" w:type="dxa"/>
            <w:vAlign w:val="center"/>
          </w:tcPr>
          <w:p w14:paraId="4AE39B07">
            <w:pPr>
              <w:pStyle w:val="31"/>
              <w:rPr>
                <w:color w:val="000000"/>
                <w:kern w:val="0"/>
                <w:sz w:val="21"/>
                <w:highlight w:val="none"/>
              </w:rPr>
            </w:pPr>
            <w:r>
              <w:rPr>
                <w:rFonts w:hint="eastAsia"/>
                <w:color w:val="000000"/>
                <w:kern w:val="0"/>
                <w:sz w:val="21"/>
                <w:highlight w:val="none"/>
              </w:rPr>
              <w:t>油污</w:t>
            </w:r>
          </w:p>
        </w:tc>
        <w:tc>
          <w:tcPr>
            <w:tcW w:w="1449" w:type="dxa"/>
            <w:vAlign w:val="center"/>
          </w:tcPr>
          <w:p w14:paraId="40444F48">
            <w:pPr>
              <w:pStyle w:val="31"/>
              <w:rPr>
                <w:rFonts w:hAnsi="宋体" w:cs="宋体"/>
                <w:snapToGrid w:val="0"/>
                <w:color w:val="000000"/>
                <w:kern w:val="21"/>
                <w:sz w:val="21"/>
                <w:highlight w:val="none"/>
              </w:rPr>
            </w:pPr>
          </w:p>
        </w:tc>
        <w:tc>
          <w:tcPr>
            <w:tcW w:w="1170" w:type="dxa"/>
            <w:vAlign w:val="center"/>
          </w:tcPr>
          <w:p w14:paraId="353FD8FD">
            <w:pPr>
              <w:pStyle w:val="31"/>
              <w:rPr>
                <w:rFonts w:hAnsi="宋体" w:cs="宋体"/>
                <w:snapToGrid w:val="0"/>
                <w:color w:val="000000"/>
                <w:kern w:val="21"/>
                <w:sz w:val="21"/>
                <w:highlight w:val="none"/>
              </w:rPr>
            </w:pPr>
          </w:p>
        </w:tc>
        <w:tc>
          <w:tcPr>
            <w:tcW w:w="1701" w:type="dxa"/>
            <w:vAlign w:val="center"/>
          </w:tcPr>
          <w:p w14:paraId="2CEF4FA8">
            <w:pPr>
              <w:pStyle w:val="31"/>
              <w:rPr>
                <w:sz w:val="21"/>
                <w:highlight w:val="none"/>
              </w:rPr>
            </w:pPr>
          </w:p>
        </w:tc>
        <w:tc>
          <w:tcPr>
            <w:tcW w:w="1688" w:type="dxa"/>
            <w:vAlign w:val="center"/>
          </w:tcPr>
          <w:p w14:paraId="3D41464D">
            <w:pPr>
              <w:pStyle w:val="31"/>
              <w:rPr>
                <w:sz w:val="21"/>
                <w:highlight w:val="none"/>
              </w:rPr>
            </w:pPr>
            <w:r>
              <w:rPr>
                <w:rFonts w:hint="eastAsia"/>
                <w:sz w:val="21"/>
                <w:highlight w:val="none"/>
              </w:rPr>
              <w:t>3</w:t>
            </w:r>
            <w:r>
              <w:rPr>
                <w:sz w:val="21"/>
                <w:highlight w:val="none"/>
              </w:rPr>
              <w:t>t/a</w:t>
            </w:r>
          </w:p>
        </w:tc>
        <w:tc>
          <w:tcPr>
            <w:tcW w:w="1773" w:type="dxa"/>
            <w:vAlign w:val="center"/>
          </w:tcPr>
          <w:p w14:paraId="1B85F7CE">
            <w:pPr>
              <w:pStyle w:val="31"/>
              <w:rPr>
                <w:rFonts w:hAnsi="宋体" w:cs="宋体"/>
                <w:snapToGrid w:val="0"/>
                <w:color w:val="000000"/>
                <w:kern w:val="21"/>
                <w:sz w:val="21"/>
                <w:highlight w:val="none"/>
              </w:rPr>
            </w:pPr>
          </w:p>
        </w:tc>
        <w:tc>
          <w:tcPr>
            <w:tcW w:w="1609" w:type="dxa"/>
            <w:vAlign w:val="center"/>
          </w:tcPr>
          <w:p w14:paraId="3A35FA55">
            <w:pPr>
              <w:pStyle w:val="31"/>
              <w:rPr>
                <w:sz w:val="21"/>
                <w:highlight w:val="none"/>
              </w:rPr>
            </w:pPr>
            <w:r>
              <w:rPr>
                <w:rFonts w:hint="eastAsia"/>
                <w:sz w:val="21"/>
                <w:highlight w:val="none"/>
              </w:rPr>
              <w:t>3</w:t>
            </w:r>
            <w:r>
              <w:rPr>
                <w:sz w:val="21"/>
                <w:highlight w:val="none"/>
              </w:rPr>
              <w:t>t/a</w:t>
            </w:r>
          </w:p>
        </w:tc>
        <w:tc>
          <w:tcPr>
            <w:tcW w:w="1035" w:type="dxa"/>
            <w:vAlign w:val="center"/>
          </w:tcPr>
          <w:p w14:paraId="58CE7D6A">
            <w:pPr>
              <w:pStyle w:val="31"/>
              <w:rPr>
                <w:sz w:val="21"/>
              </w:rPr>
            </w:pPr>
          </w:p>
        </w:tc>
      </w:tr>
      <w:tr w14:paraId="183B2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vAlign w:val="center"/>
          </w:tcPr>
          <w:p w14:paraId="7EA1C385">
            <w:pPr>
              <w:pStyle w:val="31"/>
              <w:rPr>
                <w:rFonts w:hAnsi="宋体" w:cs="宋体"/>
                <w:snapToGrid w:val="0"/>
                <w:color w:val="000000"/>
                <w:kern w:val="21"/>
                <w:sz w:val="21"/>
              </w:rPr>
            </w:pPr>
          </w:p>
        </w:tc>
        <w:tc>
          <w:tcPr>
            <w:tcW w:w="1943" w:type="dxa"/>
            <w:vAlign w:val="center"/>
          </w:tcPr>
          <w:p w14:paraId="754AE14F">
            <w:pPr>
              <w:pStyle w:val="31"/>
              <w:rPr>
                <w:color w:val="000000"/>
                <w:kern w:val="0"/>
                <w:sz w:val="21"/>
              </w:rPr>
            </w:pPr>
            <w:r>
              <w:rPr>
                <w:rFonts w:hint="eastAsia"/>
                <w:color w:val="000000"/>
                <w:kern w:val="0"/>
                <w:sz w:val="21"/>
              </w:rPr>
              <w:t>废活性炭</w:t>
            </w:r>
          </w:p>
        </w:tc>
        <w:tc>
          <w:tcPr>
            <w:tcW w:w="1449" w:type="dxa"/>
            <w:vAlign w:val="center"/>
          </w:tcPr>
          <w:p w14:paraId="65E56F2E">
            <w:pPr>
              <w:pStyle w:val="31"/>
              <w:rPr>
                <w:rFonts w:hAnsi="宋体" w:cs="宋体"/>
                <w:snapToGrid w:val="0"/>
                <w:color w:val="000000"/>
                <w:kern w:val="21"/>
                <w:sz w:val="21"/>
              </w:rPr>
            </w:pPr>
          </w:p>
        </w:tc>
        <w:tc>
          <w:tcPr>
            <w:tcW w:w="1170" w:type="dxa"/>
            <w:vAlign w:val="center"/>
          </w:tcPr>
          <w:p w14:paraId="2386C952">
            <w:pPr>
              <w:pStyle w:val="31"/>
              <w:rPr>
                <w:rFonts w:hAnsi="宋体" w:cs="宋体"/>
                <w:snapToGrid w:val="0"/>
                <w:color w:val="000000"/>
                <w:kern w:val="21"/>
                <w:sz w:val="21"/>
              </w:rPr>
            </w:pPr>
          </w:p>
        </w:tc>
        <w:tc>
          <w:tcPr>
            <w:tcW w:w="1701" w:type="dxa"/>
            <w:vAlign w:val="center"/>
          </w:tcPr>
          <w:p w14:paraId="3AF9D401">
            <w:pPr>
              <w:pStyle w:val="31"/>
              <w:rPr>
                <w:sz w:val="21"/>
              </w:rPr>
            </w:pPr>
          </w:p>
        </w:tc>
        <w:tc>
          <w:tcPr>
            <w:tcW w:w="1688" w:type="dxa"/>
            <w:vAlign w:val="center"/>
          </w:tcPr>
          <w:p w14:paraId="7B76732B">
            <w:pPr>
              <w:pStyle w:val="31"/>
              <w:rPr>
                <w:sz w:val="21"/>
              </w:rPr>
            </w:pPr>
            <w:r>
              <w:rPr>
                <w:rFonts w:hint="eastAsia"/>
                <w:sz w:val="21"/>
              </w:rPr>
              <w:t>0.3</w:t>
            </w:r>
            <w:r>
              <w:rPr>
                <w:sz w:val="21"/>
              </w:rPr>
              <w:t>t/a</w:t>
            </w:r>
          </w:p>
        </w:tc>
        <w:tc>
          <w:tcPr>
            <w:tcW w:w="1773" w:type="dxa"/>
            <w:vAlign w:val="center"/>
          </w:tcPr>
          <w:p w14:paraId="6633C2C5">
            <w:pPr>
              <w:pStyle w:val="31"/>
              <w:rPr>
                <w:rFonts w:hAnsi="宋体" w:cs="宋体"/>
                <w:snapToGrid w:val="0"/>
                <w:color w:val="000000"/>
                <w:kern w:val="21"/>
                <w:sz w:val="21"/>
              </w:rPr>
            </w:pPr>
          </w:p>
        </w:tc>
        <w:tc>
          <w:tcPr>
            <w:tcW w:w="1609" w:type="dxa"/>
            <w:vAlign w:val="center"/>
          </w:tcPr>
          <w:p w14:paraId="004EE36A">
            <w:pPr>
              <w:pStyle w:val="31"/>
              <w:rPr>
                <w:sz w:val="21"/>
              </w:rPr>
            </w:pPr>
            <w:r>
              <w:rPr>
                <w:rFonts w:hint="eastAsia"/>
                <w:sz w:val="21"/>
              </w:rPr>
              <w:t>0.3</w:t>
            </w:r>
            <w:r>
              <w:rPr>
                <w:sz w:val="21"/>
              </w:rPr>
              <w:t>t/a</w:t>
            </w:r>
          </w:p>
        </w:tc>
        <w:tc>
          <w:tcPr>
            <w:tcW w:w="1035" w:type="dxa"/>
            <w:vAlign w:val="center"/>
          </w:tcPr>
          <w:p w14:paraId="6897E573">
            <w:pPr>
              <w:pStyle w:val="31"/>
              <w:rPr>
                <w:sz w:val="21"/>
              </w:rPr>
            </w:pPr>
          </w:p>
        </w:tc>
      </w:tr>
    </w:tbl>
    <w:p w14:paraId="49A29264">
      <w:pPr>
        <w:ind w:firstLine="480"/>
        <w:jc w:val="left"/>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p w14:paraId="7219942B">
      <w:pPr>
        <w:ind w:firstLine="480"/>
      </w:pPr>
    </w:p>
    <w:sectPr>
      <w:pgSz w:w="16838" w:h="11906" w:orient="landscape"/>
      <w:pgMar w:top="1417" w:right="1440" w:bottom="1247" w:left="1440" w:header="851" w:footer="992" w:gutter="0"/>
      <w:pgBorders>
        <w:top w:val="none" w:sz="0" w:space="0"/>
        <w:left w:val="none" w:sz="0" w:space="0"/>
        <w:bottom w:val="none" w:sz="0" w:space="0"/>
        <w:right w:val="none" w:sz="0" w:space="0"/>
      </w:pgBorders>
      <w:cols w:space="0" w:num="1"/>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UPC">
    <w:altName w:val="Times New Roman"/>
    <w:panose1 w:val="02020603050405020304"/>
    <w:charset w:val="00"/>
    <w:family w:val="roman"/>
    <w:pitch w:val="default"/>
    <w:sig w:usb0="00000000"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脣脦脤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293F">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25C6">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FA14">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6462">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26C034">
                          <w:pPr>
                            <w:pStyle w:val="16"/>
                            <w:ind w:firstLine="36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QnBg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ZqnB5cPACXOsaKNAs9TKTUlR6t0O7a&#10;nufOFCfQdKabE2/5pkYpW+bDPXMYDJSP1Ql3+JTSIKXpLUoq477+6z7Go1/wUtJg0HKqsVeUyA8a&#10;fQRgGAw3GLvB0Ad1azC5E6yk5cnEAxfkYJbOqC/Yp1XMARfTHJlyGgbzNnTDjn3kYrVKQQfr6n3V&#10;PcAUWha2+sHymCZK5e3qECBtUjwK1KmCTsUD5jD1rN+ZOOh/nlPU0//E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FCcGDgCAABvBAAADgAAAAAAAAABACAAAAAfAQAAZHJzL2Uyb0RvYy54&#10;bWxQSwUGAAAAAAYABgBZAQAAyQUAAAAA&#10;">
              <v:fill on="f" focussize="0,0"/>
              <v:stroke on="f" weight="0.5pt"/>
              <v:imagedata o:title=""/>
              <o:lock v:ext="edit" aspectratio="f"/>
              <v:textbox inset="0mm,0mm,0mm,0mm" style="mso-fit-shape-to-text:t;">
                <w:txbxContent>
                  <w:p w14:paraId="4126C034">
                    <w:pPr>
                      <w:pStyle w:val="16"/>
                      <w:ind w:firstLine="36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D7DF">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C175">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A97E">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7221D"/>
    <w:multiLevelType w:val="singleLevel"/>
    <w:tmpl w:val="8027221D"/>
    <w:lvl w:ilvl="0" w:tentative="0">
      <w:start w:val="1"/>
      <w:numFmt w:val="decimal"/>
      <w:suff w:val="nothing"/>
      <w:lvlText w:val="%1"/>
      <w:lvlJc w:val="left"/>
      <w:pPr>
        <w:ind w:left="0" w:firstLine="0"/>
      </w:pPr>
      <w:rPr>
        <w:rFonts w:hint="default"/>
      </w:rPr>
    </w:lvl>
  </w:abstractNum>
  <w:abstractNum w:abstractNumId="1">
    <w:nsid w:val="96249533"/>
    <w:multiLevelType w:val="singleLevel"/>
    <w:tmpl w:val="96249533"/>
    <w:lvl w:ilvl="0" w:tentative="0">
      <w:start w:val="1"/>
      <w:numFmt w:val="decimal"/>
      <w:suff w:val="nothing"/>
      <w:lvlText w:val="%1、"/>
      <w:lvlJc w:val="left"/>
    </w:lvl>
  </w:abstractNum>
  <w:abstractNum w:abstractNumId="2">
    <w:nsid w:val="A9354FC9"/>
    <w:multiLevelType w:val="singleLevel"/>
    <w:tmpl w:val="A9354FC9"/>
    <w:lvl w:ilvl="0" w:tentative="0">
      <w:start w:val="1"/>
      <w:numFmt w:val="chineseCounting"/>
      <w:suff w:val="nothing"/>
      <w:lvlText w:val="%1、"/>
      <w:lvlJc w:val="left"/>
      <w:rPr>
        <w:rFonts w:hint="eastAsia"/>
      </w:rPr>
    </w:lvl>
  </w:abstractNum>
  <w:abstractNum w:abstractNumId="3">
    <w:nsid w:val="BEEA04BF"/>
    <w:multiLevelType w:val="singleLevel"/>
    <w:tmpl w:val="BEEA04BF"/>
    <w:lvl w:ilvl="0" w:tentative="0">
      <w:start w:val="1"/>
      <w:numFmt w:val="decimal"/>
      <w:suff w:val="nothing"/>
      <w:lvlText w:val="%1"/>
      <w:lvlJc w:val="left"/>
      <w:pPr>
        <w:ind w:left="0" w:firstLine="0"/>
      </w:pPr>
      <w:rPr>
        <w:rFonts w:hint="default"/>
      </w:rPr>
    </w:lvl>
  </w:abstractNum>
  <w:abstractNum w:abstractNumId="4">
    <w:nsid w:val="DB708C83"/>
    <w:multiLevelType w:val="singleLevel"/>
    <w:tmpl w:val="DB708C83"/>
    <w:lvl w:ilvl="0" w:tentative="0">
      <w:start w:val="1"/>
      <w:numFmt w:val="decimal"/>
      <w:suff w:val="nothing"/>
      <w:lvlText w:val="%1、"/>
      <w:lvlJc w:val="left"/>
    </w:lvl>
  </w:abstractNum>
  <w:abstractNum w:abstractNumId="5">
    <w:nsid w:val="E3C893D3"/>
    <w:multiLevelType w:val="singleLevel"/>
    <w:tmpl w:val="E3C893D3"/>
    <w:lvl w:ilvl="0" w:tentative="0">
      <w:start w:val="7"/>
      <w:numFmt w:val="chineseCounting"/>
      <w:suff w:val="nothing"/>
      <w:lvlText w:val="%1、"/>
      <w:lvlJc w:val="left"/>
      <w:rPr>
        <w:rFonts w:hint="eastAsia"/>
      </w:rPr>
    </w:lvl>
  </w:abstractNum>
  <w:abstractNum w:abstractNumId="6">
    <w:nsid w:val="F2C13671"/>
    <w:multiLevelType w:val="singleLevel"/>
    <w:tmpl w:val="F2C13671"/>
    <w:lvl w:ilvl="0" w:tentative="0">
      <w:start w:val="2"/>
      <w:numFmt w:val="decimal"/>
      <w:suff w:val="nothing"/>
      <w:lvlText w:val="（%1）"/>
      <w:lvlJc w:val="left"/>
    </w:lvl>
  </w:abstractNum>
  <w:abstractNum w:abstractNumId="7">
    <w:nsid w:val="05D41D77"/>
    <w:multiLevelType w:val="singleLevel"/>
    <w:tmpl w:val="05D41D77"/>
    <w:lvl w:ilvl="0" w:tentative="0">
      <w:start w:val="1"/>
      <w:numFmt w:val="lowerLetter"/>
      <w:suff w:val="nothing"/>
      <w:lvlText w:val="%1、"/>
      <w:lvlJc w:val="left"/>
    </w:lvl>
  </w:abstractNum>
  <w:abstractNum w:abstractNumId="8">
    <w:nsid w:val="25411C74"/>
    <w:multiLevelType w:val="singleLevel"/>
    <w:tmpl w:val="25411C74"/>
    <w:lvl w:ilvl="0" w:tentative="0">
      <w:start w:val="7"/>
      <w:numFmt w:val="decimal"/>
      <w:suff w:val="nothing"/>
      <w:lvlText w:val="（%1）"/>
      <w:lvlJc w:val="left"/>
    </w:lvl>
  </w:abstractNum>
  <w:abstractNum w:abstractNumId="9">
    <w:nsid w:val="2914B642"/>
    <w:multiLevelType w:val="singleLevel"/>
    <w:tmpl w:val="2914B642"/>
    <w:lvl w:ilvl="0" w:tentative="0">
      <w:start w:val="1"/>
      <w:numFmt w:val="decimal"/>
      <w:suff w:val="nothing"/>
      <w:lvlText w:val="%1、"/>
      <w:lvlJc w:val="left"/>
    </w:lvl>
  </w:abstractNum>
  <w:abstractNum w:abstractNumId="10">
    <w:nsid w:val="34FF3CEA"/>
    <w:multiLevelType w:val="singleLevel"/>
    <w:tmpl w:val="34FF3CEA"/>
    <w:lvl w:ilvl="0" w:tentative="0">
      <w:start w:val="1"/>
      <w:numFmt w:val="chineseCounting"/>
      <w:suff w:val="nothing"/>
      <w:lvlText w:val="%1、"/>
      <w:lvlJc w:val="left"/>
      <w:rPr>
        <w:rFonts w:hint="eastAsia"/>
      </w:rPr>
    </w:lvl>
  </w:abstractNum>
  <w:abstractNum w:abstractNumId="11">
    <w:nsid w:val="37BD50A3"/>
    <w:multiLevelType w:val="singleLevel"/>
    <w:tmpl w:val="37BD50A3"/>
    <w:lvl w:ilvl="0" w:tentative="0">
      <w:start w:val="1"/>
      <w:numFmt w:val="decimal"/>
      <w:suff w:val="nothing"/>
      <w:lvlText w:val="%1"/>
      <w:lvlJc w:val="center"/>
      <w:pPr>
        <w:ind w:left="0" w:firstLine="0"/>
      </w:pPr>
      <w:rPr>
        <w:rFonts w:hint="default"/>
      </w:rPr>
    </w:lvl>
  </w:abstractNum>
  <w:abstractNum w:abstractNumId="12">
    <w:nsid w:val="3BA7D4C5"/>
    <w:multiLevelType w:val="singleLevel"/>
    <w:tmpl w:val="3BA7D4C5"/>
    <w:lvl w:ilvl="0" w:tentative="0">
      <w:start w:val="9"/>
      <w:numFmt w:val="decimal"/>
      <w:suff w:val="nothing"/>
      <w:lvlText w:val="%1、"/>
      <w:lvlJc w:val="left"/>
    </w:lvl>
  </w:abstractNum>
  <w:abstractNum w:abstractNumId="13">
    <w:nsid w:val="4532B5D3"/>
    <w:multiLevelType w:val="singleLevel"/>
    <w:tmpl w:val="4532B5D3"/>
    <w:lvl w:ilvl="0" w:tentative="0">
      <w:start w:val="1"/>
      <w:numFmt w:val="decimal"/>
      <w:suff w:val="nothing"/>
      <w:lvlText w:val="（%1）"/>
      <w:lvlJc w:val="left"/>
    </w:lvl>
  </w:abstractNum>
  <w:abstractNum w:abstractNumId="14">
    <w:nsid w:val="4C25D25E"/>
    <w:multiLevelType w:val="singleLevel"/>
    <w:tmpl w:val="4C25D25E"/>
    <w:lvl w:ilvl="0" w:tentative="0">
      <w:start w:val="1"/>
      <w:numFmt w:val="decimal"/>
      <w:suff w:val="nothing"/>
      <w:lvlText w:val="（%1）"/>
      <w:lvlJc w:val="left"/>
    </w:lvl>
  </w:abstractNum>
  <w:abstractNum w:abstractNumId="15">
    <w:nsid w:val="6C345434"/>
    <w:multiLevelType w:val="singleLevel"/>
    <w:tmpl w:val="6C345434"/>
    <w:lvl w:ilvl="0" w:tentative="0">
      <w:start w:val="2"/>
      <w:numFmt w:val="chineseCounting"/>
      <w:suff w:val="nothing"/>
      <w:lvlText w:val="%1、"/>
      <w:lvlJc w:val="left"/>
      <w:rPr>
        <w:rFonts w:hint="eastAsia"/>
      </w:rPr>
    </w:lvl>
  </w:abstractNum>
  <w:abstractNum w:abstractNumId="16">
    <w:nsid w:val="762A80E6"/>
    <w:multiLevelType w:val="singleLevel"/>
    <w:tmpl w:val="762A80E6"/>
    <w:lvl w:ilvl="0" w:tentative="0">
      <w:start w:val="3"/>
      <w:numFmt w:val="chineseCounting"/>
      <w:suff w:val="nothing"/>
      <w:lvlText w:val="%1、"/>
      <w:lvlJc w:val="left"/>
      <w:rPr>
        <w:rFonts w:hint="eastAsia"/>
      </w:rPr>
    </w:lvl>
  </w:abstractNum>
  <w:abstractNum w:abstractNumId="17">
    <w:nsid w:val="7902A8EF"/>
    <w:multiLevelType w:val="singleLevel"/>
    <w:tmpl w:val="7902A8EF"/>
    <w:lvl w:ilvl="0" w:tentative="0">
      <w:start w:val="1"/>
      <w:numFmt w:val="decimal"/>
      <w:suff w:val="nothing"/>
      <w:lvlText w:val="（%1）"/>
      <w:lvlJc w:val="left"/>
    </w:lvl>
  </w:abstractNum>
  <w:num w:numId="1">
    <w:abstractNumId w:val="16"/>
  </w:num>
  <w:num w:numId="2">
    <w:abstractNumId w:val="9"/>
  </w:num>
  <w:num w:numId="3">
    <w:abstractNumId w:val="1"/>
  </w:num>
  <w:num w:numId="4">
    <w:abstractNumId w:val="15"/>
  </w:num>
  <w:num w:numId="5">
    <w:abstractNumId w:val="2"/>
  </w:num>
  <w:num w:numId="6">
    <w:abstractNumId w:val="14"/>
  </w:num>
  <w:num w:numId="7">
    <w:abstractNumId w:val="11"/>
  </w:num>
  <w:num w:numId="8">
    <w:abstractNumId w:val="12"/>
  </w:num>
  <w:num w:numId="9">
    <w:abstractNumId w:val="3"/>
  </w:num>
  <w:num w:numId="10">
    <w:abstractNumId w:val="6"/>
  </w:num>
  <w:num w:numId="11">
    <w:abstractNumId w:val="17"/>
  </w:num>
  <w:num w:numId="12">
    <w:abstractNumId w:val="8"/>
  </w:num>
  <w:num w:numId="13">
    <w:abstractNumId w:val="10"/>
  </w:num>
  <w:num w:numId="14">
    <w:abstractNumId w:val="13"/>
  </w:num>
  <w:num w:numId="15">
    <w:abstractNumId w:val="4"/>
  </w:num>
  <w:num w:numId="16">
    <w:abstractNumId w:val="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65"/>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GE0ZTFlZjI5YzdlZDc4YmNjMmJiMWZhMWRkYzgifQ=="/>
  </w:docVars>
  <w:rsids>
    <w:rsidRoot w:val="00172A27"/>
    <w:rsid w:val="00012398"/>
    <w:rsid w:val="0001325C"/>
    <w:rsid w:val="000164BA"/>
    <w:rsid w:val="00052435"/>
    <w:rsid w:val="00094CC3"/>
    <w:rsid w:val="00103D8E"/>
    <w:rsid w:val="00116AA4"/>
    <w:rsid w:val="001379A6"/>
    <w:rsid w:val="00150A0B"/>
    <w:rsid w:val="00153AA6"/>
    <w:rsid w:val="00172A27"/>
    <w:rsid w:val="00185428"/>
    <w:rsid w:val="001929BE"/>
    <w:rsid w:val="00194A7A"/>
    <w:rsid w:val="00195630"/>
    <w:rsid w:val="001C2E22"/>
    <w:rsid w:val="001E53B2"/>
    <w:rsid w:val="001F1D2C"/>
    <w:rsid w:val="0020011B"/>
    <w:rsid w:val="002027AF"/>
    <w:rsid w:val="002178FC"/>
    <w:rsid w:val="002612A8"/>
    <w:rsid w:val="00291E46"/>
    <w:rsid w:val="002C51E6"/>
    <w:rsid w:val="002F1F00"/>
    <w:rsid w:val="002F782E"/>
    <w:rsid w:val="003001CA"/>
    <w:rsid w:val="00307403"/>
    <w:rsid w:val="00317F04"/>
    <w:rsid w:val="00335917"/>
    <w:rsid w:val="0035166A"/>
    <w:rsid w:val="003625C1"/>
    <w:rsid w:val="003728FD"/>
    <w:rsid w:val="003A6B66"/>
    <w:rsid w:val="003B3AC4"/>
    <w:rsid w:val="003C3060"/>
    <w:rsid w:val="003C3F17"/>
    <w:rsid w:val="003E0DF7"/>
    <w:rsid w:val="004079E3"/>
    <w:rsid w:val="0042218D"/>
    <w:rsid w:val="004474DF"/>
    <w:rsid w:val="00494407"/>
    <w:rsid w:val="00494EC9"/>
    <w:rsid w:val="004E2E51"/>
    <w:rsid w:val="004F2F4D"/>
    <w:rsid w:val="004F6F90"/>
    <w:rsid w:val="00515A47"/>
    <w:rsid w:val="00522404"/>
    <w:rsid w:val="00536724"/>
    <w:rsid w:val="00555B24"/>
    <w:rsid w:val="0057550C"/>
    <w:rsid w:val="00583582"/>
    <w:rsid w:val="005837C6"/>
    <w:rsid w:val="00595A50"/>
    <w:rsid w:val="005D4665"/>
    <w:rsid w:val="006108CA"/>
    <w:rsid w:val="00611886"/>
    <w:rsid w:val="00621AF5"/>
    <w:rsid w:val="006674DD"/>
    <w:rsid w:val="00681FC3"/>
    <w:rsid w:val="00687139"/>
    <w:rsid w:val="00696D48"/>
    <w:rsid w:val="006A3E31"/>
    <w:rsid w:val="006B2EFF"/>
    <w:rsid w:val="006E5082"/>
    <w:rsid w:val="006E6810"/>
    <w:rsid w:val="006E6DF5"/>
    <w:rsid w:val="006F32FE"/>
    <w:rsid w:val="006F7349"/>
    <w:rsid w:val="00704BC2"/>
    <w:rsid w:val="007147A3"/>
    <w:rsid w:val="00722D8E"/>
    <w:rsid w:val="00734247"/>
    <w:rsid w:val="00755F29"/>
    <w:rsid w:val="00766EF9"/>
    <w:rsid w:val="0077212B"/>
    <w:rsid w:val="00780EB8"/>
    <w:rsid w:val="00795DE4"/>
    <w:rsid w:val="007A1706"/>
    <w:rsid w:val="007A3406"/>
    <w:rsid w:val="008C0313"/>
    <w:rsid w:val="008D4929"/>
    <w:rsid w:val="008D4EF8"/>
    <w:rsid w:val="008E1C48"/>
    <w:rsid w:val="008E702E"/>
    <w:rsid w:val="00904D78"/>
    <w:rsid w:val="009225FD"/>
    <w:rsid w:val="00930831"/>
    <w:rsid w:val="00936BC5"/>
    <w:rsid w:val="009402DF"/>
    <w:rsid w:val="009766AB"/>
    <w:rsid w:val="009813FC"/>
    <w:rsid w:val="009E2D09"/>
    <w:rsid w:val="00A10198"/>
    <w:rsid w:val="00A136AC"/>
    <w:rsid w:val="00A43D23"/>
    <w:rsid w:val="00A458CB"/>
    <w:rsid w:val="00A5380F"/>
    <w:rsid w:val="00A67FEF"/>
    <w:rsid w:val="00A83561"/>
    <w:rsid w:val="00AF1302"/>
    <w:rsid w:val="00B02456"/>
    <w:rsid w:val="00B2712E"/>
    <w:rsid w:val="00B353B9"/>
    <w:rsid w:val="00B40E0E"/>
    <w:rsid w:val="00B43243"/>
    <w:rsid w:val="00B63C0A"/>
    <w:rsid w:val="00B81B84"/>
    <w:rsid w:val="00B862B1"/>
    <w:rsid w:val="00B96750"/>
    <w:rsid w:val="00BC57CD"/>
    <w:rsid w:val="00BD3A67"/>
    <w:rsid w:val="00C009C4"/>
    <w:rsid w:val="00C14B91"/>
    <w:rsid w:val="00C202A0"/>
    <w:rsid w:val="00C419E4"/>
    <w:rsid w:val="00C6664C"/>
    <w:rsid w:val="00C71F7D"/>
    <w:rsid w:val="00D32D43"/>
    <w:rsid w:val="00D33480"/>
    <w:rsid w:val="00D378BB"/>
    <w:rsid w:val="00D50631"/>
    <w:rsid w:val="00D539E9"/>
    <w:rsid w:val="00D74414"/>
    <w:rsid w:val="00D77071"/>
    <w:rsid w:val="00D91EDB"/>
    <w:rsid w:val="00D920B7"/>
    <w:rsid w:val="00DC69DB"/>
    <w:rsid w:val="00DD23EC"/>
    <w:rsid w:val="00DD48DA"/>
    <w:rsid w:val="00DD7078"/>
    <w:rsid w:val="00DD75D2"/>
    <w:rsid w:val="00E051E8"/>
    <w:rsid w:val="00E42E54"/>
    <w:rsid w:val="00E509F6"/>
    <w:rsid w:val="00E872DD"/>
    <w:rsid w:val="00EA09E7"/>
    <w:rsid w:val="00ED0E1E"/>
    <w:rsid w:val="00ED744B"/>
    <w:rsid w:val="00EF4B12"/>
    <w:rsid w:val="00F112BC"/>
    <w:rsid w:val="00F41203"/>
    <w:rsid w:val="00F56AAC"/>
    <w:rsid w:val="00F75EB0"/>
    <w:rsid w:val="00F76CE8"/>
    <w:rsid w:val="00F82C24"/>
    <w:rsid w:val="00F922D0"/>
    <w:rsid w:val="00FC49AE"/>
    <w:rsid w:val="00FD3013"/>
    <w:rsid w:val="00FE742B"/>
    <w:rsid w:val="00FF034D"/>
    <w:rsid w:val="01094653"/>
    <w:rsid w:val="01222647"/>
    <w:rsid w:val="01382BF0"/>
    <w:rsid w:val="014E1E5B"/>
    <w:rsid w:val="01626374"/>
    <w:rsid w:val="016921B4"/>
    <w:rsid w:val="016F283F"/>
    <w:rsid w:val="01751F17"/>
    <w:rsid w:val="017743AA"/>
    <w:rsid w:val="018801D5"/>
    <w:rsid w:val="01937C5A"/>
    <w:rsid w:val="019C0886"/>
    <w:rsid w:val="019E0DBA"/>
    <w:rsid w:val="019F1377"/>
    <w:rsid w:val="01AD71CF"/>
    <w:rsid w:val="01AE15BA"/>
    <w:rsid w:val="01AF4385"/>
    <w:rsid w:val="01B91D0C"/>
    <w:rsid w:val="01CC0126"/>
    <w:rsid w:val="01D10A46"/>
    <w:rsid w:val="01DB6CBE"/>
    <w:rsid w:val="01E23011"/>
    <w:rsid w:val="01FA3CD0"/>
    <w:rsid w:val="0204742C"/>
    <w:rsid w:val="020C6BE0"/>
    <w:rsid w:val="0214120C"/>
    <w:rsid w:val="0218342E"/>
    <w:rsid w:val="02223D56"/>
    <w:rsid w:val="023021DE"/>
    <w:rsid w:val="02383DEC"/>
    <w:rsid w:val="02421D02"/>
    <w:rsid w:val="02440BE5"/>
    <w:rsid w:val="025236AD"/>
    <w:rsid w:val="025603E4"/>
    <w:rsid w:val="026377F9"/>
    <w:rsid w:val="026B29E8"/>
    <w:rsid w:val="02706ACE"/>
    <w:rsid w:val="02724B63"/>
    <w:rsid w:val="028D5673"/>
    <w:rsid w:val="02A14EBF"/>
    <w:rsid w:val="02AB5AF9"/>
    <w:rsid w:val="02B874F2"/>
    <w:rsid w:val="02BB4052"/>
    <w:rsid w:val="02C24BF1"/>
    <w:rsid w:val="02C8548C"/>
    <w:rsid w:val="02D1459E"/>
    <w:rsid w:val="02D21B2C"/>
    <w:rsid w:val="02D36DFE"/>
    <w:rsid w:val="02E4100B"/>
    <w:rsid w:val="02EE59E6"/>
    <w:rsid w:val="02FD707B"/>
    <w:rsid w:val="02FF0623"/>
    <w:rsid w:val="03090590"/>
    <w:rsid w:val="030C28EB"/>
    <w:rsid w:val="031504BA"/>
    <w:rsid w:val="03180BAF"/>
    <w:rsid w:val="031D6180"/>
    <w:rsid w:val="031E276F"/>
    <w:rsid w:val="032010E5"/>
    <w:rsid w:val="032A783D"/>
    <w:rsid w:val="032B7D16"/>
    <w:rsid w:val="0340173B"/>
    <w:rsid w:val="03412A4E"/>
    <w:rsid w:val="03451AAA"/>
    <w:rsid w:val="03455F4E"/>
    <w:rsid w:val="03463A74"/>
    <w:rsid w:val="034D1CC8"/>
    <w:rsid w:val="03681C3C"/>
    <w:rsid w:val="0371289F"/>
    <w:rsid w:val="03795BF7"/>
    <w:rsid w:val="038145B8"/>
    <w:rsid w:val="038D3451"/>
    <w:rsid w:val="03A2195D"/>
    <w:rsid w:val="03AC683A"/>
    <w:rsid w:val="03B77AAE"/>
    <w:rsid w:val="03C07752"/>
    <w:rsid w:val="03C1581A"/>
    <w:rsid w:val="03C76F67"/>
    <w:rsid w:val="03DE5A5A"/>
    <w:rsid w:val="03E2177F"/>
    <w:rsid w:val="03F359AA"/>
    <w:rsid w:val="03F434D0"/>
    <w:rsid w:val="03F93111"/>
    <w:rsid w:val="04096FAB"/>
    <w:rsid w:val="040C25C7"/>
    <w:rsid w:val="040D6C42"/>
    <w:rsid w:val="041453BA"/>
    <w:rsid w:val="04267EBE"/>
    <w:rsid w:val="04330882"/>
    <w:rsid w:val="04357D70"/>
    <w:rsid w:val="04384B84"/>
    <w:rsid w:val="043B2929"/>
    <w:rsid w:val="0442248D"/>
    <w:rsid w:val="044E0E32"/>
    <w:rsid w:val="044E6A6A"/>
    <w:rsid w:val="04533D1D"/>
    <w:rsid w:val="04597EC1"/>
    <w:rsid w:val="04675A50"/>
    <w:rsid w:val="0486237A"/>
    <w:rsid w:val="048760F2"/>
    <w:rsid w:val="04881797"/>
    <w:rsid w:val="048C3708"/>
    <w:rsid w:val="048E56D2"/>
    <w:rsid w:val="049E507F"/>
    <w:rsid w:val="04A47E0C"/>
    <w:rsid w:val="04BD1B14"/>
    <w:rsid w:val="04BD7D66"/>
    <w:rsid w:val="04DA4474"/>
    <w:rsid w:val="04DB4752"/>
    <w:rsid w:val="04DC5518"/>
    <w:rsid w:val="04E15802"/>
    <w:rsid w:val="04E25998"/>
    <w:rsid w:val="04E62E18"/>
    <w:rsid w:val="04E91253"/>
    <w:rsid w:val="04F71432"/>
    <w:rsid w:val="04FB1C82"/>
    <w:rsid w:val="050E2D44"/>
    <w:rsid w:val="05192DC8"/>
    <w:rsid w:val="052209BB"/>
    <w:rsid w:val="05287120"/>
    <w:rsid w:val="052B5FB7"/>
    <w:rsid w:val="052F0C7B"/>
    <w:rsid w:val="054162A1"/>
    <w:rsid w:val="05441820"/>
    <w:rsid w:val="055314AE"/>
    <w:rsid w:val="055A54B2"/>
    <w:rsid w:val="0569644F"/>
    <w:rsid w:val="05726DA2"/>
    <w:rsid w:val="057E74F5"/>
    <w:rsid w:val="057F0844"/>
    <w:rsid w:val="058141B0"/>
    <w:rsid w:val="058270AD"/>
    <w:rsid w:val="058663AA"/>
    <w:rsid w:val="05885D0E"/>
    <w:rsid w:val="058C7E64"/>
    <w:rsid w:val="05942874"/>
    <w:rsid w:val="05A30134"/>
    <w:rsid w:val="05A3301E"/>
    <w:rsid w:val="05AE2707"/>
    <w:rsid w:val="05B9677F"/>
    <w:rsid w:val="05CD222A"/>
    <w:rsid w:val="05CF75D0"/>
    <w:rsid w:val="05D830A9"/>
    <w:rsid w:val="05ED5D2D"/>
    <w:rsid w:val="05F45A09"/>
    <w:rsid w:val="05F73436"/>
    <w:rsid w:val="05FD3CED"/>
    <w:rsid w:val="06007F0A"/>
    <w:rsid w:val="060E6095"/>
    <w:rsid w:val="0615624E"/>
    <w:rsid w:val="061B4D44"/>
    <w:rsid w:val="0624009C"/>
    <w:rsid w:val="06255E8C"/>
    <w:rsid w:val="062D2AF2"/>
    <w:rsid w:val="06352BEE"/>
    <w:rsid w:val="06375097"/>
    <w:rsid w:val="06394689"/>
    <w:rsid w:val="06404840"/>
    <w:rsid w:val="0642181B"/>
    <w:rsid w:val="06494EFE"/>
    <w:rsid w:val="064A73D7"/>
    <w:rsid w:val="064C75F3"/>
    <w:rsid w:val="064E08B6"/>
    <w:rsid w:val="064F49ED"/>
    <w:rsid w:val="065A0DDD"/>
    <w:rsid w:val="066451B9"/>
    <w:rsid w:val="066A7AB7"/>
    <w:rsid w:val="066B5C23"/>
    <w:rsid w:val="066B5CCB"/>
    <w:rsid w:val="0680104B"/>
    <w:rsid w:val="068723D9"/>
    <w:rsid w:val="068E19BA"/>
    <w:rsid w:val="06935222"/>
    <w:rsid w:val="06A74095"/>
    <w:rsid w:val="06AA3A47"/>
    <w:rsid w:val="06B4482C"/>
    <w:rsid w:val="06B62CBE"/>
    <w:rsid w:val="06D01FD2"/>
    <w:rsid w:val="06D46FA2"/>
    <w:rsid w:val="06D80E87"/>
    <w:rsid w:val="06DB72FB"/>
    <w:rsid w:val="06EA1C5E"/>
    <w:rsid w:val="070B2C3A"/>
    <w:rsid w:val="070F7027"/>
    <w:rsid w:val="071241F8"/>
    <w:rsid w:val="0724095D"/>
    <w:rsid w:val="07241794"/>
    <w:rsid w:val="072D2F81"/>
    <w:rsid w:val="072D33B4"/>
    <w:rsid w:val="073244A9"/>
    <w:rsid w:val="073360BD"/>
    <w:rsid w:val="073C6ACE"/>
    <w:rsid w:val="07501C58"/>
    <w:rsid w:val="075E138C"/>
    <w:rsid w:val="0768220B"/>
    <w:rsid w:val="07706714"/>
    <w:rsid w:val="079A6684"/>
    <w:rsid w:val="07A07BF6"/>
    <w:rsid w:val="07A3555D"/>
    <w:rsid w:val="07AB20F7"/>
    <w:rsid w:val="07AC659B"/>
    <w:rsid w:val="07B81BFB"/>
    <w:rsid w:val="07B9761C"/>
    <w:rsid w:val="07BB058C"/>
    <w:rsid w:val="07C027AA"/>
    <w:rsid w:val="07C1191B"/>
    <w:rsid w:val="07C37441"/>
    <w:rsid w:val="07C62403"/>
    <w:rsid w:val="07E6312F"/>
    <w:rsid w:val="07E65A40"/>
    <w:rsid w:val="07ED0F86"/>
    <w:rsid w:val="07F10452"/>
    <w:rsid w:val="08096063"/>
    <w:rsid w:val="080A1514"/>
    <w:rsid w:val="08107840"/>
    <w:rsid w:val="081417C8"/>
    <w:rsid w:val="08236132"/>
    <w:rsid w:val="0827362C"/>
    <w:rsid w:val="082C6D12"/>
    <w:rsid w:val="084016FF"/>
    <w:rsid w:val="085E53BC"/>
    <w:rsid w:val="08602BF7"/>
    <w:rsid w:val="0860626E"/>
    <w:rsid w:val="0867772C"/>
    <w:rsid w:val="086A1FB2"/>
    <w:rsid w:val="086E6400"/>
    <w:rsid w:val="087008F5"/>
    <w:rsid w:val="08712E62"/>
    <w:rsid w:val="087D106A"/>
    <w:rsid w:val="088272FC"/>
    <w:rsid w:val="089D7C92"/>
    <w:rsid w:val="089E3A0A"/>
    <w:rsid w:val="08A0256B"/>
    <w:rsid w:val="08AD3FC6"/>
    <w:rsid w:val="08B5322E"/>
    <w:rsid w:val="08B66FA6"/>
    <w:rsid w:val="08BB283F"/>
    <w:rsid w:val="08BF1B87"/>
    <w:rsid w:val="08C73242"/>
    <w:rsid w:val="08C7704F"/>
    <w:rsid w:val="08CD6ED4"/>
    <w:rsid w:val="08CF1E16"/>
    <w:rsid w:val="08D12032"/>
    <w:rsid w:val="08D50FE1"/>
    <w:rsid w:val="08D572C2"/>
    <w:rsid w:val="08D86F1C"/>
    <w:rsid w:val="08DA6F41"/>
    <w:rsid w:val="08E43B13"/>
    <w:rsid w:val="08FA1588"/>
    <w:rsid w:val="090B10A0"/>
    <w:rsid w:val="091C14FF"/>
    <w:rsid w:val="09296AD3"/>
    <w:rsid w:val="092D294D"/>
    <w:rsid w:val="092F5828"/>
    <w:rsid w:val="0936095B"/>
    <w:rsid w:val="093F2FEA"/>
    <w:rsid w:val="094145E1"/>
    <w:rsid w:val="09473E23"/>
    <w:rsid w:val="094E7387"/>
    <w:rsid w:val="09523172"/>
    <w:rsid w:val="09532A47"/>
    <w:rsid w:val="095F763D"/>
    <w:rsid w:val="096F74B4"/>
    <w:rsid w:val="097C7B95"/>
    <w:rsid w:val="097E5D15"/>
    <w:rsid w:val="09842C00"/>
    <w:rsid w:val="09867551"/>
    <w:rsid w:val="098C4289"/>
    <w:rsid w:val="098F7F23"/>
    <w:rsid w:val="09B1128E"/>
    <w:rsid w:val="09BB5BCC"/>
    <w:rsid w:val="09BE4364"/>
    <w:rsid w:val="09BE5E69"/>
    <w:rsid w:val="09C97BCE"/>
    <w:rsid w:val="09CF031F"/>
    <w:rsid w:val="09F31EAA"/>
    <w:rsid w:val="0A07477F"/>
    <w:rsid w:val="0A1421D6"/>
    <w:rsid w:val="0A157CFC"/>
    <w:rsid w:val="0A193C90"/>
    <w:rsid w:val="0A1C4044"/>
    <w:rsid w:val="0A2460B7"/>
    <w:rsid w:val="0A25017F"/>
    <w:rsid w:val="0A250B6A"/>
    <w:rsid w:val="0A301B21"/>
    <w:rsid w:val="0A375EC4"/>
    <w:rsid w:val="0A4467A9"/>
    <w:rsid w:val="0A4674CA"/>
    <w:rsid w:val="0A5D5410"/>
    <w:rsid w:val="0A5E4C67"/>
    <w:rsid w:val="0A615801"/>
    <w:rsid w:val="0A617C84"/>
    <w:rsid w:val="0A643A92"/>
    <w:rsid w:val="0A7C15AC"/>
    <w:rsid w:val="0A7E3AF3"/>
    <w:rsid w:val="0A8235E3"/>
    <w:rsid w:val="0A8C7FBE"/>
    <w:rsid w:val="0A905DA4"/>
    <w:rsid w:val="0A9B3E0D"/>
    <w:rsid w:val="0AA74DF8"/>
    <w:rsid w:val="0AAC29D5"/>
    <w:rsid w:val="0AB707AA"/>
    <w:rsid w:val="0ABA5BB7"/>
    <w:rsid w:val="0ABF5A10"/>
    <w:rsid w:val="0AC51D55"/>
    <w:rsid w:val="0ACE4A7B"/>
    <w:rsid w:val="0AEA4BAD"/>
    <w:rsid w:val="0AED4AF2"/>
    <w:rsid w:val="0AF0679F"/>
    <w:rsid w:val="0AFC5F5F"/>
    <w:rsid w:val="0B0E321B"/>
    <w:rsid w:val="0B0E4E77"/>
    <w:rsid w:val="0B101FC7"/>
    <w:rsid w:val="0B185CF6"/>
    <w:rsid w:val="0B224DC6"/>
    <w:rsid w:val="0B251306"/>
    <w:rsid w:val="0B283352"/>
    <w:rsid w:val="0B3011FA"/>
    <w:rsid w:val="0B316DB7"/>
    <w:rsid w:val="0B34459F"/>
    <w:rsid w:val="0B382F16"/>
    <w:rsid w:val="0B3A3331"/>
    <w:rsid w:val="0B3E11A0"/>
    <w:rsid w:val="0B3F3282"/>
    <w:rsid w:val="0B45543D"/>
    <w:rsid w:val="0B466943"/>
    <w:rsid w:val="0B477318"/>
    <w:rsid w:val="0B5D7BAD"/>
    <w:rsid w:val="0B73117E"/>
    <w:rsid w:val="0B8F5F4C"/>
    <w:rsid w:val="0B990497"/>
    <w:rsid w:val="0B9D425E"/>
    <w:rsid w:val="0BB102EE"/>
    <w:rsid w:val="0BBA23A8"/>
    <w:rsid w:val="0BBB4D19"/>
    <w:rsid w:val="0BE00FAB"/>
    <w:rsid w:val="0BE1258C"/>
    <w:rsid w:val="0BE430EE"/>
    <w:rsid w:val="0BE75257"/>
    <w:rsid w:val="0BF1500A"/>
    <w:rsid w:val="0C04421F"/>
    <w:rsid w:val="0C06732F"/>
    <w:rsid w:val="0C1977CA"/>
    <w:rsid w:val="0C201306"/>
    <w:rsid w:val="0C2801BA"/>
    <w:rsid w:val="0C3D1EB8"/>
    <w:rsid w:val="0C4871A5"/>
    <w:rsid w:val="0C4C2B26"/>
    <w:rsid w:val="0C4D56BA"/>
    <w:rsid w:val="0C6805B7"/>
    <w:rsid w:val="0C6831D4"/>
    <w:rsid w:val="0C686072"/>
    <w:rsid w:val="0C695621"/>
    <w:rsid w:val="0C6B2CB2"/>
    <w:rsid w:val="0C6B7072"/>
    <w:rsid w:val="0C6C5402"/>
    <w:rsid w:val="0C743400"/>
    <w:rsid w:val="0C767178"/>
    <w:rsid w:val="0C882A07"/>
    <w:rsid w:val="0C8B7C6D"/>
    <w:rsid w:val="0C8C24F7"/>
    <w:rsid w:val="0C9920F0"/>
    <w:rsid w:val="0C9A5205"/>
    <w:rsid w:val="0CA10882"/>
    <w:rsid w:val="0CA456C4"/>
    <w:rsid w:val="0CAF720A"/>
    <w:rsid w:val="0CB101B0"/>
    <w:rsid w:val="0CB22F09"/>
    <w:rsid w:val="0CB90E13"/>
    <w:rsid w:val="0CCE1DDE"/>
    <w:rsid w:val="0CCF4ADA"/>
    <w:rsid w:val="0CD914B5"/>
    <w:rsid w:val="0CD940B8"/>
    <w:rsid w:val="0CDF2F6F"/>
    <w:rsid w:val="0CE0144C"/>
    <w:rsid w:val="0CF94FFE"/>
    <w:rsid w:val="0D156991"/>
    <w:rsid w:val="0D183D8B"/>
    <w:rsid w:val="0D1E5D15"/>
    <w:rsid w:val="0D2E1801"/>
    <w:rsid w:val="0D315D4F"/>
    <w:rsid w:val="0D363846"/>
    <w:rsid w:val="0D39126B"/>
    <w:rsid w:val="0D3B203A"/>
    <w:rsid w:val="0D41785F"/>
    <w:rsid w:val="0D581EBE"/>
    <w:rsid w:val="0D5B25B4"/>
    <w:rsid w:val="0D5F7C0C"/>
    <w:rsid w:val="0D611BD6"/>
    <w:rsid w:val="0D88416D"/>
    <w:rsid w:val="0D8D045B"/>
    <w:rsid w:val="0D9C63F9"/>
    <w:rsid w:val="0DA151AB"/>
    <w:rsid w:val="0DA34D41"/>
    <w:rsid w:val="0DA562D1"/>
    <w:rsid w:val="0DA95028"/>
    <w:rsid w:val="0DAB21AA"/>
    <w:rsid w:val="0DBE5FD1"/>
    <w:rsid w:val="0DC004F7"/>
    <w:rsid w:val="0DCB498C"/>
    <w:rsid w:val="0DD423A8"/>
    <w:rsid w:val="0DD505BA"/>
    <w:rsid w:val="0DE67172"/>
    <w:rsid w:val="0DF013C7"/>
    <w:rsid w:val="0E034A3B"/>
    <w:rsid w:val="0E097B78"/>
    <w:rsid w:val="0E0D58BA"/>
    <w:rsid w:val="0E21200C"/>
    <w:rsid w:val="0E2C21E4"/>
    <w:rsid w:val="0E2D7D0A"/>
    <w:rsid w:val="0E354E3E"/>
    <w:rsid w:val="0E4C07DD"/>
    <w:rsid w:val="0E590AFF"/>
    <w:rsid w:val="0E6C0832"/>
    <w:rsid w:val="0E72571D"/>
    <w:rsid w:val="0E7B57FC"/>
    <w:rsid w:val="0E8753EB"/>
    <w:rsid w:val="0E87566C"/>
    <w:rsid w:val="0E9D2542"/>
    <w:rsid w:val="0EA64773"/>
    <w:rsid w:val="0EAA79D6"/>
    <w:rsid w:val="0EC51304"/>
    <w:rsid w:val="0ECE1026"/>
    <w:rsid w:val="0ED43D0B"/>
    <w:rsid w:val="0EDE2DB2"/>
    <w:rsid w:val="0EEE56EB"/>
    <w:rsid w:val="0EF26D17"/>
    <w:rsid w:val="0EF97BEC"/>
    <w:rsid w:val="0F012F0C"/>
    <w:rsid w:val="0F0C0111"/>
    <w:rsid w:val="0F0C0AA6"/>
    <w:rsid w:val="0F114D4E"/>
    <w:rsid w:val="0F140720"/>
    <w:rsid w:val="0F142371"/>
    <w:rsid w:val="0F182768"/>
    <w:rsid w:val="0F2729AB"/>
    <w:rsid w:val="0F275A2B"/>
    <w:rsid w:val="0F306AF8"/>
    <w:rsid w:val="0F320D99"/>
    <w:rsid w:val="0F3B6457"/>
    <w:rsid w:val="0F3D6690"/>
    <w:rsid w:val="0F44355D"/>
    <w:rsid w:val="0F492922"/>
    <w:rsid w:val="0F4E618A"/>
    <w:rsid w:val="0F5C0683"/>
    <w:rsid w:val="0F5D0B31"/>
    <w:rsid w:val="0F5E2257"/>
    <w:rsid w:val="0F696B20"/>
    <w:rsid w:val="0F704352"/>
    <w:rsid w:val="0F7F6343"/>
    <w:rsid w:val="0F803E6A"/>
    <w:rsid w:val="0F8C688E"/>
    <w:rsid w:val="0F8D4999"/>
    <w:rsid w:val="0F957C55"/>
    <w:rsid w:val="0FA27567"/>
    <w:rsid w:val="0FA318B0"/>
    <w:rsid w:val="0FA826FB"/>
    <w:rsid w:val="0FA939EF"/>
    <w:rsid w:val="0FAD1102"/>
    <w:rsid w:val="0FC70456"/>
    <w:rsid w:val="0FC91CB4"/>
    <w:rsid w:val="0FCE0890"/>
    <w:rsid w:val="0FD20B69"/>
    <w:rsid w:val="0FD541B5"/>
    <w:rsid w:val="0FD7617F"/>
    <w:rsid w:val="0FDA7A1E"/>
    <w:rsid w:val="0FDD12BC"/>
    <w:rsid w:val="0FE10DAC"/>
    <w:rsid w:val="0FE40F4D"/>
    <w:rsid w:val="0FE96380"/>
    <w:rsid w:val="0FF903AE"/>
    <w:rsid w:val="0FFE1A91"/>
    <w:rsid w:val="10014FAA"/>
    <w:rsid w:val="10115B2E"/>
    <w:rsid w:val="101C5002"/>
    <w:rsid w:val="101E3E72"/>
    <w:rsid w:val="103319CE"/>
    <w:rsid w:val="104B091B"/>
    <w:rsid w:val="10501A8E"/>
    <w:rsid w:val="10505F32"/>
    <w:rsid w:val="10520783"/>
    <w:rsid w:val="10574571"/>
    <w:rsid w:val="105A48F7"/>
    <w:rsid w:val="105C3776"/>
    <w:rsid w:val="10640EFB"/>
    <w:rsid w:val="106736E8"/>
    <w:rsid w:val="106F0166"/>
    <w:rsid w:val="1076252D"/>
    <w:rsid w:val="10804E89"/>
    <w:rsid w:val="10822944"/>
    <w:rsid w:val="108654B0"/>
    <w:rsid w:val="109439A6"/>
    <w:rsid w:val="10950BCF"/>
    <w:rsid w:val="10A25EDC"/>
    <w:rsid w:val="10A5627E"/>
    <w:rsid w:val="10AE6EF5"/>
    <w:rsid w:val="10B72097"/>
    <w:rsid w:val="10BB2BFE"/>
    <w:rsid w:val="10BE4C5C"/>
    <w:rsid w:val="10C20BDE"/>
    <w:rsid w:val="10CA27EF"/>
    <w:rsid w:val="10D839F8"/>
    <w:rsid w:val="10E32311"/>
    <w:rsid w:val="10E74DB7"/>
    <w:rsid w:val="11043726"/>
    <w:rsid w:val="111B309C"/>
    <w:rsid w:val="111F7DDE"/>
    <w:rsid w:val="1139399E"/>
    <w:rsid w:val="113F59E7"/>
    <w:rsid w:val="117516B7"/>
    <w:rsid w:val="117E5382"/>
    <w:rsid w:val="118C4D48"/>
    <w:rsid w:val="11A61F2A"/>
    <w:rsid w:val="11A622AD"/>
    <w:rsid w:val="11A9086D"/>
    <w:rsid w:val="11AC3CD9"/>
    <w:rsid w:val="11BA18B5"/>
    <w:rsid w:val="11BC2742"/>
    <w:rsid w:val="11C049F1"/>
    <w:rsid w:val="11C27E21"/>
    <w:rsid w:val="11DB4002"/>
    <w:rsid w:val="11E46830"/>
    <w:rsid w:val="11F428F3"/>
    <w:rsid w:val="11F528ED"/>
    <w:rsid w:val="121A2D58"/>
    <w:rsid w:val="123115A4"/>
    <w:rsid w:val="12311946"/>
    <w:rsid w:val="123258EF"/>
    <w:rsid w:val="123F1DBA"/>
    <w:rsid w:val="12405285"/>
    <w:rsid w:val="12517435"/>
    <w:rsid w:val="12632DCE"/>
    <w:rsid w:val="12704477"/>
    <w:rsid w:val="12753A2E"/>
    <w:rsid w:val="127740B9"/>
    <w:rsid w:val="127E6E6D"/>
    <w:rsid w:val="12810624"/>
    <w:rsid w:val="12832C5F"/>
    <w:rsid w:val="128B1E91"/>
    <w:rsid w:val="12993BC0"/>
    <w:rsid w:val="12B92E4C"/>
    <w:rsid w:val="12C31B2A"/>
    <w:rsid w:val="12C73229"/>
    <w:rsid w:val="12D544CC"/>
    <w:rsid w:val="12D9220E"/>
    <w:rsid w:val="12DA1AE3"/>
    <w:rsid w:val="12DE06AF"/>
    <w:rsid w:val="12E7492B"/>
    <w:rsid w:val="12EC6FD6"/>
    <w:rsid w:val="12F2507E"/>
    <w:rsid w:val="13021765"/>
    <w:rsid w:val="13031039"/>
    <w:rsid w:val="130433D4"/>
    <w:rsid w:val="13103E92"/>
    <w:rsid w:val="131D659F"/>
    <w:rsid w:val="133036BD"/>
    <w:rsid w:val="13392CAD"/>
    <w:rsid w:val="133F4252"/>
    <w:rsid w:val="13400D63"/>
    <w:rsid w:val="13423F88"/>
    <w:rsid w:val="13444CE1"/>
    <w:rsid w:val="13517FF7"/>
    <w:rsid w:val="135233E2"/>
    <w:rsid w:val="135E173B"/>
    <w:rsid w:val="136A2E67"/>
    <w:rsid w:val="13734411"/>
    <w:rsid w:val="13752B47"/>
    <w:rsid w:val="137732B5"/>
    <w:rsid w:val="1378577E"/>
    <w:rsid w:val="13791725"/>
    <w:rsid w:val="13867665"/>
    <w:rsid w:val="138C102F"/>
    <w:rsid w:val="13911D75"/>
    <w:rsid w:val="13936861"/>
    <w:rsid w:val="13B25885"/>
    <w:rsid w:val="13B81E24"/>
    <w:rsid w:val="13C520EA"/>
    <w:rsid w:val="13C62747"/>
    <w:rsid w:val="13C7650B"/>
    <w:rsid w:val="13D70794"/>
    <w:rsid w:val="13DE7363"/>
    <w:rsid w:val="13E052A6"/>
    <w:rsid w:val="13E06DE0"/>
    <w:rsid w:val="13E72301"/>
    <w:rsid w:val="14005C98"/>
    <w:rsid w:val="14055F2A"/>
    <w:rsid w:val="14165A1E"/>
    <w:rsid w:val="142541A5"/>
    <w:rsid w:val="142676D5"/>
    <w:rsid w:val="14294892"/>
    <w:rsid w:val="142E0338"/>
    <w:rsid w:val="14394F02"/>
    <w:rsid w:val="14397409"/>
    <w:rsid w:val="143F153D"/>
    <w:rsid w:val="144508DE"/>
    <w:rsid w:val="14553860"/>
    <w:rsid w:val="145C6C53"/>
    <w:rsid w:val="14676EC5"/>
    <w:rsid w:val="14686FDA"/>
    <w:rsid w:val="146A326C"/>
    <w:rsid w:val="146D4080"/>
    <w:rsid w:val="146E6986"/>
    <w:rsid w:val="14701B4E"/>
    <w:rsid w:val="147647AC"/>
    <w:rsid w:val="14777F31"/>
    <w:rsid w:val="14785D3D"/>
    <w:rsid w:val="148166BA"/>
    <w:rsid w:val="14830684"/>
    <w:rsid w:val="14866E4C"/>
    <w:rsid w:val="14867892"/>
    <w:rsid w:val="148B4185"/>
    <w:rsid w:val="14900FF3"/>
    <w:rsid w:val="1491297E"/>
    <w:rsid w:val="1494463F"/>
    <w:rsid w:val="14966AE4"/>
    <w:rsid w:val="149D2021"/>
    <w:rsid w:val="149E54BE"/>
    <w:rsid w:val="14A00882"/>
    <w:rsid w:val="14AC5B87"/>
    <w:rsid w:val="14B35DBC"/>
    <w:rsid w:val="14B433B8"/>
    <w:rsid w:val="14C34F24"/>
    <w:rsid w:val="14C871EF"/>
    <w:rsid w:val="14CB3DD9"/>
    <w:rsid w:val="14D138EC"/>
    <w:rsid w:val="14DC1B42"/>
    <w:rsid w:val="14EF42AC"/>
    <w:rsid w:val="14F96B98"/>
    <w:rsid w:val="15082F00"/>
    <w:rsid w:val="151721AC"/>
    <w:rsid w:val="15190FB8"/>
    <w:rsid w:val="151D113D"/>
    <w:rsid w:val="151E2D06"/>
    <w:rsid w:val="15202B71"/>
    <w:rsid w:val="153656F6"/>
    <w:rsid w:val="153876C0"/>
    <w:rsid w:val="15400C78"/>
    <w:rsid w:val="154807CD"/>
    <w:rsid w:val="155344FA"/>
    <w:rsid w:val="155E2FF4"/>
    <w:rsid w:val="155F086C"/>
    <w:rsid w:val="156C736A"/>
    <w:rsid w:val="156F6CC4"/>
    <w:rsid w:val="157A5FD9"/>
    <w:rsid w:val="157D1577"/>
    <w:rsid w:val="15862695"/>
    <w:rsid w:val="159341B5"/>
    <w:rsid w:val="15A11B78"/>
    <w:rsid w:val="15A5100A"/>
    <w:rsid w:val="15B77A76"/>
    <w:rsid w:val="15D114D0"/>
    <w:rsid w:val="15D60F77"/>
    <w:rsid w:val="15D62A35"/>
    <w:rsid w:val="15DB629E"/>
    <w:rsid w:val="15E72E4C"/>
    <w:rsid w:val="15EB4733"/>
    <w:rsid w:val="15F64B4A"/>
    <w:rsid w:val="16051507"/>
    <w:rsid w:val="16057099"/>
    <w:rsid w:val="160B0931"/>
    <w:rsid w:val="16113A6D"/>
    <w:rsid w:val="1616403B"/>
    <w:rsid w:val="161733AE"/>
    <w:rsid w:val="162543A3"/>
    <w:rsid w:val="163D2AB4"/>
    <w:rsid w:val="16457E6D"/>
    <w:rsid w:val="165162F8"/>
    <w:rsid w:val="16522AF7"/>
    <w:rsid w:val="16556050"/>
    <w:rsid w:val="165711E4"/>
    <w:rsid w:val="16587911"/>
    <w:rsid w:val="165F2A2B"/>
    <w:rsid w:val="16693598"/>
    <w:rsid w:val="166B0855"/>
    <w:rsid w:val="166E7112"/>
    <w:rsid w:val="16726C02"/>
    <w:rsid w:val="16760826"/>
    <w:rsid w:val="167F5CFD"/>
    <w:rsid w:val="16881F81"/>
    <w:rsid w:val="168B1A72"/>
    <w:rsid w:val="169326D4"/>
    <w:rsid w:val="16932F85"/>
    <w:rsid w:val="16B94831"/>
    <w:rsid w:val="16BA778A"/>
    <w:rsid w:val="16BE71CB"/>
    <w:rsid w:val="16D0666A"/>
    <w:rsid w:val="16D73E12"/>
    <w:rsid w:val="16E447C0"/>
    <w:rsid w:val="16EB386F"/>
    <w:rsid w:val="16ED44DA"/>
    <w:rsid w:val="16ED67D2"/>
    <w:rsid w:val="16F07B27"/>
    <w:rsid w:val="16F659BB"/>
    <w:rsid w:val="16F70EB5"/>
    <w:rsid w:val="16FE0496"/>
    <w:rsid w:val="1703785A"/>
    <w:rsid w:val="17045105"/>
    <w:rsid w:val="17157C6B"/>
    <w:rsid w:val="171F21BA"/>
    <w:rsid w:val="17215F32"/>
    <w:rsid w:val="172D30C4"/>
    <w:rsid w:val="173B428E"/>
    <w:rsid w:val="174D29A3"/>
    <w:rsid w:val="174F2A9F"/>
    <w:rsid w:val="17506059"/>
    <w:rsid w:val="17655DBA"/>
    <w:rsid w:val="1770202B"/>
    <w:rsid w:val="1772678E"/>
    <w:rsid w:val="177E360D"/>
    <w:rsid w:val="17863BCC"/>
    <w:rsid w:val="17884203"/>
    <w:rsid w:val="17A83E58"/>
    <w:rsid w:val="17AD5E36"/>
    <w:rsid w:val="17D939B6"/>
    <w:rsid w:val="17DB75F6"/>
    <w:rsid w:val="17DD4930"/>
    <w:rsid w:val="17E23913"/>
    <w:rsid w:val="17EE4066"/>
    <w:rsid w:val="17EF6030"/>
    <w:rsid w:val="17F65611"/>
    <w:rsid w:val="17FA27F7"/>
    <w:rsid w:val="1808100F"/>
    <w:rsid w:val="180945F0"/>
    <w:rsid w:val="181742B4"/>
    <w:rsid w:val="1820443C"/>
    <w:rsid w:val="18290797"/>
    <w:rsid w:val="18441ED8"/>
    <w:rsid w:val="185D11EC"/>
    <w:rsid w:val="18644328"/>
    <w:rsid w:val="18646451"/>
    <w:rsid w:val="18700F1F"/>
    <w:rsid w:val="18787DD4"/>
    <w:rsid w:val="18802D2F"/>
    <w:rsid w:val="188108F2"/>
    <w:rsid w:val="1881339E"/>
    <w:rsid w:val="188339A6"/>
    <w:rsid w:val="18893D8F"/>
    <w:rsid w:val="188D3CEE"/>
    <w:rsid w:val="18980223"/>
    <w:rsid w:val="18A1557C"/>
    <w:rsid w:val="18B34F0B"/>
    <w:rsid w:val="18B83F2B"/>
    <w:rsid w:val="18C64FE3"/>
    <w:rsid w:val="18DF5EF3"/>
    <w:rsid w:val="18E32AAE"/>
    <w:rsid w:val="18F335F7"/>
    <w:rsid w:val="18F37120"/>
    <w:rsid w:val="190246D6"/>
    <w:rsid w:val="190F698A"/>
    <w:rsid w:val="191527B2"/>
    <w:rsid w:val="191A70DD"/>
    <w:rsid w:val="191E6BCD"/>
    <w:rsid w:val="191F5D7A"/>
    <w:rsid w:val="192F2B88"/>
    <w:rsid w:val="193F4287"/>
    <w:rsid w:val="19407488"/>
    <w:rsid w:val="1941466A"/>
    <w:rsid w:val="19535745"/>
    <w:rsid w:val="19602C5A"/>
    <w:rsid w:val="196B16E7"/>
    <w:rsid w:val="19721E2E"/>
    <w:rsid w:val="197762DD"/>
    <w:rsid w:val="198049D2"/>
    <w:rsid w:val="198A5F9A"/>
    <w:rsid w:val="1990174F"/>
    <w:rsid w:val="19911FBE"/>
    <w:rsid w:val="199646B5"/>
    <w:rsid w:val="199B0EED"/>
    <w:rsid w:val="19A03D9B"/>
    <w:rsid w:val="19A5102F"/>
    <w:rsid w:val="19B94B48"/>
    <w:rsid w:val="19BA17EA"/>
    <w:rsid w:val="19C7220C"/>
    <w:rsid w:val="19CA6D12"/>
    <w:rsid w:val="19D11DF4"/>
    <w:rsid w:val="19D259B7"/>
    <w:rsid w:val="19D70880"/>
    <w:rsid w:val="19F643E0"/>
    <w:rsid w:val="1A021B47"/>
    <w:rsid w:val="1A0246FE"/>
    <w:rsid w:val="1A12583D"/>
    <w:rsid w:val="1A160A06"/>
    <w:rsid w:val="1A2F18E9"/>
    <w:rsid w:val="1A3366A8"/>
    <w:rsid w:val="1A3D3083"/>
    <w:rsid w:val="1A420139"/>
    <w:rsid w:val="1A584361"/>
    <w:rsid w:val="1A5C35B9"/>
    <w:rsid w:val="1A61559A"/>
    <w:rsid w:val="1A7C2527"/>
    <w:rsid w:val="1A8213DE"/>
    <w:rsid w:val="1A873CF9"/>
    <w:rsid w:val="1A9E412B"/>
    <w:rsid w:val="1AA2738A"/>
    <w:rsid w:val="1AAB6C47"/>
    <w:rsid w:val="1AB0155F"/>
    <w:rsid w:val="1AB9311B"/>
    <w:rsid w:val="1AC26025"/>
    <w:rsid w:val="1AC527C1"/>
    <w:rsid w:val="1ACB068F"/>
    <w:rsid w:val="1AD75285"/>
    <w:rsid w:val="1ADC012D"/>
    <w:rsid w:val="1AE31E7C"/>
    <w:rsid w:val="1AF127BC"/>
    <w:rsid w:val="1AF37BE5"/>
    <w:rsid w:val="1AF51BB0"/>
    <w:rsid w:val="1AF61A82"/>
    <w:rsid w:val="1AF916A0"/>
    <w:rsid w:val="1AFA5418"/>
    <w:rsid w:val="1AFC5F80"/>
    <w:rsid w:val="1B097409"/>
    <w:rsid w:val="1B1F02EC"/>
    <w:rsid w:val="1B20049C"/>
    <w:rsid w:val="1B2C1329"/>
    <w:rsid w:val="1B2D6737"/>
    <w:rsid w:val="1B2E153D"/>
    <w:rsid w:val="1B397CEE"/>
    <w:rsid w:val="1B3B1CB8"/>
    <w:rsid w:val="1B4239E1"/>
    <w:rsid w:val="1B450B28"/>
    <w:rsid w:val="1B4B5C73"/>
    <w:rsid w:val="1B517E5C"/>
    <w:rsid w:val="1B5835EF"/>
    <w:rsid w:val="1B5E7699"/>
    <w:rsid w:val="1B60171F"/>
    <w:rsid w:val="1B645228"/>
    <w:rsid w:val="1B6805D3"/>
    <w:rsid w:val="1B7E146E"/>
    <w:rsid w:val="1B860A5A"/>
    <w:rsid w:val="1B961952"/>
    <w:rsid w:val="1B9E2247"/>
    <w:rsid w:val="1BAD248A"/>
    <w:rsid w:val="1BC021BE"/>
    <w:rsid w:val="1BC25F36"/>
    <w:rsid w:val="1BC27540"/>
    <w:rsid w:val="1BC3580A"/>
    <w:rsid w:val="1BC4002F"/>
    <w:rsid w:val="1BDC6BA7"/>
    <w:rsid w:val="1BDF1B77"/>
    <w:rsid w:val="1BEA74D5"/>
    <w:rsid w:val="1C0D0BCA"/>
    <w:rsid w:val="1C142509"/>
    <w:rsid w:val="1C170E68"/>
    <w:rsid w:val="1C21175D"/>
    <w:rsid w:val="1C2756AB"/>
    <w:rsid w:val="1C2A5889"/>
    <w:rsid w:val="1C3B7A96"/>
    <w:rsid w:val="1C45315A"/>
    <w:rsid w:val="1C493F61"/>
    <w:rsid w:val="1C580BF0"/>
    <w:rsid w:val="1C613BDE"/>
    <w:rsid w:val="1C7D4C51"/>
    <w:rsid w:val="1C8D78D8"/>
    <w:rsid w:val="1C925E42"/>
    <w:rsid w:val="1C9F6277"/>
    <w:rsid w:val="1CA4388D"/>
    <w:rsid w:val="1CA53E48"/>
    <w:rsid w:val="1CB078CC"/>
    <w:rsid w:val="1CB5556C"/>
    <w:rsid w:val="1CBC3856"/>
    <w:rsid w:val="1CC41839"/>
    <w:rsid w:val="1CC61A56"/>
    <w:rsid w:val="1CC655B2"/>
    <w:rsid w:val="1CDA2E0B"/>
    <w:rsid w:val="1CDE25D6"/>
    <w:rsid w:val="1CE20A9A"/>
    <w:rsid w:val="1CF5043B"/>
    <w:rsid w:val="1CFC5477"/>
    <w:rsid w:val="1D13396B"/>
    <w:rsid w:val="1D13631D"/>
    <w:rsid w:val="1D1E53EE"/>
    <w:rsid w:val="1D24739C"/>
    <w:rsid w:val="1D2C2BD7"/>
    <w:rsid w:val="1D2D54A2"/>
    <w:rsid w:val="1D3502B9"/>
    <w:rsid w:val="1D412E8A"/>
    <w:rsid w:val="1D554B87"/>
    <w:rsid w:val="1D5F5A06"/>
    <w:rsid w:val="1D714EA2"/>
    <w:rsid w:val="1D7557E2"/>
    <w:rsid w:val="1D880AB9"/>
    <w:rsid w:val="1D8B67FB"/>
    <w:rsid w:val="1D916268"/>
    <w:rsid w:val="1D957585"/>
    <w:rsid w:val="1D9E2BD6"/>
    <w:rsid w:val="1D9F7415"/>
    <w:rsid w:val="1DA17DCD"/>
    <w:rsid w:val="1DA659D5"/>
    <w:rsid w:val="1DAA4A70"/>
    <w:rsid w:val="1DAA6C81"/>
    <w:rsid w:val="1DB434BD"/>
    <w:rsid w:val="1DC6338F"/>
    <w:rsid w:val="1DD65CC8"/>
    <w:rsid w:val="1DD77CEC"/>
    <w:rsid w:val="1DE57EAE"/>
    <w:rsid w:val="1DE859FC"/>
    <w:rsid w:val="1DEC54EC"/>
    <w:rsid w:val="1DED7F2B"/>
    <w:rsid w:val="1DEF0B38"/>
    <w:rsid w:val="1DF625F6"/>
    <w:rsid w:val="1DF64A63"/>
    <w:rsid w:val="1DF71875"/>
    <w:rsid w:val="1DFA2860"/>
    <w:rsid w:val="1DFB4E66"/>
    <w:rsid w:val="1DFC5802"/>
    <w:rsid w:val="1DFE0D7B"/>
    <w:rsid w:val="1E02256A"/>
    <w:rsid w:val="1E0839A8"/>
    <w:rsid w:val="1E0A7720"/>
    <w:rsid w:val="1E0C3728"/>
    <w:rsid w:val="1E1B4249"/>
    <w:rsid w:val="1E1C3FC2"/>
    <w:rsid w:val="1E236DDE"/>
    <w:rsid w:val="1E2A6014"/>
    <w:rsid w:val="1E2C7696"/>
    <w:rsid w:val="1E316E84"/>
    <w:rsid w:val="1E34479D"/>
    <w:rsid w:val="1E4569AA"/>
    <w:rsid w:val="1E4636FD"/>
    <w:rsid w:val="1E490F92"/>
    <w:rsid w:val="1E4A7687"/>
    <w:rsid w:val="1E4B0F80"/>
    <w:rsid w:val="1E4C2703"/>
    <w:rsid w:val="1E4D54DA"/>
    <w:rsid w:val="1E594203"/>
    <w:rsid w:val="1E5B3533"/>
    <w:rsid w:val="1E617CA6"/>
    <w:rsid w:val="1E6238F6"/>
    <w:rsid w:val="1E653582"/>
    <w:rsid w:val="1E6C3F37"/>
    <w:rsid w:val="1E7D105D"/>
    <w:rsid w:val="1E82375A"/>
    <w:rsid w:val="1E892D7F"/>
    <w:rsid w:val="1E920E94"/>
    <w:rsid w:val="1E931DB8"/>
    <w:rsid w:val="1E935967"/>
    <w:rsid w:val="1E94227F"/>
    <w:rsid w:val="1EA57449"/>
    <w:rsid w:val="1EAA4A5F"/>
    <w:rsid w:val="1ED1086A"/>
    <w:rsid w:val="1ED57D2E"/>
    <w:rsid w:val="1EE52B5B"/>
    <w:rsid w:val="1EF803FD"/>
    <w:rsid w:val="1F0E1492"/>
    <w:rsid w:val="1F185E6D"/>
    <w:rsid w:val="1F220A99"/>
    <w:rsid w:val="1F2B3DF2"/>
    <w:rsid w:val="1F2F15DC"/>
    <w:rsid w:val="1F3439CD"/>
    <w:rsid w:val="1F3C5CA1"/>
    <w:rsid w:val="1F3F2696"/>
    <w:rsid w:val="1F473C44"/>
    <w:rsid w:val="1F4B316C"/>
    <w:rsid w:val="1F4D7577"/>
    <w:rsid w:val="1F5F584A"/>
    <w:rsid w:val="1F69084C"/>
    <w:rsid w:val="1F7076AA"/>
    <w:rsid w:val="1F7318CE"/>
    <w:rsid w:val="1F847583"/>
    <w:rsid w:val="1F8E3417"/>
    <w:rsid w:val="1F8F4381"/>
    <w:rsid w:val="1F98137F"/>
    <w:rsid w:val="1FB950A5"/>
    <w:rsid w:val="1FD51BC5"/>
    <w:rsid w:val="1FD61FB0"/>
    <w:rsid w:val="1FDE4C34"/>
    <w:rsid w:val="1FE85338"/>
    <w:rsid w:val="1FF22B62"/>
    <w:rsid w:val="200E414C"/>
    <w:rsid w:val="20120AF9"/>
    <w:rsid w:val="202A3CCD"/>
    <w:rsid w:val="202D02F1"/>
    <w:rsid w:val="2031368A"/>
    <w:rsid w:val="20362A4E"/>
    <w:rsid w:val="20380C45"/>
    <w:rsid w:val="204213F3"/>
    <w:rsid w:val="204C0A72"/>
    <w:rsid w:val="205D447F"/>
    <w:rsid w:val="206550E2"/>
    <w:rsid w:val="20687B48"/>
    <w:rsid w:val="2079136A"/>
    <w:rsid w:val="2080236E"/>
    <w:rsid w:val="20827A42"/>
    <w:rsid w:val="208A5AB4"/>
    <w:rsid w:val="20AA343C"/>
    <w:rsid w:val="20AE1EB2"/>
    <w:rsid w:val="20B10A9D"/>
    <w:rsid w:val="20B553E7"/>
    <w:rsid w:val="20C721E4"/>
    <w:rsid w:val="20CB2ECE"/>
    <w:rsid w:val="20CB4B08"/>
    <w:rsid w:val="20CF368D"/>
    <w:rsid w:val="20D574D8"/>
    <w:rsid w:val="20DA0DBE"/>
    <w:rsid w:val="20F27D63"/>
    <w:rsid w:val="20F876CC"/>
    <w:rsid w:val="20FF1092"/>
    <w:rsid w:val="211437CE"/>
    <w:rsid w:val="211E2EAF"/>
    <w:rsid w:val="211F7986"/>
    <w:rsid w:val="214353CB"/>
    <w:rsid w:val="214473ED"/>
    <w:rsid w:val="21507B40"/>
    <w:rsid w:val="21690C01"/>
    <w:rsid w:val="216B02BD"/>
    <w:rsid w:val="216B6E8F"/>
    <w:rsid w:val="21717AB6"/>
    <w:rsid w:val="217414BE"/>
    <w:rsid w:val="217426F7"/>
    <w:rsid w:val="21771570"/>
    <w:rsid w:val="2184333D"/>
    <w:rsid w:val="218E2416"/>
    <w:rsid w:val="21A34113"/>
    <w:rsid w:val="21B55BF5"/>
    <w:rsid w:val="21C1459A"/>
    <w:rsid w:val="21C30906"/>
    <w:rsid w:val="21CA2DA0"/>
    <w:rsid w:val="21D544E9"/>
    <w:rsid w:val="21DF2C54"/>
    <w:rsid w:val="21E12E8E"/>
    <w:rsid w:val="21F77FBB"/>
    <w:rsid w:val="220B1D86"/>
    <w:rsid w:val="22124DF5"/>
    <w:rsid w:val="2217065D"/>
    <w:rsid w:val="221943D6"/>
    <w:rsid w:val="221B2723"/>
    <w:rsid w:val="221C2118"/>
    <w:rsid w:val="221C74D1"/>
    <w:rsid w:val="22230605"/>
    <w:rsid w:val="222C718E"/>
    <w:rsid w:val="222F59A7"/>
    <w:rsid w:val="223121E2"/>
    <w:rsid w:val="2231303B"/>
    <w:rsid w:val="22370247"/>
    <w:rsid w:val="22371BAB"/>
    <w:rsid w:val="22396826"/>
    <w:rsid w:val="224376A4"/>
    <w:rsid w:val="2247576F"/>
    <w:rsid w:val="225F4F3B"/>
    <w:rsid w:val="225F57E5"/>
    <w:rsid w:val="22635FDA"/>
    <w:rsid w:val="226A4C31"/>
    <w:rsid w:val="22717D6E"/>
    <w:rsid w:val="227635D6"/>
    <w:rsid w:val="22784204"/>
    <w:rsid w:val="228A0E2F"/>
    <w:rsid w:val="228B023D"/>
    <w:rsid w:val="228E4DC3"/>
    <w:rsid w:val="22943A5C"/>
    <w:rsid w:val="229D0A56"/>
    <w:rsid w:val="229D1520"/>
    <w:rsid w:val="22A9674F"/>
    <w:rsid w:val="22BB419B"/>
    <w:rsid w:val="22BB548D"/>
    <w:rsid w:val="22C25045"/>
    <w:rsid w:val="22C75536"/>
    <w:rsid w:val="22C8671F"/>
    <w:rsid w:val="22D64075"/>
    <w:rsid w:val="22DD35F3"/>
    <w:rsid w:val="22DE4819"/>
    <w:rsid w:val="22E70030"/>
    <w:rsid w:val="22E82F78"/>
    <w:rsid w:val="22EC013E"/>
    <w:rsid w:val="22EC08AD"/>
    <w:rsid w:val="230142F2"/>
    <w:rsid w:val="230B6414"/>
    <w:rsid w:val="2312327F"/>
    <w:rsid w:val="231D7EF5"/>
    <w:rsid w:val="23222322"/>
    <w:rsid w:val="23257170"/>
    <w:rsid w:val="2329689A"/>
    <w:rsid w:val="232C4886"/>
    <w:rsid w:val="233D2346"/>
    <w:rsid w:val="23531B69"/>
    <w:rsid w:val="23585F42"/>
    <w:rsid w:val="236C24A3"/>
    <w:rsid w:val="23735D67"/>
    <w:rsid w:val="23751ADF"/>
    <w:rsid w:val="23772EA2"/>
    <w:rsid w:val="237E6FE3"/>
    <w:rsid w:val="238355CB"/>
    <w:rsid w:val="238565B2"/>
    <w:rsid w:val="23955CDE"/>
    <w:rsid w:val="23990542"/>
    <w:rsid w:val="239B47D8"/>
    <w:rsid w:val="239D1036"/>
    <w:rsid w:val="239D2DE4"/>
    <w:rsid w:val="23A267BA"/>
    <w:rsid w:val="23A75A11"/>
    <w:rsid w:val="23B4003D"/>
    <w:rsid w:val="23B4353A"/>
    <w:rsid w:val="23C14D25"/>
    <w:rsid w:val="23C51660"/>
    <w:rsid w:val="23C536D3"/>
    <w:rsid w:val="23D9355E"/>
    <w:rsid w:val="23DA5DE6"/>
    <w:rsid w:val="23E919F6"/>
    <w:rsid w:val="23EA1000"/>
    <w:rsid w:val="24015121"/>
    <w:rsid w:val="240F5DAD"/>
    <w:rsid w:val="24161882"/>
    <w:rsid w:val="2419690F"/>
    <w:rsid w:val="243E0123"/>
    <w:rsid w:val="24400ADB"/>
    <w:rsid w:val="2443398C"/>
    <w:rsid w:val="2443573A"/>
    <w:rsid w:val="24444230"/>
    <w:rsid w:val="245C2C9F"/>
    <w:rsid w:val="24693151"/>
    <w:rsid w:val="24696D42"/>
    <w:rsid w:val="246D27B7"/>
    <w:rsid w:val="247331E8"/>
    <w:rsid w:val="247D6D03"/>
    <w:rsid w:val="247F0674"/>
    <w:rsid w:val="2491787C"/>
    <w:rsid w:val="24974092"/>
    <w:rsid w:val="24A64188"/>
    <w:rsid w:val="24B77ED6"/>
    <w:rsid w:val="24B91EA0"/>
    <w:rsid w:val="24CA5E5B"/>
    <w:rsid w:val="24D45379"/>
    <w:rsid w:val="24D533DF"/>
    <w:rsid w:val="24D67B0C"/>
    <w:rsid w:val="24E2454C"/>
    <w:rsid w:val="24E707BB"/>
    <w:rsid w:val="24E959A5"/>
    <w:rsid w:val="24F86F1D"/>
    <w:rsid w:val="24FB2EF6"/>
    <w:rsid w:val="2500187D"/>
    <w:rsid w:val="250361C2"/>
    <w:rsid w:val="250D7AF6"/>
    <w:rsid w:val="25116F24"/>
    <w:rsid w:val="25161CA7"/>
    <w:rsid w:val="251C7A5B"/>
    <w:rsid w:val="252747EF"/>
    <w:rsid w:val="252A06A8"/>
    <w:rsid w:val="252A23ED"/>
    <w:rsid w:val="253908EB"/>
    <w:rsid w:val="253B4663"/>
    <w:rsid w:val="25641E0C"/>
    <w:rsid w:val="25781413"/>
    <w:rsid w:val="258129BE"/>
    <w:rsid w:val="2593624D"/>
    <w:rsid w:val="25975E02"/>
    <w:rsid w:val="25983863"/>
    <w:rsid w:val="259B0BA6"/>
    <w:rsid w:val="259C17E6"/>
    <w:rsid w:val="25A04CE7"/>
    <w:rsid w:val="25AB5B2B"/>
    <w:rsid w:val="25B20DC9"/>
    <w:rsid w:val="25B302AD"/>
    <w:rsid w:val="25B508B9"/>
    <w:rsid w:val="25B54415"/>
    <w:rsid w:val="25C55B68"/>
    <w:rsid w:val="25C74149"/>
    <w:rsid w:val="25C91C6F"/>
    <w:rsid w:val="25C94365"/>
    <w:rsid w:val="25DB21E5"/>
    <w:rsid w:val="25DD3BEB"/>
    <w:rsid w:val="25DF76E4"/>
    <w:rsid w:val="25E371D4"/>
    <w:rsid w:val="25EA2CCC"/>
    <w:rsid w:val="25F25669"/>
    <w:rsid w:val="25F25BC4"/>
    <w:rsid w:val="25FD7B6A"/>
    <w:rsid w:val="260A4F06"/>
    <w:rsid w:val="260E7FC9"/>
    <w:rsid w:val="26105AEF"/>
    <w:rsid w:val="261612BD"/>
    <w:rsid w:val="261849A4"/>
    <w:rsid w:val="26247AFA"/>
    <w:rsid w:val="262D66A1"/>
    <w:rsid w:val="262E4D39"/>
    <w:rsid w:val="26357304"/>
    <w:rsid w:val="263A2B6C"/>
    <w:rsid w:val="264D66E9"/>
    <w:rsid w:val="265A320F"/>
    <w:rsid w:val="26607686"/>
    <w:rsid w:val="2661459D"/>
    <w:rsid w:val="26667E05"/>
    <w:rsid w:val="26680AF5"/>
    <w:rsid w:val="26695200"/>
    <w:rsid w:val="266C3B1C"/>
    <w:rsid w:val="266D6A9E"/>
    <w:rsid w:val="2674755D"/>
    <w:rsid w:val="26804A23"/>
    <w:rsid w:val="26810DF2"/>
    <w:rsid w:val="269A360B"/>
    <w:rsid w:val="269C7383"/>
    <w:rsid w:val="269F48CD"/>
    <w:rsid w:val="26A850EA"/>
    <w:rsid w:val="26B27D46"/>
    <w:rsid w:val="26B741BD"/>
    <w:rsid w:val="26C54B2C"/>
    <w:rsid w:val="26C708A4"/>
    <w:rsid w:val="26CB54E5"/>
    <w:rsid w:val="26CC5EBA"/>
    <w:rsid w:val="26D07EC7"/>
    <w:rsid w:val="26D35D5D"/>
    <w:rsid w:val="26D905D7"/>
    <w:rsid w:val="26DF4174"/>
    <w:rsid w:val="26E80C10"/>
    <w:rsid w:val="26EF1BA9"/>
    <w:rsid w:val="26F02733"/>
    <w:rsid w:val="26F7104F"/>
    <w:rsid w:val="27005B64"/>
    <w:rsid w:val="270311B0"/>
    <w:rsid w:val="270858F0"/>
    <w:rsid w:val="270C3A0E"/>
    <w:rsid w:val="27104629"/>
    <w:rsid w:val="27160EE4"/>
    <w:rsid w:val="27174B4B"/>
    <w:rsid w:val="272F01F7"/>
    <w:rsid w:val="272F1463"/>
    <w:rsid w:val="27363334"/>
    <w:rsid w:val="273B094A"/>
    <w:rsid w:val="273F6164"/>
    <w:rsid w:val="2742617D"/>
    <w:rsid w:val="27471A22"/>
    <w:rsid w:val="274B3C92"/>
    <w:rsid w:val="27504A25"/>
    <w:rsid w:val="2751016E"/>
    <w:rsid w:val="27566816"/>
    <w:rsid w:val="275B0FEC"/>
    <w:rsid w:val="2769199A"/>
    <w:rsid w:val="276D20FF"/>
    <w:rsid w:val="276E51C4"/>
    <w:rsid w:val="276E6F72"/>
    <w:rsid w:val="27912FAE"/>
    <w:rsid w:val="279B588D"/>
    <w:rsid w:val="27A9134C"/>
    <w:rsid w:val="27B261EA"/>
    <w:rsid w:val="27BB2434"/>
    <w:rsid w:val="27C57777"/>
    <w:rsid w:val="27C6042F"/>
    <w:rsid w:val="27D33279"/>
    <w:rsid w:val="27EB6814"/>
    <w:rsid w:val="27F337BA"/>
    <w:rsid w:val="27F645D9"/>
    <w:rsid w:val="27F91082"/>
    <w:rsid w:val="28013942"/>
    <w:rsid w:val="280B6FCA"/>
    <w:rsid w:val="281A3356"/>
    <w:rsid w:val="281B7F9E"/>
    <w:rsid w:val="281E2746"/>
    <w:rsid w:val="2829733C"/>
    <w:rsid w:val="282B1155"/>
    <w:rsid w:val="282B6C11"/>
    <w:rsid w:val="283000C3"/>
    <w:rsid w:val="28374FC2"/>
    <w:rsid w:val="283D76E4"/>
    <w:rsid w:val="284115ED"/>
    <w:rsid w:val="284474B7"/>
    <w:rsid w:val="28456220"/>
    <w:rsid w:val="2849353B"/>
    <w:rsid w:val="285960EC"/>
    <w:rsid w:val="28596AAC"/>
    <w:rsid w:val="285C6DCA"/>
    <w:rsid w:val="285F360F"/>
    <w:rsid w:val="287560BB"/>
    <w:rsid w:val="28762F0E"/>
    <w:rsid w:val="287C56BE"/>
    <w:rsid w:val="2887498C"/>
    <w:rsid w:val="2888386E"/>
    <w:rsid w:val="28990746"/>
    <w:rsid w:val="289A78BF"/>
    <w:rsid w:val="289E73E3"/>
    <w:rsid w:val="28A10287"/>
    <w:rsid w:val="28A57C14"/>
    <w:rsid w:val="28AA3FD9"/>
    <w:rsid w:val="28B97682"/>
    <w:rsid w:val="28C037FD"/>
    <w:rsid w:val="28C1610D"/>
    <w:rsid w:val="28EC6E96"/>
    <w:rsid w:val="28ED2118"/>
    <w:rsid w:val="28F11C08"/>
    <w:rsid w:val="29013DF0"/>
    <w:rsid w:val="290343AE"/>
    <w:rsid w:val="290D2324"/>
    <w:rsid w:val="29177195"/>
    <w:rsid w:val="291E22D1"/>
    <w:rsid w:val="292A7E1A"/>
    <w:rsid w:val="292C0E92"/>
    <w:rsid w:val="29301D18"/>
    <w:rsid w:val="293423D2"/>
    <w:rsid w:val="29463CF8"/>
    <w:rsid w:val="294B7761"/>
    <w:rsid w:val="29534074"/>
    <w:rsid w:val="295A3D33"/>
    <w:rsid w:val="295D104C"/>
    <w:rsid w:val="29673C78"/>
    <w:rsid w:val="29677F9A"/>
    <w:rsid w:val="296B11D4"/>
    <w:rsid w:val="297939AC"/>
    <w:rsid w:val="297E535E"/>
    <w:rsid w:val="29835806"/>
    <w:rsid w:val="29862181"/>
    <w:rsid w:val="29896B40"/>
    <w:rsid w:val="298C5FF3"/>
    <w:rsid w:val="29976875"/>
    <w:rsid w:val="29A01823"/>
    <w:rsid w:val="29AA1DB7"/>
    <w:rsid w:val="29BF5862"/>
    <w:rsid w:val="29C0782D"/>
    <w:rsid w:val="29C833AD"/>
    <w:rsid w:val="29D137E8"/>
    <w:rsid w:val="29D509CE"/>
    <w:rsid w:val="29D82DC8"/>
    <w:rsid w:val="29F51284"/>
    <w:rsid w:val="29FB1851"/>
    <w:rsid w:val="2A04188F"/>
    <w:rsid w:val="2A077209"/>
    <w:rsid w:val="2A0D2F64"/>
    <w:rsid w:val="2A0E0598"/>
    <w:rsid w:val="2A1F4553"/>
    <w:rsid w:val="2A30050E"/>
    <w:rsid w:val="2A341268"/>
    <w:rsid w:val="2A426494"/>
    <w:rsid w:val="2A435E64"/>
    <w:rsid w:val="2A47392C"/>
    <w:rsid w:val="2A540B65"/>
    <w:rsid w:val="2A61579B"/>
    <w:rsid w:val="2A7A65BD"/>
    <w:rsid w:val="2A7F4807"/>
    <w:rsid w:val="2A831C50"/>
    <w:rsid w:val="2A8B7E3A"/>
    <w:rsid w:val="2A9414C6"/>
    <w:rsid w:val="2A9505C1"/>
    <w:rsid w:val="2A977389"/>
    <w:rsid w:val="2A977D77"/>
    <w:rsid w:val="2A9B6946"/>
    <w:rsid w:val="2A9C3DF6"/>
    <w:rsid w:val="2AAA4765"/>
    <w:rsid w:val="2AAD1B5F"/>
    <w:rsid w:val="2AB92391"/>
    <w:rsid w:val="2AC3781B"/>
    <w:rsid w:val="2AC443C5"/>
    <w:rsid w:val="2AD1369D"/>
    <w:rsid w:val="2ADB67C7"/>
    <w:rsid w:val="2AF31C78"/>
    <w:rsid w:val="2AF74FAB"/>
    <w:rsid w:val="2AFE02A1"/>
    <w:rsid w:val="2B0E6E75"/>
    <w:rsid w:val="2B107DBA"/>
    <w:rsid w:val="2B1E2A5D"/>
    <w:rsid w:val="2B2067D5"/>
    <w:rsid w:val="2B2A5458"/>
    <w:rsid w:val="2B3A0578"/>
    <w:rsid w:val="2B465B0F"/>
    <w:rsid w:val="2B4D3342"/>
    <w:rsid w:val="2B520428"/>
    <w:rsid w:val="2B577D1D"/>
    <w:rsid w:val="2B597F39"/>
    <w:rsid w:val="2B6555D5"/>
    <w:rsid w:val="2B77216D"/>
    <w:rsid w:val="2B7B3A0B"/>
    <w:rsid w:val="2B7D74A0"/>
    <w:rsid w:val="2B856638"/>
    <w:rsid w:val="2B8E0B46"/>
    <w:rsid w:val="2B9E3C9D"/>
    <w:rsid w:val="2BA51DE4"/>
    <w:rsid w:val="2BAC1E16"/>
    <w:rsid w:val="2BB4338F"/>
    <w:rsid w:val="2BBB7BE2"/>
    <w:rsid w:val="2BE13484"/>
    <w:rsid w:val="2BE710A1"/>
    <w:rsid w:val="2BEA0167"/>
    <w:rsid w:val="2BEB6DE3"/>
    <w:rsid w:val="2BF33EE9"/>
    <w:rsid w:val="2BF654E5"/>
    <w:rsid w:val="2C063C1D"/>
    <w:rsid w:val="2C157457"/>
    <w:rsid w:val="2C1D4AC2"/>
    <w:rsid w:val="2C3141C2"/>
    <w:rsid w:val="2C35091E"/>
    <w:rsid w:val="2C385DA0"/>
    <w:rsid w:val="2C3B46EC"/>
    <w:rsid w:val="2C4031E8"/>
    <w:rsid w:val="2C414C55"/>
    <w:rsid w:val="2C5D1D8D"/>
    <w:rsid w:val="2C5F50DB"/>
    <w:rsid w:val="2C626979"/>
    <w:rsid w:val="2C6B3A80"/>
    <w:rsid w:val="2C7A0167"/>
    <w:rsid w:val="2C7F73BF"/>
    <w:rsid w:val="2C866B0B"/>
    <w:rsid w:val="2C8E3D6F"/>
    <w:rsid w:val="2CA46F92"/>
    <w:rsid w:val="2CAA08E7"/>
    <w:rsid w:val="2CBE44F7"/>
    <w:rsid w:val="2CC3737E"/>
    <w:rsid w:val="2CC41204"/>
    <w:rsid w:val="2CD23AFF"/>
    <w:rsid w:val="2CE369DC"/>
    <w:rsid w:val="2CE43E46"/>
    <w:rsid w:val="2CE47EAB"/>
    <w:rsid w:val="2D030FF6"/>
    <w:rsid w:val="2D260928"/>
    <w:rsid w:val="2D2F4F60"/>
    <w:rsid w:val="2D2F6099"/>
    <w:rsid w:val="2D3B6D66"/>
    <w:rsid w:val="2D4D2A86"/>
    <w:rsid w:val="2D512161"/>
    <w:rsid w:val="2D60110A"/>
    <w:rsid w:val="2D652E89"/>
    <w:rsid w:val="2D661D22"/>
    <w:rsid w:val="2D7117E4"/>
    <w:rsid w:val="2D725385"/>
    <w:rsid w:val="2D726292"/>
    <w:rsid w:val="2D793CE9"/>
    <w:rsid w:val="2D7C5178"/>
    <w:rsid w:val="2D83129D"/>
    <w:rsid w:val="2D8868B3"/>
    <w:rsid w:val="2D8F3594"/>
    <w:rsid w:val="2D9D235F"/>
    <w:rsid w:val="2DA96368"/>
    <w:rsid w:val="2DB43853"/>
    <w:rsid w:val="2DB635B9"/>
    <w:rsid w:val="2DC07DFB"/>
    <w:rsid w:val="2DC25690"/>
    <w:rsid w:val="2DC25921"/>
    <w:rsid w:val="2DC45B3D"/>
    <w:rsid w:val="2DC82F69"/>
    <w:rsid w:val="2DD12008"/>
    <w:rsid w:val="2DD617CA"/>
    <w:rsid w:val="2DE24215"/>
    <w:rsid w:val="2DF02643"/>
    <w:rsid w:val="2DF33D2D"/>
    <w:rsid w:val="2E026047"/>
    <w:rsid w:val="2E0B15A9"/>
    <w:rsid w:val="2E0E500A"/>
    <w:rsid w:val="2E241189"/>
    <w:rsid w:val="2E271C28"/>
    <w:rsid w:val="2E291E44"/>
    <w:rsid w:val="2E2A34C6"/>
    <w:rsid w:val="2E2E79DD"/>
    <w:rsid w:val="2E3A613B"/>
    <w:rsid w:val="2E3D76E0"/>
    <w:rsid w:val="2E482D6A"/>
    <w:rsid w:val="2E4A53DE"/>
    <w:rsid w:val="2E4B1DBB"/>
    <w:rsid w:val="2E5A120D"/>
    <w:rsid w:val="2E5B7B24"/>
    <w:rsid w:val="2E6A7D67"/>
    <w:rsid w:val="2E6B5FB9"/>
    <w:rsid w:val="2E7C3DD4"/>
    <w:rsid w:val="2E8B5096"/>
    <w:rsid w:val="2E951288"/>
    <w:rsid w:val="2E960B5C"/>
    <w:rsid w:val="2E9628D1"/>
    <w:rsid w:val="2E9E309D"/>
    <w:rsid w:val="2EA81CB8"/>
    <w:rsid w:val="2EA83875"/>
    <w:rsid w:val="2EBB10D3"/>
    <w:rsid w:val="2EC41B6D"/>
    <w:rsid w:val="2ED707CA"/>
    <w:rsid w:val="2ED926F0"/>
    <w:rsid w:val="2EDD67C7"/>
    <w:rsid w:val="2EF35A23"/>
    <w:rsid w:val="2EFB1605"/>
    <w:rsid w:val="2F087CAC"/>
    <w:rsid w:val="2F0D4A3E"/>
    <w:rsid w:val="2F1E6861"/>
    <w:rsid w:val="2F266384"/>
    <w:rsid w:val="2F323111"/>
    <w:rsid w:val="2F397E65"/>
    <w:rsid w:val="2F570620"/>
    <w:rsid w:val="2F5A4E26"/>
    <w:rsid w:val="2F5B5603"/>
    <w:rsid w:val="2F626CDA"/>
    <w:rsid w:val="2F652D29"/>
    <w:rsid w:val="2F687E17"/>
    <w:rsid w:val="2F725125"/>
    <w:rsid w:val="2F8033D3"/>
    <w:rsid w:val="2F854E58"/>
    <w:rsid w:val="2F860BD0"/>
    <w:rsid w:val="2F8F11B7"/>
    <w:rsid w:val="2F8F3F29"/>
    <w:rsid w:val="2F924F51"/>
    <w:rsid w:val="2F992C7E"/>
    <w:rsid w:val="2FA15A0A"/>
    <w:rsid w:val="2FA242CD"/>
    <w:rsid w:val="2FA76DE1"/>
    <w:rsid w:val="2FAC6889"/>
    <w:rsid w:val="2FAF6379"/>
    <w:rsid w:val="2FB82119"/>
    <w:rsid w:val="2FC53444"/>
    <w:rsid w:val="2FC82F97"/>
    <w:rsid w:val="2FCA31B3"/>
    <w:rsid w:val="2FDE4AE9"/>
    <w:rsid w:val="2FED0C50"/>
    <w:rsid w:val="2FF73956"/>
    <w:rsid w:val="2FFA60BF"/>
    <w:rsid w:val="2FFD5337"/>
    <w:rsid w:val="30034671"/>
    <w:rsid w:val="301461DC"/>
    <w:rsid w:val="301B01A7"/>
    <w:rsid w:val="302307FD"/>
    <w:rsid w:val="30265422"/>
    <w:rsid w:val="30277DE3"/>
    <w:rsid w:val="302E3821"/>
    <w:rsid w:val="30304DF6"/>
    <w:rsid w:val="30322DED"/>
    <w:rsid w:val="3038011D"/>
    <w:rsid w:val="303A2E5F"/>
    <w:rsid w:val="303D6193"/>
    <w:rsid w:val="30400AD4"/>
    <w:rsid w:val="30443C89"/>
    <w:rsid w:val="304C3BC8"/>
    <w:rsid w:val="30526F2D"/>
    <w:rsid w:val="305B7FDF"/>
    <w:rsid w:val="3076147E"/>
    <w:rsid w:val="3078240A"/>
    <w:rsid w:val="308014D3"/>
    <w:rsid w:val="30880F1D"/>
    <w:rsid w:val="3091108B"/>
    <w:rsid w:val="30923EBF"/>
    <w:rsid w:val="30927062"/>
    <w:rsid w:val="30932017"/>
    <w:rsid w:val="30937A49"/>
    <w:rsid w:val="30980407"/>
    <w:rsid w:val="309F019C"/>
    <w:rsid w:val="30A868F8"/>
    <w:rsid w:val="30A9101A"/>
    <w:rsid w:val="30AC28B9"/>
    <w:rsid w:val="30B17ED7"/>
    <w:rsid w:val="30B53C36"/>
    <w:rsid w:val="30B63D18"/>
    <w:rsid w:val="30BC20CE"/>
    <w:rsid w:val="30CD07CF"/>
    <w:rsid w:val="30D0284A"/>
    <w:rsid w:val="30D17F89"/>
    <w:rsid w:val="30D31D17"/>
    <w:rsid w:val="30D35F72"/>
    <w:rsid w:val="30E42053"/>
    <w:rsid w:val="30F96055"/>
    <w:rsid w:val="30FC55EE"/>
    <w:rsid w:val="31054E68"/>
    <w:rsid w:val="310C5ADB"/>
    <w:rsid w:val="310D12C2"/>
    <w:rsid w:val="311604ED"/>
    <w:rsid w:val="31172428"/>
    <w:rsid w:val="31175F84"/>
    <w:rsid w:val="3118199C"/>
    <w:rsid w:val="31233E65"/>
    <w:rsid w:val="312A5E46"/>
    <w:rsid w:val="313750C1"/>
    <w:rsid w:val="313A7EC4"/>
    <w:rsid w:val="313D2F16"/>
    <w:rsid w:val="313E3D64"/>
    <w:rsid w:val="31434FCB"/>
    <w:rsid w:val="31435B14"/>
    <w:rsid w:val="31603DCF"/>
    <w:rsid w:val="31610A5C"/>
    <w:rsid w:val="31704961"/>
    <w:rsid w:val="317D14C2"/>
    <w:rsid w:val="317F19C3"/>
    <w:rsid w:val="319A36CA"/>
    <w:rsid w:val="31CA425E"/>
    <w:rsid w:val="31CA56EC"/>
    <w:rsid w:val="31CC2FDA"/>
    <w:rsid w:val="31D125D7"/>
    <w:rsid w:val="31D16A7B"/>
    <w:rsid w:val="31E367AE"/>
    <w:rsid w:val="31F9560C"/>
    <w:rsid w:val="32067740"/>
    <w:rsid w:val="32101A01"/>
    <w:rsid w:val="322029C3"/>
    <w:rsid w:val="32285F6F"/>
    <w:rsid w:val="32313075"/>
    <w:rsid w:val="32342B95"/>
    <w:rsid w:val="323B6D8B"/>
    <w:rsid w:val="323D4C11"/>
    <w:rsid w:val="32452FC5"/>
    <w:rsid w:val="32453A29"/>
    <w:rsid w:val="324C5DF3"/>
    <w:rsid w:val="325167F3"/>
    <w:rsid w:val="32544FB6"/>
    <w:rsid w:val="32586854"/>
    <w:rsid w:val="32672F3B"/>
    <w:rsid w:val="326F1DF0"/>
    <w:rsid w:val="327A3AA0"/>
    <w:rsid w:val="327E4D48"/>
    <w:rsid w:val="328F6C32"/>
    <w:rsid w:val="32935ADE"/>
    <w:rsid w:val="32B37F2E"/>
    <w:rsid w:val="32B97394"/>
    <w:rsid w:val="32BA5629"/>
    <w:rsid w:val="32BC237B"/>
    <w:rsid w:val="32BF4B25"/>
    <w:rsid w:val="32C236E0"/>
    <w:rsid w:val="32CC02D8"/>
    <w:rsid w:val="32D15B51"/>
    <w:rsid w:val="32E13A70"/>
    <w:rsid w:val="32E56B2B"/>
    <w:rsid w:val="32E77BD8"/>
    <w:rsid w:val="32E84732"/>
    <w:rsid w:val="32EB6EB8"/>
    <w:rsid w:val="32FF09E4"/>
    <w:rsid w:val="3302419E"/>
    <w:rsid w:val="33087A5B"/>
    <w:rsid w:val="33107BE2"/>
    <w:rsid w:val="3312251A"/>
    <w:rsid w:val="33152997"/>
    <w:rsid w:val="331C0B77"/>
    <w:rsid w:val="331C5C6E"/>
    <w:rsid w:val="331D1B33"/>
    <w:rsid w:val="331F0A8E"/>
    <w:rsid w:val="33285E7F"/>
    <w:rsid w:val="332A4425"/>
    <w:rsid w:val="333357F5"/>
    <w:rsid w:val="33355552"/>
    <w:rsid w:val="333738B9"/>
    <w:rsid w:val="333948D8"/>
    <w:rsid w:val="33397B29"/>
    <w:rsid w:val="333D3C9C"/>
    <w:rsid w:val="334138E7"/>
    <w:rsid w:val="33466FF4"/>
    <w:rsid w:val="33467961"/>
    <w:rsid w:val="33496BA2"/>
    <w:rsid w:val="334D0383"/>
    <w:rsid w:val="334D09AD"/>
    <w:rsid w:val="335922EC"/>
    <w:rsid w:val="335F23E7"/>
    <w:rsid w:val="33627AA0"/>
    <w:rsid w:val="336B25B7"/>
    <w:rsid w:val="337565DF"/>
    <w:rsid w:val="33784CD4"/>
    <w:rsid w:val="337F1B71"/>
    <w:rsid w:val="33813B89"/>
    <w:rsid w:val="338806E6"/>
    <w:rsid w:val="33A802BE"/>
    <w:rsid w:val="33B2468A"/>
    <w:rsid w:val="33B269B2"/>
    <w:rsid w:val="33B27751"/>
    <w:rsid w:val="33C30645"/>
    <w:rsid w:val="33CB74FA"/>
    <w:rsid w:val="33DB773D"/>
    <w:rsid w:val="33DC5895"/>
    <w:rsid w:val="33DC7FB8"/>
    <w:rsid w:val="33DE6617"/>
    <w:rsid w:val="33E0173B"/>
    <w:rsid w:val="33E650AE"/>
    <w:rsid w:val="33F70F2E"/>
    <w:rsid w:val="33FB393B"/>
    <w:rsid w:val="34012F1B"/>
    <w:rsid w:val="3429678E"/>
    <w:rsid w:val="343A5BB7"/>
    <w:rsid w:val="344828F8"/>
    <w:rsid w:val="344D4C35"/>
    <w:rsid w:val="344D6161"/>
    <w:rsid w:val="34525525"/>
    <w:rsid w:val="345272CC"/>
    <w:rsid w:val="3461254A"/>
    <w:rsid w:val="346C157F"/>
    <w:rsid w:val="346D06A0"/>
    <w:rsid w:val="347118D6"/>
    <w:rsid w:val="347238E3"/>
    <w:rsid w:val="34745154"/>
    <w:rsid w:val="347F27BE"/>
    <w:rsid w:val="34880E42"/>
    <w:rsid w:val="349B3370"/>
    <w:rsid w:val="34AF2562"/>
    <w:rsid w:val="34CD152A"/>
    <w:rsid w:val="34DA79F4"/>
    <w:rsid w:val="34DB376C"/>
    <w:rsid w:val="34FA0097"/>
    <w:rsid w:val="35045A0E"/>
    <w:rsid w:val="3509078D"/>
    <w:rsid w:val="351B5A9A"/>
    <w:rsid w:val="351C000D"/>
    <w:rsid w:val="35234BCB"/>
    <w:rsid w:val="35262C3A"/>
    <w:rsid w:val="352A7CE7"/>
    <w:rsid w:val="35386E11"/>
    <w:rsid w:val="353E4427"/>
    <w:rsid w:val="353F250F"/>
    <w:rsid w:val="35463B02"/>
    <w:rsid w:val="354B6B44"/>
    <w:rsid w:val="354F53E6"/>
    <w:rsid w:val="3552113C"/>
    <w:rsid w:val="355F547E"/>
    <w:rsid w:val="355F614C"/>
    <w:rsid w:val="35645510"/>
    <w:rsid w:val="35683252"/>
    <w:rsid w:val="356D0868"/>
    <w:rsid w:val="356D7BD8"/>
    <w:rsid w:val="35777890"/>
    <w:rsid w:val="35777939"/>
    <w:rsid w:val="357C6CFE"/>
    <w:rsid w:val="35822A7B"/>
    <w:rsid w:val="35836E3A"/>
    <w:rsid w:val="35860AB3"/>
    <w:rsid w:val="358F2172"/>
    <w:rsid w:val="35A72C6B"/>
    <w:rsid w:val="35B23043"/>
    <w:rsid w:val="35B50461"/>
    <w:rsid w:val="35B77D36"/>
    <w:rsid w:val="35C42453"/>
    <w:rsid w:val="35CE2F97"/>
    <w:rsid w:val="35D00DF7"/>
    <w:rsid w:val="35DB2DC8"/>
    <w:rsid w:val="35EE4665"/>
    <w:rsid w:val="35F03248"/>
    <w:rsid w:val="35F76384"/>
    <w:rsid w:val="35F80E3B"/>
    <w:rsid w:val="35FE5964"/>
    <w:rsid w:val="36080F78"/>
    <w:rsid w:val="3608233F"/>
    <w:rsid w:val="362A0508"/>
    <w:rsid w:val="362A4D57"/>
    <w:rsid w:val="36305ADF"/>
    <w:rsid w:val="36363350"/>
    <w:rsid w:val="36482DCF"/>
    <w:rsid w:val="366A3037"/>
    <w:rsid w:val="366C6D72"/>
    <w:rsid w:val="367770EC"/>
    <w:rsid w:val="367E2601"/>
    <w:rsid w:val="36831922"/>
    <w:rsid w:val="36857E34"/>
    <w:rsid w:val="36910D79"/>
    <w:rsid w:val="3693059A"/>
    <w:rsid w:val="369959C6"/>
    <w:rsid w:val="36A4650C"/>
    <w:rsid w:val="36AF4EB1"/>
    <w:rsid w:val="36B14987"/>
    <w:rsid w:val="36B32DAA"/>
    <w:rsid w:val="36B82DCF"/>
    <w:rsid w:val="36C26992"/>
    <w:rsid w:val="36CB07CD"/>
    <w:rsid w:val="36CD0DE4"/>
    <w:rsid w:val="36DA0180"/>
    <w:rsid w:val="36DF7544"/>
    <w:rsid w:val="36F62AE0"/>
    <w:rsid w:val="3700570C"/>
    <w:rsid w:val="37041678"/>
    <w:rsid w:val="37115D58"/>
    <w:rsid w:val="37192224"/>
    <w:rsid w:val="371A67CE"/>
    <w:rsid w:val="371D0453"/>
    <w:rsid w:val="37307DA0"/>
    <w:rsid w:val="37330D1A"/>
    <w:rsid w:val="37334838"/>
    <w:rsid w:val="37432C0B"/>
    <w:rsid w:val="374555AC"/>
    <w:rsid w:val="374B0BA2"/>
    <w:rsid w:val="375535EA"/>
    <w:rsid w:val="376637C1"/>
    <w:rsid w:val="3769307D"/>
    <w:rsid w:val="376D2DA2"/>
    <w:rsid w:val="376E22BB"/>
    <w:rsid w:val="377213AD"/>
    <w:rsid w:val="37740064"/>
    <w:rsid w:val="3776178F"/>
    <w:rsid w:val="377B1B24"/>
    <w:rsid w:val="377B62C7"/>
    <w:rsid w:val="378A6684"/>
    <w:rsid w:val="378B147A"/>
    <w:rsid w:val="378B18CB"/>
    <w:rsid w:val="379931AA"/>
    <w:rsid w:val="3799691B"/>
    <w:rsid w:val="379F4F25"/>
    <w:rsid w:val="37A20571"/>
    <w:rsid w:val="37AE6143"/>
    <w:rsid w:val="37B0704E"/>
    <w:rsid w:val="37B2016F"/>
    <w:rsid w:val="37B704C1"/>
    <w:rsid w:val="37BD09EA"/>
    <w:rsid w:val="37CB6F34"/>
    <w:rsid w:val="37CD1741"/>
    <w:rsid w:val="37E33064"/>
    <w:rsid w:val="37E817B0"/>
    <w:rsid w:val="37ED542F"/>
    <w:rsid w:val="37F25D7B"/>
    <w:rsid w:val="37F62A5A"/>
    <w:rsid w:val="37F73D84"/>
    <w:rsid w:val="37FA1204"/>
    <w:rsid w:val="38052457"/>
    <w:rsid w:val="381056ED"/>
    <w:rsid w:val="38163439"/>
    <w:rsid w:val="381652B1"/>
    <w:rsid w:val="383242C6"/>
    <w:rsid w:val="38366B33"/>
    <w:rsid w:val="383733B0"/>
    <w:rsid w:val="38390ED6"/>
    <w:rsid w:val="38413418"/>
    <w:rsid w:val="384915B5"/>
    <w:rsid w:val="38577518"/>
    <w:rsid w:val="38607EF6"/>
    <w:rsid w:val="38797D5A"/>
    <w:rsid w:val="387B0C03"/>
    <w:rsid w:val="3880357D"/>
    <w:rsid w:val="388C36FB"/>
    <w:rsid w:val="38A47530"/>
    <w:rsid w:val="38BB5C9B"/>
    <w:rsid w:val="38CA6556"/>
    <w:rsid w:val="38CB6864"/>
    <w:rsid w:val="38CF5A84"/>
    <w:rsid w:val="38D1110E"/>
    <w:rsid w:val="38DF2E09"/>
    <w:rsid w:val="38E05510"/>
    <w:rsid w:val="38EA0422"/>
    <w:rsid w:val="38ED180F"/>
    <w:rsid w:val="38F1355F"/>
    <w:rsid w:val="38F62C89"/>
    <w:rsid w:val="38F848ED"/>
    <w:rsid w:val="38FC2ADD"/>
    <w:rsid w:val="38FF3E78"/>
    <w:rsid w:val="38FF4281"/>
    <w:rsid w:val="39077C38"/>
    <w:rsid w:val="391D07F7"/>
    <w:rsid w:val="392224E0"/>
    <w:rsid w:val="392239D6"/>
    <w:rsid w:val="392A6025"/>
    <w:rsid w:val="392F39E2"/>
    <w:rsid w:val="39477622"/>
    <w:rsid w:val="394A138B"/>
    <w:rsid w:val="3953239E"/>
    <w:rsid w:val="395E45F3"/>
    <w:rsid w:val="395F496C"/>
    <w:rsid w:val="396E792A"/>
    <w:rsid w:val="39726FB1"/>
    <w:rsid w:val="397321C6"/>
    <w:rsid w:val="39751F90"/>
    <w:rsid w:val="397848C0"/>
    <w:rsid w:val="398226E2"/>
    <w:rsid w:val="39955FF2"/>
    <w:rsid w:val="39BA6046"/>
    <w:rsid w:val="39C24EFB"/>
    <w:rsid w:val="39C2761E"/>
    <w:rsid w:val="39D30EB6"/>
    <w:rsid w:val="39D367DE"/>
    <w:rsid w:val="39D569DC"/>
    <w:rsid w:val="39D7134A"/>
    <w:rsid w:val="39E41315"/>
    <w:rsid w:val="39E5749A"/>
    <w:rsid w:val="39F27F9B"/>
    <w:rsid w:val="39F834EC"/>
    <w:rsid w:val="39F95ACD"/>
    <w:rsid w:val="39FA7573"/>
    <w:rsid w:val="39FB4B0B"/>
    <w:rsid w:val="3A023E13"/>
    <w:rsid w:val="3A03179B"/>
    <w:rsid w:val="3A1439A9"/>
    <w:rsid w:val="3A18721C"/>
    <w:rsid w:val="3A1A0AD2"/>
    <w:rsid w:val="3A2145B2"/>
    <w:rsid w:val="3A224472"/>
    <w:rsid w:val="3A345DF9"/>
    <w:rsid w:val="3A3E0A25"/>
    <w:rsid w:val="3A3F110D"/>
    <w:rsid w:val="3A4727FE"/>
    <w:rsid w:val="3A6B3544"/>
    <w:rsid w:val="3A782ECA"/>
    <w:rsid w:val="3A7E0E22"/>
    <w:rsid w:val="3A887EF3"/>
    <w:rsid w:val="3A9F62F0"/>
    <w:rsid w:val="3AA71638"/>
    <w:rsid w:val="3AB01662"/>
    <w:rsid w:val="3AB7306C"/>
    <w:rsid w:val="3ABD7A25"/>
    <w:rsid w:val="3AC352C7"/>
    <w:rsid w:val="3AD47F56"/>
    <w:rsid w:val="3AD66EB0"/>
    <w:rsid w:val="3AEA6B29"/>
    <w:rsid w:val="3AF80793"/>
    <w:rsid w:val="3B0C646F"/>
    <w:rsid w:val="3B0E664A"/>
    <w:rsid w:val="3B1A4621"/>
    <w:rsid w:val="3B247C1B"/>
    <w:rsid w:val="3B293484"/>
    <w:rsid w:val="3B2A2D58"/>
    <w:rsid w:val="3B312338"/>
    <w:rsid w:val="3B385475"/>
    <w:rsid w:val="3B410BB3"/>
    <w:rsid w:val="3B4B78FC"/>
    <w:rsid w:val="3B4C6A77"/>
    <w:rsid w:val="3B4D5809"/>
    <w:rsid w:val="3B5D1512"/>
    <w:rsid w:val="3B5E379F"/>
    <w:rsid w:val="3B5F5322"/>
    <w:rsid w:val="3B660234"/>
    <w:rsid w:val="3B672ACA"/>
    <w:rsid w:val="3B6A4F24"/>
    <w:rsid w:val="3B846620"/>
    <w:rsid w:val="3B8A37F6"/>
    <w:rsid w:val="3B8C62F6"/>
    <w:rsid w:val="3B997154"/>
    <w:rsid w:val="3BA07C42"/>
    <w:rsid w:val="3BA411D2"/>
    <w:rsid w:val="3BB77A83"/>
    <w:rsid w:val="3BB92813"/>
    <w:rsid w:val="3BBA0580"/>
    <w:rsid w:val="3BBC6D51"/>
    <w:rsid w:val="3BE23BD0"/>
    <w:rsid w:val="3BEE1FD7"/>
    <w:rsid w:val="3C0435A9"/>
    <w:rsid w:val="3C06037B"/>
    <w:rsid w:val="3C067321"/>
    <w:rsid w:val="3C0B77AA"/>
    <w:rsid w:val="3C0F179A"/>
    <w:rsid w:val="3C123F18"/>
    <w:rsid w:val="3C131A3E"/>
    <w:rsid w:val="3C1713BA"/>
    <w:rsid w:val="3C1C7C06"/>
    <w:rsid w:val="3C225E7B"/>
    <w:rsid w:val="3C24435D"/>
    <w:rsid w:val="3C25485D"/>
    <w:rsid w:val="3C260672"/>
    <w:rsid w:val="3C3B2A6D"/>
    <w:rsid w:val="3C447A10"/>
    <w:rsid w:val="3C483F09"/>
    <w:rsid w:val="3C4A35E1"/>
    <w:rsid w:val="3C5462DE"/>
    <w:rsid w:val="3C5C42D6"/>
    <w:rsid w:val="3C5F4C83"/>
    <w:rsid w:val="3C6D0F47"/>
    <w:rsid w:val="3C7E3727"/>
    <w:rsid w:val="3C9708C1"/>
    <w:rsid w:val="3CA52FDE"/>
    <w:rsid w:val="3CB9732D"/>
    <w:rsid w:val="3CC176EC"/>
    <w:rsid w:val="3CC91F96"/>
    <w:rsid w:val="3CCF4006"/>
    <w:rsid w:val="3CE46A9A"/>
    <w:rsid w:val="3CE53DCB"/>
    <w:rsid w:val="3CE8111C"/>
    <w:rsid w:val="3CEF7AE9"/>
    <w:rsid w:val="3D0C0967"/>
    <w:rsid w:val="3D131155"/>
    <w:rsid w:val="3D264B73"/>
    <w:rsid w:val="3D29776B"/>
    <w:rsid w:val="3D2E2FD3"/>
    <w:rsid w:val="3D370C5D"/>
    <w:rsid w:val="3D3C3A4D"/>
    <w:rsid w:val="3D476E94"/>
    <w:rsid w:val="3D4A3C1A"/>
    <w:rsid w:val="3D51281E"/>
    <w:rsid w:val="3D526E89"/>
    <w:rsid w:val="3D594F2A"/>
    <w:rsid w:val="3D5D5C85"/>
    <w:rsid w:val="3D6764E5"/>
    <w:rsid w:val="3D6A65E2"/>
    <w:rsid w:val="3D7309E6"/>
    <w:rsid w:val="3D7F1816"/>
    <w:rsid w:val="3D845617"/>
    <w:rsid w:val="3D886735"/>
    <w:rsid w:val="3D8B73CB"/>
    <w:rsid w:val="3DBA6615"/>
    <w:rsid w:val="3DBB238D"/>
    <w:rsid w:val="3DCA7F50"/>
    <w:rsid w:val="3DCC459A"/>
    <w:rsid w:val="3DCE0A51"/>
    <w:rsid w:val="3DD029BD"/>
    <w:rsid w:val="3DD1696B"/>
    <w:rsid w:val="3DDD0555"/>
    <w:rsid w:val="3DE659D4"/>
    <w:rsid w:val="3DE713D4"/>
    <w:rsid w:val="3DF21128"/>
    <w:rsid w:val="3DF24001"/>
    <w:rsid w:val="3DF3207A"/>
    <w:rsid w:val="3DFD520C"/>
    <w:rsid w:val="3E016C29"/>
    <w:rsid w:val="3E0910AD"/>
    <w:rsid w:val="3E2E0DB1"/>
    <w:rsid w:val="3E32264F"/>
    <w:rsid w:val="3E330AC7"/>
    <w:rsid w:val="3E442382"/>
    <w:rsid w:val="3E492E08"/>
    <w:rsid w:val="3E4E4FAF"/>
    <w:rsid w:val="3E562276"/>
    <w:rsid w:val="3E60119E"/>
    <w:rsid w:val="3E694AB0"/>
    <w:rsid w:val="3E6E73FF"/>
    <w:rsid w:val="3E7013C9"/>
    <w:rsid w:val="3E703177"/>
    <w:rsid w:val="3E741759"/>
    <w:rsid w:val="3E7964D0"/>
    <w:rsid w:val="3E855C22"/>
    <w:rsid w:val="3E9616A9"/>
    <w:rsid w:val="3E9C1E20"/>
    <w:rsid w:val="3ED731F7"/>
    <w:rsid w:val="3EE651E8"/>
    <w:rsid w:val="3EEB6EB0"/>
    <w:rsid w:val="3EF45B57"/>
    <w:rsid w:val="3EF54881"/>
    <w:rsid w:val="3EFC1464"/>
    <w:rsid w:val="3EFC5C91"/>
    <w:rsid w:val="3F015462"/>
    <w:rsid w:val="3F0A537A"/>
    <w:rsid w:val="3F18409A"/>
    <w:rsid w:val="3F192EF0"/>
    <w:rsid w:val="3F220916"/>
    <w:rsid w:val="3F316186"/>
    <w:rsid w:val="3F3A5823"/>
    <w:rsid w:val="3F4C5993"/>
    <w:rsid w:val="3F676329"/>
    <w:rsid w:val="3F731171"/>
    <w:rsid w:val="3F8651FE"/>
    <w:rsid w:val="3F9663F7"/>
    <w:rsid w:val="3FA67EC9"/>
    <w:rsid w:val="3FB2485B"/>
    <w:rsid w:val="3FBE6063"/>
    <w:rsid w:val="3FC00805"/>
    <w:rsid w:val="3FC217B1"/>
    <w:rsid w:val="3FC53189"/>
    <w:rsid w:val="3FD00372"/>
    <w:rsid w:val="3FD80FD4"/>
    <w:rsid w:val="3FDC055E"/>
    <w:rsid w:val="3FE200A5"/>
    <w:rsid w:val="3FEC0896"/>
    <w:rsid w:val="3FF27145"/>
    <w:rsid w:val="3FF51B86"/>
    <w:rsid w:val="40112832"/>
    <w:rsid w:val="40132A12"/>
    <w:rsid w:val="40175FA1"/>
    <w:rsid w:val="401B0F1D"/>
    <w:rsid w:val="40277D6E"/>
    <w:rsid w:val="402E1360"/>
    <w:rsid w:val="40321FEF"/>
    <w:rsid w:val="403A27FA"/>
    <w:rsid w:val="404623E2"/>
    <w:rsid w:val="4050500F"/>
    <w:rsid w:val="40520D87"/>
    <w:rsid w:val="4057639D"/>
    <w:rsid w:val="405F5252"/>
    <w:rsid w:val="407634E7"/>
    <w:rsid w:val="40885098"/>
    <w:rsid w:val="40890521"/>
    <w:rsid w:val="408947E4"/>
    <w:rsid w:val="408B146A"/>
    <w:rsid w:val="40AF01C1"/>
    <w:rsid w:val="40B25A67"/>
    <w:rsid w:val="40B42BB0"/>
    <w:rsid w:val="40B96A15"/>
    <w:rsid w:val="40BD2F41"/>
    <w:rsid w:val="40CA6103"/>
    <w:rsid w:val="40CB6D8B"/>
    <w:rsid w:val="40CD2B03"/>
    <w:rsid w:val="40DF4951"/>
    <w:rsid w:val="40EF2A79"/>
    <w:rsid w:val="40EF5018"/>
    <w:rsid w:val="40F167F2"/>
    <w:rsid w:val="40F40FF2"/>
    <w:rsid w:val="40F50077"/>
    <w:rsid w:val="40F54AB3"/>
    <w:rsid w:val="40F6130A"/>
    <w:rsid w:val="410F6C78"/>
    <w:rsid w:val="411B085E"/>
    <w:rsid w:val="411E510D"/>
    <w:rsid w:val="41201FA8"/>
    <w:rsid w:val="41326729"/>
    <w:rsid w:val="413C5593"/>
    <w:rsid w:val="4140047A"/>
    <w:rsid w:val="414C3A28"/>
    <w:rsid w:val="4151663A"/>
    <w:rsid w:val="4168282C"/>
    <w:rsid w:val="417279ED"/>
    <w:rsid w:val="41760AA5"/>
    <w:rsid w:val="41884862"/>
    <w:rsid w:val="419D0727"/>
    <w:rsid w:val="41A0747D"/>
    <w:rsid w:val="41A53056"/>
    <w:rsid w:val="41A86E3C"/>
    <w:rsid w:val="41CD71E3"/>
    <w:rsid w:val="41DE70F8"/>
    <w:rsid w:val="41E2438C"/>
    <w:rsid w:val="41E9571B"/>
    <w:rsid w:val="41FE719C"/>
    <w:rsid w:val="42057202"/>
    <w:rsid w:val="42091919"/>
    <w:rsid w:val="42154762"/>
    <w:rsid w:val="421C6050"/>
    <w:rsid w:val="421F2635"/>
    <w:rsid w:val="42280A27"/>
    <w:rsid w:val="422B7940"/>
    <w:rsid w:val="422D312C"/>
    <w:rsid w:val="42316EF6"/>
    <w:rsid w:val="423A3232"/>
    <w:rsid w:val="424741EF"/>
    <w:rsid w:val="42521512"/>
    <w:rsid w:val="42563BDC"/>
    <w:rsid w:val="42731488"/>
    <w:rsid w:val="427F3924"/>
    <w:rsid w:val="42982C9D"/>
    <w:rsid w:val="42AF1A05"/>
    <w:rsid w:val="42B1553B"/>
    <w:rsid w:val="42B45D29"/>
    <w:rsid w:val="42CD6A93"/>
    <w:rsid w:val="42D068DB"/>
    <w:rsid w:val="42D404A5"/>
    <w:rsid w:val="42D40CC6"/>
    <w:rsid w:val="42D515CF"/>
    <w:rsid w:val="42D94B52"/>
    <w:rsid w:val="42DA25EC"/>
    <w:rsid w:val="42DB1D8F"/>
    <w:rsid w:val="42DC4BDC"/>
    <w:rsid w:val="42E63A08"/>
    <w:rsid w:val="42F03D14"/>
    <w:rsid w:val="42F10D44"/>
    <w:rsid w:val="42FE51F6"/>
    <w:rsid w:val="430976F7"/>
    <w:rsid w:val="431E7646"/>
    <w:rsid w:val="431F6F1A"/>
    <w:rsid w:val="4323043D"/>
    <w:rsid w:val="432F03B5"/>
    <w:rsid w:val="433F56DD"/>
    <w:rsid w:val="43564A6C"/>
    <w:rsid w:val="43615785"/>
    <w:rsid w:val="436D5ED7"/>
    <w:rsid w:val="436E295F"/>
    <w:rsid w:val="437501A1"/>
    <w:rsid w:val="437A6D15"/>
    <w:rsid w:val="437D05D2"/>
    <w:rsid w:val="43853B38"/>
    <w:rsid w:val="438F5E4E"/>
    <w:rsid w:val="43910F3B"/>
    <w:rsid w:val="43993170"/>
    <w:rsid w:val="43A5256D"/>
    <w:rsid w:val="43D16E36"/>
    <w:rsid w:val="43E44F36"/>
    <w:rsid w:val="43EC504E"/>
    <w:rsid w:val="43FD7FD0"/>
    <w:rsid w:val="440004EA"/>
    <w:rsid w:val="440920A4"/>
    <w:rsid w:val="44150A49"/>
    <w:rsid w:val="441920CF"/>
    <w:rsid w:val="441E1C4A"/>
    <w:rsid w:val="44225C7D"/>
    <w:rsid w:val="44343FA0"/>
    <w:rsid w:val="443609BF"/>
    <w:rsid w:val="4436276D"/>
    <w:rsid w:val="44452751"/>
    <w:rsid w:val="44453DDE"/>
    <w:rsid w:val="444F3386"/>
    <w:rsid w:val="44510F47"/>
    <w:rsid w:val="44562E10"/>
    <w:rsid w:val="44732A44"/>
    <w:rsid w:val="447D3666"/>
    <w:rsid w:val="4480639F"/>
    <w:rsid w:val="44896D41"/>
    <w:rsid w:val="448A7FE0"/>
    <w:rsid w:val="449364C6"/>
    <w:rsid w:val="44976953"/>
    <w:rsid w:val="4499005A"/>
    <w:rsid w:val="449D30CC"/>
    <w:rsid w:val="44A678F3"/>
    <w:rsid w:val="44B31285"/>
    <w:rsid w:val="44B519FC"/>
    <w:rsid w:val="44C06C97"/>
    <w:rsid w:val="44C7685F"/>
    <w:rsid w:val="44C86BBC"/>
    <w:rsid w:val="44CF1EC3"/>
    <w:rsid w:val="44D75CFE"/>
    <w:rsid w:val="44DE5C1D"/>
    <w:rsid w:val="44E52C92"/>
    <w:rsid w:val="44FD328B"/>
    <w:rsid w:val="451148C3"/>
    <w:rsid w:val="451F3201"/>
    <w:rsid w:val="45321187"/>
    <w:rsid w:val="453A628D"/>
    <w:rsid w:val="453E5D7D"/>
    <w:rsid w:val="45432264"/>
    <w:rsid w:val="454574E6"/>
    <w:rsid w:val="45482758"/>
    <w:rsid w:val="4557299B"/>
    <w:rsid w:val="455E18E0"/>
    <w:rsid w:val="456005A8"/>
    <w:rsid w:val="456D4831"/>
    <w:rsid w:val="457076DD"/>
    <w:rsid w:val="45771178"/>
    <w:rsid w:val="457A25EE"/>
    <w:rsid w:val="45857508"/>
    <w:rsid w:val="459612D4"/>
    <w:rsid w:val="4597364A"/>
    <w:rsid w:val="45993024"/>
    <w:rsid w:val="459F05AA"/>
    <w:rsid w:val="45A04303"/>
    <w:rsid w:val="45A100BA"/>
    <w:rsid w:val="45A303DF"/>
    <w:rsid w:val="45A61C08"/>
    <w:rsid w:val="45A650BB"/>
    <w:rsid w:val="45A656D1"/>
    <w:rsid w:val="45B15A9B"/>
    <w:rsid w:val="45BB5620"/>
    <w:rsid w:val="45C142B9"/>
    <w:rsid w:val="45C42E27"/>
    <w:rsid w:val="45CD7101"/>
    <w:rsid w:val="45DE30BD"/>
    <w:rsid w:val="45E70AE6"/>
    <w:rsid w:val="45F60406"/>
    <w:rsid w:val="46013300"/>
    <w:rsid w:val="460743C1"/>
    <w:rsid w:val="460D4731"/>
    <w:rsid w:val="460F6E40"/>
    <w:rsid w:val="46144D30"/>
    <w:rsid w:val="461B162C"/>
    <w:rsid w:val="46274F88"/>
    <w:rsid w:val="463A1317"/>
    <w:rsid w:val="464F7B16"/>
    <w:rsid w:val="46626AE8"/>
    <w:rsid w:val="46653C65"/>
    <w:rsid w:val="46700145"/>
    <w:rsid w:val="467C0783"/>
    <w:rsid w:val="46853538"/>
    <w:rsid w:val="468A6DA0"/>
    <w:rsid w:val="468E4393"/>
    <w:rsid w:val="46916381"/>
    <w:rsid w:val="46B95009"/>
    <w:rsid w:val="46BA7113"/>
    <w:rsid w:val="46BB51AC"/>
    <w:rsid w:val="46D02A05"/>
    <w:rsid w:val="46D402B7"/>
    <w:rsid w:val="46D70238"/>
    <w:rsid w:val="46EF5C1B"/>
    <w:rsid w:val="46F210A5"/>
    <w:rsid w:val="46F34946"/>
    <w:rsid w:val="46F813BD"/>
    <w:rsid w:val="46F92CE9"/>
    <w:rsid w:val="46FB1176"/>
    <w:rsid w:val="470152B5"/>
    <w:rsid w:val="47184149"/>
    <w:rsid w:val="471B4C11"/>
    <w:rsid w:val="471B7078"/>
    <w:rsid w:val="472236B7"/>
    <w:rsid w:val="47332F94"/>
    <w:rsid w:val="473445D6"/>
    <w:rsid w:val="473A3A0F"/>
    <w:rsid w:val="473F5DDD"/>
    <w:rsid w:val="474D4056"/>
    <w:rsid w:val="47541536"/>
    <w:rsid w:val="475806E6"/>
    <w:rsid w:val="475B5617"/>
    <w:rsid w:val="475F48AB"/>
    <w:rsid w:val="47606452"/>
    <w:rsid w:val="47677934"/>
    <w:rsid w:val="47730B93"/>
    <w:rsid w:val="477962C7"/>
    <w:rsid w:val="477D3A8F"/>
    <w:rsid w:val="478F54C6"/>
    <w:rsid w:val="479C0B0E"/>
    <w:rsid w:val="479E39FE"/>
    <w:rsid w:val="47C87B80"/>
    <w:rsid w:val="47CB7671"/>
    <w:rsid w:val="47E02ECA"/>
    <w:rsid w:val="47E32C0C"/>
    <w:rsid w:val="47FD3CCE"/>
    <w:rsid w:val="480C3F11"/>
    <w:rsid w:val="481608EC"/>
    <w:rsid w:val="482254E2"/>
    <w:rsid w:val="4828309D"/>
    <w:rsid w:val="482A083B"/>
    <w:rsid w:val="48345216"/>
    <w:rsid w:val="48375794"/>
    <w:rsid w:val="483B0352"/>
    <w:rsid w:val="483D2650"/>
    <w:rsid w:val="483E7E42"/>
    <w:rsid w:val="48482550"/>
    <w:rsid w:val="48572264"/>
    <w:rsid w:val="485F42ED"/>
    <w:rsid w:val="48610E04"/>
    <w:rsid w:val="486B768D"/>
    <w:rsid w:val="48707469"/>
    <w:rsid w:val="487D6E9C"/>
    <w:rsid w:val="4882590A"/>
    <w:rsid w:val="48857282"/>
    <w:rsid w:val="4889032E"/>
    <w:rsid w:val="488908B7"/>
    <w:rsid w:val="489436E2"/>
    <w:rsid w:val="48A35186"/>
    <w:rsid w:val="48AB62AA"/>
    <w:rsid w:val="48AE6D76"/>
    <w:rsid w:val="48B60321"/>
    <w:rsid w:val="48BB0DAA"/>
    <w:rsid w:val="48BF71D5"/>
    <w:rsid w:val="48C447EC"/>
    <w:rsid w:val="48E72E7B"/>
    <w:rsid w:val="48E74AE4"/>
    <w:rsid w:val="48F14EB5"/>
    <w:rsid w:val="49042E3A"/>
    <w:rsid w:val="490D6193"/>
    <w:rsid w:val="49150DC7"/>
    <w:rsid w:val="49170DBF"/>
    <w:rsid w:val="49177011"/>
    <w:rsid w:val="491A265E"/>
    <w:rsid w:val="493427F5"/>
    <w:rsid w:val="49387703"/>
    <w:rsid w:val="493B1719"/>
    <w:rsid w:val="493C06FE"/>
    <w:rsid w:val="493F0316"/>
    <w:rsid w:val="49471745"/>
    <w:rsid w:val="494B7C12"/>
    <w:rsid w:val="494E5765"/>
    <w:rsid w:val="495D579C"/>
    <w:rsid w:val="495E69EE"/>
    <w:rsid w:val="4966356E"/>
    <w:rsid w:val="49681B3A"/>
    <w:rsid w:val="4968786D"/>
    <w:rsid w:val="497269E1"/>
    <w:rsid w:val="49777AB0"/>
    <w:rsid w:val="497A75A0"/>
    <w:rsid w:val="49841792"/>
    <w:rsid w:val="499E010A"/>
    <w:rsid w:val="49A72B99"/>
    <w:rsid w:val="49BF1C34"/>
    <w:rsid w:val="49CE5232"/>
    <w:rsid w:val="49D4280C"/>
    <w:rsid w:val="49D92519"/>
    <w:rsid w:val="49DC5B65"/>
    <w:rsid w:val="49E42354"/>
    <w:rsid w:val="49E62EDD"/>
    <w:rsid w:val="49EF6290"/>
    <w:rsid w:val="49FC7B4B"/>
    <w:rsid w:val="4A070E34"/>
    <w:rsid w:val="4A0A21AD"/>
    <w:rsid w:val="4A1464CD"/>
    <w:rsid w:val="4A160224"/>
    <w:rsid w:val="4A282B58"/>
    <w:rsid w:val="4A302F3D"/>
    <w:rsid w:val="4A3B526E"/>
    <w:rsid w:val="4A425141"/>
    <w:rsid w:val="4A443E36"/>
    <w:rsid w:val="4A5036A9"/>
    <w:rsid w:val="4A6023C3"/>
    <w:rsid w:val="4A63378D"/>
    <w:rsid w:val="4A657908"/>
    <w:rsid w:val="4A677E6C"/>
    <w:rsid w:val="4A767978"/>
    <w:rsid w:val="4A835FE1"/>
    <w:rsid w:val="4A8F1F81"/>
    <w:rsid w:val="4A9B5A20"/>
    <w:rsid w:val="4AA70124"/>
    <w:rsid w:val="4ABA2289"/>
    <w:rsid w:val="4ABF1273"/>
    <w:rsid w:val="4AD134FA"/>
    <w:rsid w:val="4AD57353"/>
    <w:rsid w:val="4AD827D0"/>
    <w:rsid w:val="4ADB5E1D"/>
    <w:rsid w:val="4ADB6DED"/>
    <w:rsid w:val="4AFC26D1"/>
    <w:rsid w:val="4B007631"/>
    <w:rsid w:val="4B0A6E5A"/>
    <w:rsid w:val="4B0A7E05"/>
    <w:rsid w:val="4B0C4228"/>
    <w:rsid w:val="4B0E61F2"/>
    <w:rsid w:val="4B102D3B"/>
    <w:rsid w:val="4B156CE6"/>
    <w:rsid w:val="4B173C3F"/>
    <w:rsid w:val="4B1B11D7"/>
    <w:rsid w:val="4B226A7C"/>
    <w:rsid w:val="4B272E10"/>
    <w:rsid w:val="4B277BE5"/>
    <w:rsid w:val="4B3317B5"/>
    <w:rsid w:val="4B3612A5"/>
    <w:rsid w:val="4B427C4A"/>
    <w:rsid w:val="4B436BAC"/>
    <w:rsid w:val="4B553E21"/>
    <w:rsid w:val="4B643F76"/>
    <w:rsid w:val="4B6A4622"/>
    <w:rsid w:val="4B6C6A23"/>
    <w:rsid w:val="4B6D150E"/>
    <w:rsid w:val="4B6E0650"/>
    <w:rsid w:val="4B6F1BFD"/>
    <w:rsid w:val="4B773D97"/>
    <w:rsid w:val="4B8E10E1"/>
    <w:rsid w:val="4B9506C1"/>
    <w:rsid w:val="4B9B0CDC"/>
    <w:rsid w:val="4BAD77B9"/>
    <w:rsid w:val="4BBC79FC"/>
    <w:rsid w:val="4BC30D8B"/>
    <w:rsid w:val="4BC82845"/>
    <w:rsid w:val="4BC95350"/>
    <w:rsid w:val="4BCA036B"/>
    <w:rsid w:val="4BE156B5"/>
    <w:rsid w:val="4BE5595B"/>
    <w:rsid w:val="4BEA2EA8"/>
    <w:rsid w:val="4C0B6F5A"/>
    <w:rsid w:val="4C0D0258"/>
    <w:rsid w:val="4C101AF6"/>
    <w:rsid w:val="4C16214F"/>
    <w:rsid w:val="4C1A4723"/>
    <w:rsid w:val="4C1E2465"/>
    <w:rsid w:val="4C2332C4"/>
    <w:rsid w:val="4C3677AE"/>
    <w:rsid w:val="4C3D5259"/>
    <w:rsid w:val="4C3D6555"/>
    <w:rsid w:val="4C3E2501"/>
    <w:rsid w:val="4C5B5467"/>
    <w:rsid w:val="4C5E7766"/>
    <w:rsid w:val="4C664389"/>
    <w:rsid w:val="4C6B4F7E"/>
    <w:rsid w:val="4C7B1665"/>
    <w:rsid w:val="4C7C44E3"/>
    <w:rsid w:val="4C7D6D69"/>
    <w:rsid w:val="4C955D00"/>
    <w:rsid w:val="4C96791F"/>
    <w:rsid w:val="4C9B3AB5"/>
    <w:rsid w:val="4C9F200D"/>
    <w:rsid w:val="4CAC7B51"/>
    <w:rsid w:val="4CB03D2E"/>
    <w:rsid w:val="4CB03E0E"/>
    <w:rsid w:val="4CB614C5"/>
    <w:rsid w:val="4CCF19B1"/>
    <w:rsid w:val="4CDA2830"/>
    <w:rsid w:val="4CE17BD9"/>
    <w:rsid w:val="4CE30FB8"/>
    <w:rsid w:val="4CE52F83"/>
    <w:rsid w:val="4CEC38DE"/>
    <w:rsid w:val="4CEE52BC"/>
    <w:rsid w:val="4D096E53"/>
    <w:rsid w:val="4D0D18D2"/>
    <w:rsid w:val="4D155616"/>
    <w:rsid w:val="4D16155D"/>
    <w:rsid w:val="4D1801A9"/>
    <w:rsid w:val="4D183358"/>
    <w:rsid w:val="4D241F05"/>
    <w:rsid w:val="4D2C6E03"/>
    <w:rsid w:val="4D3A6515"/>
    <w:rsid w:val="4D453A21"/>
    <w:rsid w:val="4D492110"/>
    <w:rsid w:val="4D533C72"/>
    <w:rsid w:val="4D5A461B"/>
    <w:rsid w:val="4D677E3B"/>
    <w:rsid w:val="4D6B792C"/>
    <w:rsid w:val="4D7367E0"/>
    <w:rsid w:val="4D950505"/>
    <w:rsid w:val="4D984BDB"/>
    <w:rsid w:val="4D9A1FBF"/>
    <w:rsid w:val="4D9C7C8B"/>
    <w:rsid w:val="4DA362FC"/>
    <w:rsid w:val="4DA93FB0"/>
    <w:rsid w:val="4DAA1FD9"/>
    <w:rsid w:val="4DB32F52"/>
    <w:rsid w:val="4DC54F55"/>
    <w:rsid w:val="4DCB5741"/>
    <w:rsid w:val="4DCD7C9F"/>
    <w:rsid w:val="4DD52FF7"/>
    <w:rsid w:val="4DD908E7"/>
    <w:rsid w:val="4DF47921"/>
    <w:rsid w:val="4DF53699"/>
    <w:rsid w:val="4DF55447"/>
    <w:rsid w:val="4E127DA7"/>
    <w:rsid w:val="4E172861"/>
    <w:rsid w:val="4E345F70"/>
    <w:rsid w:val="4E3917D8"/>
    <w:rsid w:val="4E4759F1"/>
    <w:rsid w:val="4E524186"/>
    <w:rsid w:val="4E6600F3"/>
    <w:rsid w:val="4E770D22"/>
    <w:rsid w:val="4E7F7E3F"/>
    <w:rsid w:val="4E8B1908"/>
    <w:rsid w:val="4E907FC7"/>
    <w:rsid w:val="4E910C92"/>
    <w:rsid w:val="4E9133C2"/>
    <w:rsid w:val="4E967145"/>
    <w:rsid w:val="4EB1136E"/>
    <w:rsid w:val="4EC74EB6"/>
    <w:rsid w:val="4ECF344E"/>
    <w:rsid w:val="4EE01C53"/>
    <w:rsid w:val="4F0A4F22"/>
    <w:rsid w:val="4F11100E"/>
    <w:rsid w:val="4F133DD7"/>
    <w:rsid w:val="4F1638C7"/>
    <w:rsid w:val="4F216054"/>
    <w:rsid w:val="4F234952"/>
    <w:rsid w:val="4F2461C9"/>
    <w:rsid w:val="4F2A522D"/>
    <w:rsid w:val="4F3A75B6"/>
    <w:rsid w:val="4F3D0E54"/>
    <w:rsid w:val="4F401DA8"/>
    <w:rsid w:val="4F4F25BA"/>
    <w:rsid w:val="4F552641"/>
    <w:rsid w:val="4F585C8E"/>
    <w:rsid w:val="4F5C304F"/>
    <w:rsid w:val="4F697E9B"/>
    <w:rsid w:val="4F6F608E"/>
    <w:rsid w:val="4F750067"/>
    <w:rsid w:val="4F7A7FCB"/>
    <w:rsid w:val="4F7C04F1"/>
    <w:rsid w:val="4F8A493D"/>
    <w:rsid w:val="4F9822FD"/>
    <w:rsid w:val="4F9A3D3B"/>
    <w:rsid w:val="4F9C3D7E"/>
    <w:rsid w:val="4F9E4C55"/>
    <w:rsid w:val="4FAB4BF0"/>
    <w:rsid w:val="4FB05ACA"/>
    <w:rsid w:val="4FB235F0"/>
    <w:rsid w:val="4FB41A2E"/>
    <w:rsid w:val="4FB8704C"/>
    <w:rsid w:val="4FBE01E7"/>
    <w:rsid w:val="4FC31402"/>
    <w:rsid w:val="4FC357FD"/>
    <w:rsid w:val="4FC65024"/>
    <w:rsid w:val="4FC82E13"/>
    <w:rsid w:val="4FC96202"/>
    <w:rsid w:val="4FCB5BE5"/>
    <w:rsid w:val="4FCD544B"/>
    <w:rsid w:val="4FCE41A2"/>
    <w:rsid w:val="4FD85DEF"/>
    <w:rsid w:val="4FDC066D"/>
    <w:rsid w:val="4FDC3405"/>
    <w:rsid w:val="4FE50204"/>
    <w:rsid w:val="4FE80A55"/>
    <w:rsid w:val="4FE87012"/>
    <w:rsid w:val="4FF936BE"/>
    <w:rsid w:val="50195818"/>
    <w:rsid w:val="5020026A"/>
    <w:rsid w:val="502913D8"/>
    <w:rsid w:val="502C01E6"/>
    <w:rsid w:val="502D2BC4"/>
    <w:rsid w:val="503009B9"/>
    <w:rsid w:val="5035213F"/>
    <w:rsid w:val="50377F99"/>
    <w:rsid w:val="503A2A72"/>
    <w:rsid w:val="50435001"/>
    <w:rsid w:val="504F52E3"/>
    <w:rsid w:val="504F7091"/>
    <w:rsid w:val="50574C0D"/>
    <w:rsid w:val="505925E8"/>
    <w:rsid w:val="50593A6B"/>
    <w:rsid w:val="505B3C87"/>
    <w:rsid w:val="50644C8A"/>
    <w:rsid w:val="506E226D"/>
    <w:rsid w:val="508F5D29"/>
    <w:rsid w:val="50AA4283"/>
    <w:rsid w:val="50BB0282"/>
    <w:rsid w:val="50CF3045"/>
    <w:rsid w:val="50D15C5F"/>
    <w:rsid w:val="50D94BAC"/>
    <w:rsid w:val="50F6750C"/>
    <w:rsid w:val="51032DDC"/>
    <w:rsid w:val="510D6040"/>
    <w:rsid w:val="510F4DDC"/>
    <w:rsid w:val="512F70AE"/>
    <w:rsid w:val="5131770C"/>
    <w:rsid w:val="51320E31"/>
    <w:rsid w:val="51340035"/>
    <w:rsid w:val="51383FC9"/>
    <w:rsid w:val="513B6BB9"/>
    <w:rsid w:val="514069D9"/>
    <w:rsid w:val="51422751"/>
    <w:rsid w:val="515A4EB2"/>
    <w:rsid w:val="515D758B"/>
    <w:rsid w:val="516C2C31"/>
    <w:rsid w:val="516C6A46"/>
    <w:rsid w:val="516E1798"/>
    <w:rsid w:val="51844B18"/>
    <w:rsid w:val="51915CE5"/>
    <w:rsid w:val="519531C9"/>
    <w:rsid w:val="519D3E2C"/>
    <w:rsid w:val="51A0391C"/>
    <w:rsid w:val="51A7401D"/>
    <w:rsid w:val="51A76A58"/>
    <w:rsid w:val="51AE7DE7"/>
    <w:rsid w:val="51B15E5B"/>
    <w:rsid w:val="51D035A3"/>
    <w:rsid w:val="51DB0B9F"/>
    <w:rsid w:val="51E25CE3"/>
    <w:rsid w:val="51E53312"/>
    <w:rsid w:val="51EB46B4"/>
    <w:rsid w:val="51FF0643"/>
    <w:rsid w:val="52036086"/>
    <w:rsid w:val="520E63C2"/>
    <w:rsid w:val="521D51BC"/>
    <w:rsid w:val="521E2A0F"/>
    <w:rsid w:val="5233653E"/>
    <w:rsid w:val="52374280"/>
    <w:rsid w:val="52383B54"/>
    <w:rsid w:val="52540571"/>
    <w:rsid w:val="525A3ACB"/>
    <w:rsid w:val="525C548E"/>
    <w:rsid w:val="525F5585"/>
    <w:rsid w:val="52650DED"/>
    <w:rsid w:val="526A18B7"/>
    <w:rsid w:val="526F39AE"/>
    <w:rsid w:val="527821A3"/>
    <w:rsid w:val="527E3C5D"/>
    <w:rsid w:val="52846D9A"/>
    <w:rsid w:val="52891FF6"/>
    <w:rsid w:val="52A15B9E"/>
    <w:rsid w:val="52AF02BB"/>
    <w:rsid w:val="52B04F62"/>
    <w:rsid w:val="52B629C1"/>
    <w:rsid w:val="52BF782B"/>
    <w:rsid w:val="52DC1E0B"/>
    <w:rsid w:val="52E60A56"/>
    <w:rsid w:val="52EA0FEF"/>
    <w:rsid w:val="52FE08FA"/>
    <w:rsid w:val="531723BF"/>
    <w:rsid w:val="533A4B08"/>
    <w:rsid w:val="53424C8B"/>
    <w:rsid w:val="53486019"/>
    <w:rsid w:val="534D4075"/>
    <w:rsid w:val="53566988"/>
    <w:rsid w:val="535B1143"/>
    <w:rsid w:val="53620E89"/>
    <w:rsid w:val="536313F8"/>
    <w:rsid w:val="536527F1"/>
    <w:rsid w:val="536A5F90"/>
    <w:rsid w:val="53760DD8"/>
    <w:rsid w:val="53786570"/>
    <w:rsid w:val="537868FE"/>
    <w:rsid w:val="537915B8"/>
    <w:rsid w:val="537F7C8D"/>
    <w:rsid w:val="5391176E"/>
    <w:rsid w:val="53A501B4"/>
    <w:rsid w:val="53B3402E"/>
    <w:rsid w:val="53B607E4"/>
    <w:rsid w:val="53BA0610"/>
    <w:rsid w:val="53BF452D"/>
    <w:rsid w:val="53C1637F"/>
    <w:rsid w:val="53C65EAE"/>
    <w:rsid w:val="53D22848"/>
    <w:rsid w:val="53EA0E7E"/>
    <w:rsid w:val="53EC2E48"/>
    <w:rsid w:val="54043ADF"/>
    <w:rsid w:val="54060FA4"/>
    <w:rsid w:val="54232D0E"/>
    <w:rsid w:val="54295E4B"/>
    <w:rsid w:val="544669FD"/>
    <w:rsid w:val="54474BD9"/>
    <w:rsid w:val="545033D7"/>
    <w:rsid w:val="5454111A"/>
    <w:rsid w:val="545436CC"/>
    <w:rsid w:val="5462725E"/>
    <w:rsid w:val="54640C31"/>
    <w:rsid w:val="5466115C"/>
    <w:rsid w:val="54694499"/>
    <w:rsid w:val="548B08B3"/>
    <w:rsid w:val="54907C78"/>
    <w:rsid w:val="549A4653"/>
    <w:rsid w:val="54A43723"/>
    <w:rsid w:val="54A82FD9"/>
    <w:rsid w:val="54A92AE8"/>
    <w:rsid w:val="54B2579F"/>
    <w:rsid w:val="54B3013C"/>
    <w:rsid w:val="54BA4CF5"/>
    <w:rsid w:val="54C811C0"/>
    <w:rsid w:val="54CF254E"/>
    <w:rsid w:val="54CF4FD8"/>
    <w:rsid w:val="54D062C6"/>
    <w:rsid w:val="54D264E2"/>
    <w:rsid w:val="54D266C7"/>
    <w:rsid w:val="54D74270"/>
    <w:rsid w:val="54E81862"/>
    <w:rsid w:val="54E87AB4"/>
    <w:rsid w:val="54EC780F"/>
    <w:rsid w:val="54F70BA6"/>
    <w:rsid w:val="54FB4F3E"/>
    <w:rsid w:val="55090D9F"/>
    <w:rsid w:val="550C365E"/>
    <w:rsid w:val="551045B4"/>
    <w:rsid w:val="55116D6D"/>
    <w:rsid w:val="55193C63"/>
    <w:rsid w:val="55236D3E"/>
    <w:rsid w:val="5525762E"/>
    <w:rsid w:val="552D3719"/>
    <w:rsid w:val="553E035A"/>
    <w:rsid w:val="55501EF0"/>
    <w:rsid w:val="55611377"/>
    <w:rsid w:val="556524CE"/>
    <w:rsid w:val="557865AC"/>
    <w:rsid w:val="557B09D1"/>
    <w:rsid w:val="557E3F74"/>
    <w:rsid w:val="557F4285"/>
    <w:rsid w:val="55821CB6"/>
    <w:rsid w:val="55877A65"/>
    <w:rsid w:val="55915A56"/>
    <w:rsid w:val="559E232F"/>
    <w:rsid w:val="55A21A11"/>
    <w:rsid w:val="55B558BD"/>
    <w:rsid w:val="55B6642E"/>
    <w:rsid w:val="55BC3556"/>
    <w:rsid w:val="55BE25C3"/>
    <w:rsid w:val="55C27D1F"/>
    <w:rsid w:val="55CC4AE2"/>
    <w:rsid w:val="55CE14B2"/>
    <w:rsid w:val="55D16071"/>
    <w:rsid w:val="55D379B6"/>
    <w:rsid w:val="55DA73FC"/>
    <w:rsid w:val="55E611E4"/>
    <w:rsid w:val="55E815CD"/>
    <w:rsid w:val="55F12998"/>
    <w:rsid w:val="560C77D2"/>
    <w:rsid w:val="560D7FB2"/>
    <w:rsid w:val="56186536"/>
    <w:rsid w:val="561E4E53"/>
    <w:rsid w:val="562143BA"/>
    <w:rsid w:val="562B48BC"/>
    <w:rsid w:val="562C1C22"/>
    <w:rsid w:val="563261A5"/>
    <w:rsid w:val="563665FD"/>
    <w:rsid w:val="563A7F05"/>
    <w:rsid w:val="563C2DA6"/>
    <w:rsid w:val="563D5BDD"/>
    <w:rsid w:val="5645506B"/>
    <w:rsid w:val="564A6AEC"/>
    <w:rsid w:val="565328D9"/>
    <w:rsid w:val="565E4F71"/>
    <w:rsid w:val="56600F7A"/>
    <w:rsid w:val="5667455A"/>
    <w:rsid w:val="567333AD"/>
    <w:rsid w:val="567C6182"/>
    <w:rsid w:val="56836023"/>
    <w:rsid w:val="568455BA"/>
    <w:rsid w:val="56892BD1"/>
    <w:rsid w:val="568D26C1"/>
    <w:rsid w:val="568D446F"/>
    <w:rsid w:val="568F6DAF"/>
    <w:rsid w:val="569E55E9"/>
    <w:rsid w:val="56B23207"/>
    <w:rsid w:val="56B23ED5"/>
    <w:rsid w:val="56DE116E"/>
    <w:rsid w:val="56E46059"/>
    <w:rsid w:val="57030BD5"/>
    <w:rsid w:val="5706139C"/>
    <w:rsid w:val="570709E8"/>
    <w:rsid w:val="57106E4E"/>
    <w:rsid w:val="5714693E"/>
    <w:rsid w:val="571832C4"/>
    <w:rsid w:val="571E3436"/>
    <w:rsid w:val="571E7796"/>
    <w:rsid w:val="572D17AE"/>
    <w:rsid w:val="57305BC4"/>
    <w:rsid w:val="57350AB8"/>
    <w:rsid w:val="573F0FA2"/>
    <w:rsid w:val="57430C6B"/>
    <w:rsid w:val="57512E94"/>
    <w:rsid w:val="57542BD1"/>
    <w:rsid w:val="575B3FCB"/>
    <w:rsid w:val="575E5E0B"/>
    <w:rsid w:val="57647CA1"/>
    <w:rsid w:val="5767297D"/>
    <w:rsid w:val="57672B61"/>
    <w:rsid w:val="576B5D5C"/>
    <w:rsid w:val="57776B47"/>
    <w:rsid w:val="577C44E3"/>
    <w:rsid w:val="578669AD"/>
    <w:rsid w:val="57917F8F"/>
    <w:rsid w:val="57967CD6"/>
    <w:rsid w:val="5798756F"/>
    <w:rsid w:val="57996E43"/>
    <w:rsid w:val="579A56AE"/>
    <w:rsid w:val="57A40295"/>
    <w:rsid w:val="57B222DA"/>
    <w:rsid w:val="57B76348"/>
    <w:rsid w:val="57BC2D85"/>
    <w:rsid w:val="57BD6FD6"/>
    <w:rsid w:val="57C11E79"/>
    <w:rsid w:val="57C45C81"/>
    <w:rsid w:val="57C55FDF"/>
    <w:rsid w:val="57CA34A1"/>
    <w:rsid w:val="57D52571"/>
    <w:rsid w:val="57D60097"/>
    <w:rsid w:val="57DD1426"/>
    <w:rsid w:val="57E66915"/>
    <w:rsid w:val="57F14ED1"/>
    <w:rsid w:val="57F56069"/>
    <w:rsid w:val="580031DB"/>
    <w:rsid w:val="581801AF"/>
    <w:rsid w:val="581D2D0D"/>
    <w:rsid w:val="581F1EB4"/>
    <w:rsid w:val="582133EC"/>
    <w:rsid w:val="58256929"/>
    <w:rsid w:val="582E3A30"/>
    <w:rsid w:val="58306DCA"/>
    <w:rsid w:val="584A6390"/>
    <w:rsid w:val="584F7295"/>
    <w:rsid w:val="5864655E"/>
    <w:rsid w:val="586A366C"/>
    <w:rsid w:val="5870079B"/>
    <w:rsid w:val="587262AF"/>
    <w:rsid w:val="588767D5"/>
    <w:rsid w:val="58877E09"/>
    <w:rsid w:val="58935F89"/>
    <w:rsid w:val="589A7317"/>
    <w:rsid w:val="589B1531"/>
    <w:rsid w:val="589C2A32"/>
    <w:rsid w:val="58A973A7"/>
    <w:rsid w:val="58B33F35"/>
    <w:rsid w:val="58C619D3"/>
    <w:rsid w:val="58D56530"/>
    <w:rsid w:val="58D72319"/>
    <w:rsid w:val="58FC7C11"/>
    <w:rsid w:val="590B3D71"/>
    <w:rsid w:val="591164A1"/>
    <w:rsid w:val="59162E41"/>
    <w:rsid w:val="591B286D"/>
    <w:rsid w:val="591F4A55"/>
    <w:rsid w:val="593201A4"/>
    <w:rsid w:val="593730A6"/>
    <w:rsid w:val="595067C4"/>
    <w:rsid w:val="59613991"/>
    <w:rsid w:val="596811C3"/>
    <w:rsid w:val="596C2A61"/>
    <w:rsid w:val="596F2552"/>
    <w:rsid w:val="59701E26"/>
    <w:rsid w:val="59722042"/>
    <w:rsid w:val="59733350"/>
    <w:rsid w:val="59737A9B"/>
    <w:rsid w:val="597D2E80"/>
    <w:rsid w:val="597E40F8"/>
    <w:rsid w:val="597F44FB"/>
    <w:rsid w:val="5980475F"/>
    <w:rsid w:val="598558D1"/>
    <w:rsid w:val="599476BF"/>
    <w:rsid w:val="599E4BE5"/>
    <w:rsid w:val="59AD307A"/>
    <w:rsid w:val="59B148B3"/>
    <w:rsid w:val="59B603A2"/>
    <w:rsid w:val="59BF08B9"/>
    <w:rsid w:val="59C52172"/>
    <w:rsid w:val="59C81C62"/>
    <w:rsid w:val="59D80FE8"/>
    <w:rsid w:val="59F62CB8"/>
    <w:rsid w:val="59F75710"/>
    <w:rsid w:val="59F82FC0"/>
    <w:rsid w:val="59F840BD"/>
    <w:rsid w:val="59F92801"/>
    <w:rsid w:val="5A0F0785"/>
    <w:rsid w:val="5A1C3400"/>
    <w:rsid w:val="5A2746AC"/>
    <w:rsid w:val="5A2D1A6B"/>
    <w:rsid w:val="5A347325"/>
    <w:rsid w:val="5A514F94"/>
    <w:rsid w:val="5A540A55"/>
    <w:rsid w:val="5A6C7C45"/>
    <w:rsid w:val="5A753B98"/>
    <w:rsid w:val="5A787F6B"/>
    <w:rsid w:val="5A875679"/>
    <w:rsid w:val="5AA96839"/>
    <w:rsid w:val="5AAE2C06"/>
    <w:rsid w:val="5ABA15AB"/>
    <w:rsid w:val="5ABF3247"/>
    <w:rsid w:val="5AC77486"/>
    <w:rsid w:val="5ACB4E94"/>
    <w:rsid w:val="5ACC12DE"/>
    <w:rsid w:val="5ACD39D4"/>
    <w:rsid w:val="5AD45C28"/>
    <w:rsid w:val="5AFC6067"/>
    <w:rsid w:val="5B0D3DD0"/>
    <w:rsid w:val="5B1F7BBA"/>
    <w:rsid w:val="5B20232C"/>
    <w:rsid w:val="5B2F1F99"/>
    <w:rsid w:val="5B3402E5"/>
    <w:rsid w:val="5B340F77"/>
    <w:rsid w:val="5B4A50DF"/>
    <w:rsid w:val="5B51685C"/>
    <w:rsid w:val="5B6E21AB"/>
    <w:rsid w:val="5B7B51DE"/>
    <w:rsid w:val="5B7F45A2"/>
    <w:rsid w:val="5B8043ED"/>
    <w:rsid w:val="5B876C81"/>
    <w:rsid w:val="5B8F6EDB"/>
    <w:rsid w:val="5B9C6F02"/>
    <w:rsid w:val="5BA04C44"/>
    <w:rsid w:val="5BC35F72"/>
    <w:rsid w:val="5BDF0058"/>
    <w:rsid w:val="5BE508A9"/>
    <w:rsid w:val="5BEC7F89"/>
    <w:rsid w:val="5BED3C02"/>
    <w:rsid w:val="5BF81DEC"/>
    <w:rsid w:val="5BFE799C"/>
    <w:rsid w:val="5C0351D3"/>
    <w:rsid w:val="5C0D0432"/>
    <w:rsid w:val="5C155267"/>
    <w:rsid w:val="5C292E8C"/>
    <w:rsid w:val="5C2E481C"/>
    <w:rsid w:val="5C325BDC"/>
    <w:rsid w:val="5C3E52F0"/>
    <w:rsid w:val="5C51043A"/>
    <w:rsid w:val="5C584438"/>
    <w:rsid w:val="5C5A1297"/>
    <w:rsid w:val="5C5B0B6B"/>
    <w:rsid w:val="5C5F065B"/>
    <w:rsid w:val="5C6043D4"/>
    <w:rsid w:val="5C6E67D0"/>
    <w:rsid w:val="5C6F46D1"/>
    <w:rsid w:val="5C7261E1"/>
    <w:rsid w:val="5C736BB2"/>
    <w:rsid w:val="5C8527F8"/>
    <w:rsid w:val="5C95428E"/>
    <w:rsid w:val="5C9F6CAA"/>
    <w:rsid w:val="5CA6628A"/>
    <w:rsid w:val="5CB3152B"/>
    <w:rsid w:val="5CB60EF7"/>
    <w:rsid w:val="5CB84E24"/>
    <w:rsid w:val="5CBB785C"/>
    <w:rsid w:val="5CBE2735"/>
    <w:rsid w:val="5CBF6A35"/>
    <w:rsid w:val="5CC93D27"/>
    <w:rsid w:val="5CCB24F6"/>
    <w:rsid w:val="5CE70B91"/>
    <w:rsid w:val="5CEB081A"/>
    <w:rsid w:val="5CED5D03"/>
    <w:rsid w:val="5CEE5E83"/>
    <w:rsid w:val="5CF632F6"/>
    <w:rsid w:val="5CF92248"/>
    <w:rsid w:val="5CFF1E3E"/>
    <w:rsid w:val="5D0714DD"/>
    <w:rsid w:val="5D155089"/>
    <w:rsid w:val="5D1C479E"/>
    <w:rsid w:val="5D1D22C5"/>
    <w:rsid w:val="5D235584"/>
    <w:rsid w:val="5D283143"/>
    <w:rsid w:val="5D2B3C3E"/>
    <w:rsid w:val="5D2E0F81"/>
    <w:rsid w:val="5D360994"/>
    <w:rsid w:val="5D413767"/>
    <w:rsid w:val="5D59154F"/>
    <w:rsid w:val="5D5E07CD"/>
    <w:rsid w:val="5D602572"/>
    <w:rsid w:val="5D70790B"/>
    <w:rsid w:val="5D7B74B8"/>
    <w:rsid w:val="5D82776F"/>
    <w:rsid w:val="5D8C77A0"/>
    <w:rsid w:val="5D973E25"/>
    <w:rsid w:val="5D9F15A6"/>
    <w:rsid w:val="5DAF116F"/>
    <w:rsid w:val="5DAF73C1"/>
    <w:rsid w:val="5DB234E3"/>
    <w:rsid w:val="5DB949BF"/>
    <w:rsid w:val="5DC47BF6"/>
    <w:rsid w:val="5DC92E28"/>
    <w:rsid w:val="5DCA30B0"/>
    <w:rsid w:val="5E0212FE"/>
    <w:rsid w:val="5E084E56"/>
    <w:rsid w:val="5E0E57E3"/>
    <w:rsid w:val="5E12549E"/>
    <w:rsid w:val="5E1D7D7E"/>
    <w:rsid w:val="5E2A6A47"/>
    <w:rsid w:val="5E2B286C"/>
    <w:rsid w:val="5E2C5942"/>
    <w:rsid w:val="5E547F68"/>
    <w:rsid w:val="5E604B5F"/>
    <w:rsid w:val="5E622736"/>
    <w:rsid w:val="5E721F3B"/>
    <w:rsid w:val="5E8545C5"/>
    <w:rsid w:val="5E897C12"/>
    <w:rsid w:val="5E8B5250"/>
    <w:rsid w:val="5E8C1F7E"/>
    <w:rsid w:val="5E9D56C7"/>
    <w:rsid w:val="5EAA5872"/>
    <w:rsid w:val="5EAB2102"/>
    <w:rsid w:val="5EB01642"/>
    <w:rsid w:val="5EB575C6"/>
    <w:rsid w:val="5EB6477F"/>
    <w:rsid w:val="5EBA0137"/>
    <w:rsid w:val="5EBD3D5F"/>
    <w:rsid w:val="5ECD1E29"/>
    <w:rsid w:val="5ED9312D"/>
    <w:rsid w:val="5EDA2F92"/>
    <w:rsid w:val="5EF62DCD"/>
    <w:rsid w:val="5F136AB0"/>
    <w:rsid w:val="5F1514A5"/>
    <w:rsid w:val="5F166FCB"/>
    <w:rsid w:val="5F1C2834"/>
    <w:rsid w:val="5F30008D"/>
    <w:rsid w:val="5F471B8D"/>
    <w:rsid w:val="5F473629"/>
    <w:rsid w:val="5F4A339A"/>
    <w:rsid w:val="5F4F0E5B"/>
    <w:rsid w:val="5F546472"/>
    <w:rsid w:val="5F572386"/>
    <w:rsid w:val="5F5D2E4C"/>
    <w:rsid w:val="5F67322F"/>
    <w:rsid w:val="5F6F68F1"/>
    <w:rsid w:val="5F7056A6"/>
    <w:rsid w:val="5F8719B6"/>
    <w:rsid w:val="5F89026D"/>
    <w:rsid w:val="5F8D2C16"/>
    <w:rsid w:val="5F8F4CE5"/>
    <w:rsid w:val="5F9B4A44"/>
    <w:rsid w:val="5FAB3BB8"/>
    <w:rsid w:val="5FB07420"/>
    <w:rsid w:val="5FB14342"/>
    <w:rsid w:val="5FC30F01"/>
    <w:rsid w:val="5FC56E7F"/>
    <w:rsid w:val="5FD54B3D"/>
    <w:rsid w:val="5FEA2EC3"/>
    <w:rsid w:val="5FED41D0"/>
    <w:rsid w:val="5FF336A2"/>
    <w:rsid w:val="5FF96EEF"/>
    <w:rsid w:val="60196D73"/>
    <w:rsid w:val="601D73D2"/>
    <w:rsid w:val="603C0CB4"/>
    <w:rsid w:val="60430294"/>
    <w:rsid w:val="60556630"/>
    <w:rsid w:val="60625F3E"/>
    <w:rsid w:val="60646B56"/>
    <w:rsid w:val="606F1089"/>
    <w:rsid w:val="60795A64"/>
    <w:rsid w:val="607B29E4"/>
    <w:rsid w:val="60822B6A"/>
    <w:rsid w:val="60835C70"/>
    <w:rsid w:val="60912DAE"/>
    <w:rsid w:val="60917251"/>
    <w:rsid w:val="60932FCA"/>
    <w:rsid w:val="60986200"/>
    <w:rsid w:val="60A01243"/>
    <w:rsid w:val="60B15681"/>
    <w:rsid w:val="60B46A9C"/>
    <w:rsid w:val="60B62814"/>
    <w:rsid w:val="60C74A21"/>
    <w:rsid w:val="60D35710"/>
    <w:rsid w:val="60D8301C"/>
    <w:rsid w:val="60DF1D93"/>
    <w:rsid w:val="60E2116F"/>
    <w:rsid w:val="60F60453"/>
    <w:rsid w:val="60F82E2D"/>
    <w:rsid w:val="60FF1179"/>
    <w:rsid w:val="61007F33"/>
    <w:rsid w:val="61041715"/>
    <w:rsid w:val="610935D6"/>
    <w:rsid w:val="61167757"/>
    <w:rsid w:val="611C6D40"/>
    <w:rsid w:val="61204131"/>
    <w:rsid w:val="613025C6"/>
    <w:rsid w:val="613149BD"/>
    <w:rsid w:val="613155F1"/>
    <w:rsid w:val="614632BC"/>
    <w:rsid w:val="6155202D"/>
    <w:rsid w:val="61610BE0"/>
    <w:rsid w:val="61662887"/>
    <w:rsid w:val="61671D60"/>
    <w:rsid w:val="61686BC3"/>
    <w:rsid w:val="6170330B"/>
    <w:rsid w:val="61706BEA"/>
    <w:rsid w:val="61731240"/>
    <w:rsid w:val="6175447D"/>
    <w:rsid w:val="617A5099"/>
    <w:rsid w:val="61860438"/>
    <w:rsid w:val="61905EB4"/>
    <w:rsid w:val="61A66D2D"/>
    <w:rsid w:val="61BF35E5"/>
    <w:rsid w:val="61C4086B"/>
    <w:rsid w:val="61C64E36"/>
    <w:rsid w:val="61CE40DB"/>
    <w:rsid w:val="61D500E5"/>
    <w:rsid w:val="61D90EB0"/>
    <w:rsid w:val="61DC73F8"/>
    <w:rsid w:val="61E433B1"/>
    <w:rsid w:val="61EB0BE3"/>
    <w:rsid w:val="61EC2469"/>
    <w:rsid w:val="61FA506D"/>
    <w:rsid w:val="61FD29CA"/>
    <w:rsid w:val="61FE025C"/>
    <w:rsid w:val="62087D51"/>
    <w:rsid w:val="620B00ED"/>
    <w:rsid w:val="620C5D12"/>
    <w:rsid w:val="62151181"/>
    <w:rsid w:val="62314848"/>
    <w:rsid w:val="623213C3"/>
    <w:rsid w:val="623B56C7"/>
    <w:rsid w:val="62455D2B"/>
    <w:rsid w:val="624E25AF"/>
    <w:rsid w:val="624F64AB"/>
    <w:rsid w:val="625831CF"/>
    <w:rsid w:val="625F62E9"/>
    <w:rsid w:val="62683FE2"/>
    <w:rsid w:val="626E60DF"/>
    <w:rsid w:val="627E1973"/>
    <w:rsid w:val="628250A4"/>
    <w:rsid w:val="62864D95"/>
    <w:rsid w:val="62911B02"/>
    <w:rsid w:val="629B43B7"/>
    <w:rsid w:val="629B7F14"/>
    <w:rsid w:val="629F7C6C"/>
    <w:rsid w:val="62A80882"/>
    <w:rsid w:val="62B22353"/>
    <w:rsid w:val="62B44C73"/>
    <w:rsid w:val="62BB6808"/>
    <w:rsid w:val="62C51434"/>
    <w:rsid w:val="62C76F5B"/>
    <w:rsid w:val="62CC631F"/>
    <w:rsid w:val="62D520AC"/>
    <w:rsid w:val="62E02800"/>
    <w:rsid w:val="62E573E1"/>
    <w:rsid w:val="62E95227"/>
    <w:rsid w:val="62F32E1E"/>
    <w:rsid w:val="62F44B0E"/>
    <w:rsid w:val="63035AB9"/>
    <w:rsid w:val="63212B95"/>
    <w:rsid w:val="63266B63"/>
    <w:rsid w:val="63400ABB"/>
    <w:rsid w:val="635051A2"/>
    <w:rsid w:val="635A392B"/>
    <w:rsid w:val="6362074D"/>
    <w:rsid w:val="63701B9A"/>
    <w:rsid w:val="63751B3B"/>
    <w:rsid w:val="63770981"/>
    <w:rsid w:val="638210D3"/>
    <w:rsid w:val="63821863"/>
    <w:rsid w:val="638415A1"/>
    <w:rsid w:val="638C36A0"/>
    <w:rsid w:val="639100C0"/>
    <w:rsid w:val="639130C5"/>
    <w:rsid w:val="63A4104A"/>
    <w:rsid w:val="63A6378A"/>
    <w:rsid w:val="63B0175C"/>
    <w:rsid w:val="63B1103D"/>
    <w:rsid w:val="63C05146"/>
    <w:rsid w:val="63C5022A"/>
    <w:rsid w:val="63C81B5F"/>
    <w:rsid w:val="63CF5861"/>
    <w:rsid w:val="63D23967"/>
    <w:rsid w:val="63D77671"/>
    <w:rsid w:val="63F057BF"/>
    <w:rsid w:val="63F20007"/>
    <w:rsid w:val="63F41FD1"/>
    <w:rsid w:val="63F529BB"/>
    <w:rsid w:val="64002C56"/>
    <w:rsid w:val="64127E15"/>
    <w:rsid w:val="642C3481"/>
    <w:rsid w:val="643B36EE"/>
    <w:rsid w:val="64440C3B"/>
    <w:rsid w:val="644D348F"/>
    <w:rsid w:val="6458033D"/>
    <w:rsid w:val="64607667"/>
    <w:rsid w:val="64682077"/>
    <w:rsid w:val="646A5DEF"/>
    <w:rsid w:val="64740A1C"/>
    <w:rsid w:val="64772233"/>
    <w:rsid w:val="6488619D"/>
    <w:rsid w:val="648C013F"/>
    <w:rsid w:val="648F3AA8"/>
    <w:rsid w:val="64915A72"/>
    <w:rsid w:val="64980E76"/>
    <w:rsid w:val="64994161"/>
    <w:rsid w:val="649E3E18"/>
    <w:rsid w:val="64AD324C"/>
    <w:rsid w:val="64AD3F2E"/>
    <w:rsid w:val="64AF5EF8"/>
    <w:rsid w:val="64B4350F"/>
    <w:rsid w:val="64B654D9"/>
    <w:rsid w:val="64BD18A6"/>
    <w:rsid w:val="64C33F17"/>
    <w:rsid w:val="64C5070B"/>
    <w:rsid w:val="64E6167F"/>
    <w:rsid w:val="64EA33D4"/>
    <w:rsid w:val="64EB66A0"/>
    <w:rsid w:val="64F41B5D"/>
    <w:rsid w:val="64FB113D"/>
    <w:rsid w:val="65044496"/>
    <w:rsid w:val="650A75D2"/>
    <w:rsid w:val="650C6EA7"/>
    <w:rsid w:val="65161901"/>
    <w:rsid w:val="6522491C"/>
    <w:rsid w:val="65444892"/>
    <w:rsid w:val="654A1BF2"/>
    <w:rsid w:val="655C606A"/>
    <w:rsid w:val="657E3510"/>
    <w:rsid w:val="65841133"/>
    <w:rsid w:val="6586557A"/>
    <w:rsid w:val="658B0713"/>
    <w:rsid w:val="659B3DD0"/>
    <w:rsid w:val="65A5045A"/>
    <w:rsid w:val="65AA1D66"/>
    <w:rsid w:val="65B52F05"/>
    <w:rsid w:val="65C05FB4"/>
    <w:rsid w:val="65D31C24"/>
    <w:rsid w:val="65DA51F7"/>
    <w:rsid w:val="65E45E63"/>
    <w:rsid w:val="65E971E8"/>
    <w:rsid w:val="65F00576"/>
    <w:rsid w:val="65F55AD4"/>
    <w:rsid w:val="65F55B8D"/>
    <w:rsid w:val="65F64672"/>
    <w:rsid w:val="65F94FCF"/>
    <w:rsid w:val="65FC516D"/>
    <w:rsid w:val="65FC792C"/>
    <w:rsid w:val="65FD77DA"/>
    <w:rsid w:val="6602449A"/>
    <w:rsid w:val="660E6C4E"/>
    <w:rsid w:val="66245845"/>
    <w:rsid w:val="662E640F"/>
    <w:rsid w:val="66303069"/>
    <w:rsid w:val="6639369B"/>
    <w:rsid w:val="6640400A"/>
    <w:rsid w:val="66446655"/>
    <w:rsid w:val="664A5F45"/>
    <w:rsid w:val="66552656"/>
    <w:rsid w:val="665B2D46"/>
    <w:rsid w:val="66647E93"/>
    <w:rsid w:val="666B4BA8"/>
    <w:rsid w:val="668A04D8"/>
    <w:rsid w:val="668B6989"/>
    <w:rsid w:val="66937F9E"/>
    <w:rsid w:val="66940880"/>
    <w:rsid w:val="66986524"/>
    <w:rsid w:val="66B503D6"/>
    <w:rsid w:val="66C72D13"/>
    <w:rsid w:val="66C74EC6"/>
    <w:rsid w:val="66CE47F2"/>
    <w:rsid w:val="66CE7576"/>
    <w:rsid w:val="66ED432C"/>
    <w:rsid w:val="66F67E0E"/>
    <w:rsid w:val="66F95B50"/>
    <w:rsid w:val="670047E9"/>
    <w:rsid w:val="67004B3C"/>
    <w:rsid w:val="670A38BA"/>
    <w:rsid w:val="670D2F25"/>
    <w:rsid w:val="67113D80"/>
    <w:rsid w:val="67185FD7"/>
    <w:rsid w:val="672758C1"/>
    <w:rsid w:val="672B6970"/>
    <w:rsid w:val="672C1A82"/>
    <w:rsid w:val="672F6C8B"/>
    <w:rsid w:val="67327623"/>
    <w:rsid w:val="67567318"/>
    <w:rsid w:val="675A14F2"/>
    <w:rsid w:val="67752F32"/>
    <w:rsid w:val="677E7693"/>
    <w:rsid w:val="6785255D"/>
    <w:rsid w:val="67890C82"/>
    <w:rsid w:val="678B70F7"/>
    <w:rsid w:val="678D7E47"/>
    <w:rsid w:val="67A13E5D"/>
    <w:rsid w:val="67AD71DB"/>
    <w:rsid w:val="67B04461"/>
    <w:rsid w:val="67B20E9E"/>
    <w:rsid w:val="67B556CF"/>
    <w:rsid w:val="67D0240D"/>
    <w:rsid w:val="67D1458C"/>
    <w:rsid w:val="67D429D4"/>
    <w:rsid w:val="67EA640D"/>
    <w:rsid w:val="67ED19DC"/>
    <w:rsid w:val="67F1102B"/>
    <w:rsid w:val="67F16F85"/>
    <w:rsid w:val="67F53B1D"/>
    <w:rsid w:val="6804655B"/>
    <w:rsid w:val="6813679E"/>
    <w:rsid w:val="681D54E9"/>
    <w:rsid w:val="68212C69"/>
    <w:rsid w:val="682E4ACA"/>
    <w:rsid w:val="68320F9A"/>
    <w:rsid w:val="6833299C"/>
    <w:rsid w:val="683F7593"/>
    <w:rsid w:val="684F3F6D"/>
    <w:rsid w:val="685342E6"/>
    <w:rsid w:val="68535FEC"/>
    <w:rsid w:val="685F19E3"/>
    <w:rsid w:val="68617B37"/>
    <w:rsid w:val="687840AB"/>
    <w:rsid w:val="687D2657"/>
    <w:rsid w:val="68864A1A"/>
    <w:rsid w:val="688B3B0D"/>
    <w:rsid w:val="688E6B79"/>
    <w:rsid w:val="68A25FEB"/>
    <w:rsid w:val="68B56D21"/>
    <w:rsid w:val="68B7339D"/>
    <w:rsid w:val="68D32C89"/>
    <w:rsid w:val="68D777CC"/>
    <w:rsid w:val="68E83799"/>
    <w:rsid w:val="68EB0ED6"/>
    <w:rsid w:val="68EF2D67"/>
    <w:rsid w:val="68F71B4A"/>
    <w:rsid w:val="68F75951"/>
    <w:rsid w:val="690765F0"/>
    <w:rsid w:val="690F3409"/>
    <w:rsid w:val="69284282"/>
    <w:rsid w:val="692D4963"/>
    <w:rsid w:val="693410C2"/>
    <w:rsid w:val="694255B5"/>
    <w:rsid w:val="69434606"/>
    <w:rsid w:val="69464EE8"/>
    <w:rsid w:val="694B54CC"/>
    <w:rsid w:val="69531548"/>
    <w:rsid w:val="69581096"/>
    <w:rsid w:val="695B1C3F"/>
    <w:rsid w:val="696D1EDE"/>
    <w:rsid w:val="6985062C"/>
    <w:rsid w:val="698768A6"/>
    <w:rsid w:val="698E2580"/>
    <w:rsid w:val="69921E6E"/>
    <w:rsid w:val="69955974"/>
    <w:rsid w:val="69980975"/>
    <w:rsid w:val="699D6BFF"/>
    <w:rsid w:val="69A47F55"/>
    <w:rsid w:val="69AB2BAD"/>
    <w:rsid w:val="69B6105B"/>
    <w:rsid w:val="69B951A0"/>
    <w:rsid w:val="69B97CE3"/>
    <w:rsid w:val="69BE6F3C"/>
    <w:rsid w:val="69CB2F4D"/>
    <w:rsid w:val="69D32890"/>
    <w:rsid w:val="69F06D97"/>
    <w:rsid w:val="69F94582"/>
    <w:rsid w:val="69FC398E"/>
    <w:rsid w:val="6A026528"/>
    <w:rsid w:val="6A0E51B1"/>
    <w:rsid w:val="6A1703FE"/>
    <w:rsid w:val="6A184412"/>
    <w:rsid w:val="6A1F767C"/>
    <w:rsid w:val="6A254BD0"/>
    <w:rsid w:val="6A2B7DCF"/>
    <w:rsid w:val="6A3F1E8C"/>
    <w:rsid w:val="6A4964A7"/>
    <w:rsid w:val="6A5F5CCB"/>
    <w:rsid w:val="6A654F9E"/>
    <w:rsid w:val="6A6A6920"/>
    <w:rsid w:val="6A6B3750"/>
    <w:rsid w:val="6A6C04ED"/>
    <w:rsid w:val="6A731F22"/>
    <w:rsid w:val="6A7A3035"/>
    <w:rsid w:val="6A820D49"/>
    <w:rsid w:val="6A890F99"/>
    <w:rsid w:val="6A8B4D12"/>
    <w:rsid w:val="6A9562C0"/>
    <w:rsid w:val="6A9C2A7B"/>
    <w:rsid w:val="6ABB507A"/>
    <w:rsid w:val="6ABD50A1"/>
    <w:rsid w:val="6AC1781F"/>
    <w:rsid w:val="6AC23F08"/>
    <w:rsid w:val="6ACC3392"/>
    <w:rsid w:val="6AD14E1A"/>
    <w:rsid w:val="6ADC2EC4"/>
    <w:rsid w:val="6ADC37BF"/>
    <w:rsid w:val="6AE67325"/>
    <w:rsid w:val="6AE67C30"/>
    <w:rsid w:val="6AEA37B4"/>
    <w:rsid w:val="6AEC0AA6"/>
    <w:rsid w:val="6AF64881"/>
    <w:rsid w:val="6AF74EFE"/>
    <w:rsid w:val="6AFC176B"/>
    <w:rsid w:val="6AFF4DA7"/>
    <w:rsid w:val="6B05358E"/>
    <w:rsid w:val="6B0A032C"/>
    <w:rsid w:val="6B0F612A"/>
    <w:rsid w:val="6B2007E4"/>
    <w:rsid w:val="6B20545A"/>
    <w:rsid w:val="6B226630"/>
    <w:rsid w:val="6B426AD4"/>
    <w:rsid w:val="6B4750DC"/>
    <w:rsid w:val="6B533A81"/>
    <w:rsid w:val="6B647ABE"/>
    <w:rsid w:val="6B6E0360"/>
    <w:rsid w:val="6B9E3044"/>
    <w:rsid w:val="6BA02A3F"/>
    <w:rsid w:val="6BA73DCD"/>
    <w:rsid w:val="6BAB69D0"/>
    <w:rsid w:val="6BB04B7E"/>
    <w:rsid w:val="6BB65DBE"/>
    <w:rsid w:val="6BBA3471"/>
    <w:rsid w:val="6BC73B27"/>
    <w:rsid w:val="6BCF0C2E"/>
    <w:rsid w:val="6BE87152"/>
    <w:rsid w:val="6BF40694"/>
    <w:rsid w:val="6C0C59DE"/>
    <w:rsid w:val="6C1E5A53"/>
    <w:rsid w:val="6C203154"/>
    <w:rsid w:val="6C2471CC"/>
    <w:rsid w:val="6C397AD4"/>
    <w:rsid w:val="6C4231A7"/>
    <w:rsid w:val="6C446F3F"/>
    <w:rsid w:val="6C4F322F"/>
    <w:rsid w:val="6C525064"/>
    <w:rsid w:val="6C545C48"/>
    <w:rsid w:val="6C5E0930"/>
    <w:rsid w:val="6C615F18"/>
    <w:rsid w:val="6C643A6C"/>
    <w:rsid w:val="6C69186D"/>
    <w:rsid w:val="6C6F0630"/>
    <w:rsid w:val="6C8275CD"/>
    <w:rsid w:val="6C835840"/>
    <w:rsid w:val="6C844A88"/>
    <w:rsid w:val="6C8620F1"/>
    <w:rsid w:val="6C936F9C"/>
    <w:rsid w:val="6C937EAD"/>
    <w:rsid w:val="6CA125CA"/>
    <w:rsid w:val="6CA65E33"/>
    <w:rsid w:val="6CA669D4"/>
    <w:rsid w:val="6CA92E76"/>
    <w:rsid w:val="6CAD0F6F"/>
    <w:rsid w:val="6CB53262"/>
    <w:rsid w:val="6CB56B62"/>
    <w:rsid w:val="6CB57E24"/>
    <w:rsid w:val="6CC54D46"/>
    <w:rsid w:val="6CC94BB5"/>
    <w:rsid w:val="6CCA7D73"/>
    <w:rsid w:val="6CCB1DFC"/>
    <w:rsid w:val="6CD209D6"/>
    <w:rsid w:val="6CD75FEC"/>
    <w:rsid w:val="6CDE381E"/>
    <w:rsid w:val="6CDF1D98"/>
    <w:rsid w:val="6CE55E74"/>
    <w:rsid w:val="6CEB1A97"/>
    <w:rsid w:val="6CEC4026"/>
    <w:rsid w:val="6CF04659"/>
    <w:rsid w:val="6CF7043C"/>
    <w:rsid w:val="6CF951CB"/>
    <w:rsid w:val="6CFD2097"/>
    <w:rsid w:val="6D0C7466"/>
    <w:rsid w:val="6D0F5486"/>
    <w:rsid w:val="6D1234C8"/>
    <w:rsid w:val="6D1546D1"/>
    <w:rsid w:val="6D1A3FF7"/>
    <w:rsid w:val="6D1E6F03"/>
    <w:rsid w:val="6D286848"/>
    <w:rsid w:val="6D3003BC"/>
    <w:rsid w:val="6D4C0A26"/>
    <w:rsid w:val="6D580A51"/>
    <w:rsid w:val="6D5835D1"/>
    <w:rsid w:val="6D5A38B8"/>
    <w:rsid w:val="6D5B6399"/>
    <w:rsid w:val="6D68758C"/>
    <w:rsid w:val="6D793A21"/>
    <w:rsid w:val="6D7C6B93"/>
    <w:rsid w:val="6D885538"/>
    <w:rsid w:val="6D89643E"/>
    <w:rsid w:val="6D951258"/>
    <w:rsid w:val="6D965EA7"/>
    <w:rsid w:val="6D9C5A9B"/>
    <w:rsid w:val="6DA00AD4"/>
    <w:rsid w:val="6DA27A12"/>
    <w:rsid w:val="6DA32D1D"/>
    <w:rsid w:val="6DAA0B15"/>
    <w:rsid w:val="6DAA1953"/>
    <w:rsid w:val="6DAC1227"/>
    <w:rsid w:val="6DAD31F1"/>
    <w:rsid w:val="6DB4042E"/>
    <w:rsid w:val="6DDD11FE"/>
    <w:rsid w:val="6DE4711E"/>
    <w:rsid w:val="6DE81023"/>
    <w:rsid w:val="6DE82DA9"/>
    <w:rsid w:val="6DE97F52"/>
    <w:rsid w:val="6DEB014F"/>
    <w:rsid w:val="6DF37070"/>
    <w:rsid w:val="6DFC2E29"/>
    <w:rsid w:val="6DFD721E"/>
    <w:rsid w:val="6E005A16"/>
    <w:rsid w:val="6E02353D"/>
    <w:rsid w:val="6E047679"/>
    <w:rsid w:val="6E09760F"/>
    <w:rsid w:val="6E0C7F17"/>
    <w:rsid w:val="6E0E33A7"/>
    <w:rsid w:val="6E0F3FD9"/>
    <w:rsid w:val="6E1469C0"/>
    <w:rsid w:val="6E1D0376"/>
    <w:rsid w:val="6E2056CA"/>
    <w:rsid w:val="6E205953"/>
    <w:rsid w:val="6E221FBF"/>
    <w:rsid w:val="6E2D4AAE"/>
    <w:rsid w:val="6E313E22"/>
    <w:rsid w:val="6E3429CE"/>
    <w:rsid w:val="6E3B07FD"/>
    <w:rsid w:val="6E4512D6"/>
    <w:rsid w:val="6E59613F"/>
    <w:rsid w:val="6E5A6ED5"/>
    <w:rsid w:val="6E5B2779"/>
    <w:rsid w:val="6E7B75BF"/>
    <w:rsid w:val="6E7D0E15"/>
    <w:rsid w:val="6E7F3C61"/>
    <w:rsid w:val="6E8E3022"/>
    <w:rsid w:val="6E9028F6"/>
    <w:rsid w:val="6E9323A2"/>
    <w:rsid w:val="6EA42846"/>
    <w:rsid w:val="6EAB5982"/>
    <w:rsid w:val="6EB81E4D"/>
    <w:rsid w:val="6EBC7B8F"/>
    <w:rsid w:val="6EC95DBB"/>
    <w:rsid w:val="6ECB657E"/>
    <w:rsid w:val="6EDD18B4"/>
    <w:rsid w:val="6EDF562C"/>
    <w:rsid w:val="6EE13152"/>
    <w:rsid w:val="6EEA6F06"/>
    <w:rsid w:val="6EED03F4"/>
    <w:rsid w:val="6EFA2466"/>
    <w:rsid w:val="6EFC7F8C"/>
    <w:rsid w:val="6F0E1CF7"/>
    <w:rsid w:val="6F1654F2"/>
    <w:rsid w:val="6F17152E"/>
    <w:rsid w:val="6F3C65DA"/>
    <w:rsid w:val="6F5A222E"/>
    <w:rsid w:val="6F631DB9"/>
    <w:rsid w:val="6F690D5D"/>
    <w:rsid w:val="6F71612C"/>
    <w:rsid w:val="6F981177"/>
    <w:rsid w:val="6FA10B33"/>
    <w:rsid w:val="6FA26D85"/>
    <w:rsid w:val="6FAC0A12"/>
    <w:rsid w:val="6FAC7652"/>
    <w:rsid w:val="6FAC7C04"/>
    <w:rsid w:val="6FB66984"/>
    <w:rsid w:val="6FBD0B20"/>
    <w:rsid w:val="6FC415FB"/>
    <w:rsid w:val="6FC741FB"/>
    <w:rsid w:val="6FCC6840"/>
    <w:rsid w:val="6FDE58E3"/>
    <w:rsid w:val="6FF92209"/>
    <w:rsid w:val="6FFD6E2F"/>
    <w:rsid w:val="700F1F41"/>
    <w:rsid w:val="701443B1"/>
    <w:rsid w:val="702D7965"/>
    <w:rsid w:val="70317ED0"/>
    <w:rsid w:val="70333E81"/>
    <w:rsid w:val="70342A56"/>
    <w:rsid w:val="703577AD"/>
    <w:rsid w:val="7041394D"/>
    <w:rsid w:val="7047792D"/>
    <w:rsid w:val="70480890"/>
    <w:rsid w:val="70482395"/>
    <w:rsid w:val="7048670A"/>
    <w:rsid w:val="704C20A6"/>
    <w:rsid w:val="70523676"/>
    <w:rsid w:val="70624F46"/>
    <w:rsid w:val="70671D7D"/>
    <w:rsid w:val="70711915"/>
    <w:rsid w:val="7080699B"/>
    <w:rsid w:val="70822713"/>
    <w:rsid w:val="708A2460"/>
    <w:rsid w:val="708F6BDE"/>
    <w:rsid w:val="7095315E"/>
    <w:rsid w:val="709A41CE"/>
    <w:rsid w:val="709D579F"/>
    <w:rsid w:val="709E2999"/>
    <w:rsid w:val="70AF366D"/>
    <w:rsid w:val="70B57A97"/>
    <w:rsid w:val="70C32653"/>
    <w:rsid w:val="70C9668F"/>
    <w:rsid w:val="70D26425"/>
    <w:rsid w:val="70E34FD8"/>
    <w:rsid w:val="70E9087D"/>
    <w:rsid w:val="70F341A6"/>
    <w:rsid w:val="70F64EEA"/>
    <w:rsid w:val="70F73F6D"/>
    <w:rsid w:val="70F8504C"/>
    <w:rsid w:val="70F85CE8"/>
    <w:rsid w:val="71017ADB"/>
    <w:rsid w:val="710347DF"/>
    <w:rsid w:val="71153587"/>
    <w:rsid w:val="7116404F"/>
    <w:rsid w:val="71171271"/>
    <w:rsid w:val="712415F8"/>
    <w:rsid w:val="712860CB"/>
    <w:rsid w:val="71327C95"/>
    <w:rsid w:val="71341C5F"/>
    <w:rsid w:val="714621A8"/>
    <w:rsid w:val="714B6FA9"/>
    <w:rsid w:val="71502AB1"/>
    <w:rsid w:val="71593474"/>
    <w:rsid w:val="716064E0"/>
    <w:rsid w:val="716B519F"/>
    <w:rsid w:val="71701106"/>
    <w:rsid w:val="71704C61"/>
    <w:rsid w:val="717107C9"/>
    <w:rsid w:val="71724535"/>
    <w:rsid w:val="71744751"/>
    <w:rsid w:val="717A4770"/>
    <w:rsid w:val="71802EA9"/>
    <w:rsid w:val="718C67DA"/>
    <w:rsid w:val="718E0FA7"/>
    <w:rsid w:val="718F3339"/>
    <w:rsid w:val="71951611"/>
    <w:rsid w:val="71AA571F"/>
    <w:rsid w:val="71B16B61"/>
    <w:rsid w:val="71B903C0"/>
    <w:rsid w:val="71BC5C79"/>
    <w:rsid w:val="71BF551A"/>
    <w:rsid w:val="71C32FE3"/>
    <w:rsid w:val="71D40D4C"/>
    <w:rsid w:val="71DB7A5C"/>
    <w:rsid w:val="71E01DE7"/>
    <w:rsid w:val="71EC3AC2"/>
    <w:rsid w:val="71ED62B2"/>
    <w:rsid w:val="71F45EB5"/>
    <w:rsid w:val="71F80EC2"/>
    <w:rsid w:val="720A6E64"/>
    <w:rsid w:val="720C2776"/>
    <w:rsid w:val="721F6FDD"/>
    <w:rsid w:val="72261FA8"/>
    <w:rsid w:val="722A12B4"/>
    <w:rsid w:val="724459A9"/>
    <w:rsid w:val="7249173A"/>
    <w:rsid w:val="72503C01"/>
    <w:rsid w:val="7256679E"/>
    <w:rsid w:val="72571B87"/>
    <w:rsid w:val="72624542"/>
    <w:rsid w:val="7273425B"/>
    <w:rsid w:val="727644F9"/>
    <w:rsid w:val="727A0E5E"/>
    <w:rsid w:val="728D1EB9"/>
    <w:rsid w:val="729A01B1"/>
    <w:rsid w:val="72AE5A41"/>
    <w:rsid w:val="72B2040B"/>
    <w:rsid w:val="72B92879"/>
    <w:rsid w:val="72C32673"/>
    <w:rsid w:val="72D17F72"/>
    <w:rsid w:val="72D51220"/>
    <w:rsid w:val="72D94F0F"/>
    <w:rsid w:val="72DA05E4"/>
    <w:rsid w:val="72E0338A"/>
    <w:rsid w:val="72E2393D"/>
    <w:rsid w:val="72E62227"/>
    <w:rsid w:val="72F0605A"/>
    <w:rsid w:val="731D4126"/>
    <w:rsid w:val="7325545D"/>
    <w:rsid w:val="732A0B0A"/>
    <w:rsid w:val="732A48DD"/>
    <w:rsid w:val="732B7092"/>
    <w:rsid w:val="73412360"/>
    <w:rsid w:val="7349576A"/>
    <w:rsid w:val="73497518"/>
    <w:rsid w:val="734C340B"/>
    <w:rsid w:val="734E3C5A"/>
    <w:rsid w:val="73571FD2"/>
    <w:rsid w:val="736425A4"/>
    <w:rsid w:val="736825EF"/>
    <w:rsid w:val="736D4654"/>
    <w:rsid w:val="73731534"/>
    <w:rsid w:val="73792FA4"/>
    <w:rsid w:val="737C5B3F"/>
    <w:rsid w:val="738844E4"/>
    <w:rsid w:val="739174DF"/>
    <w:rsid w:val="739E1612"/>
    <w:rsid w:val="739E717E"/>
    <w:rsid w:val="739F538A"/>
    <w:rsid w:val="73A155A6"/>
    <w:rsid w:val="73AD30AD"/>
    <w:rsid w:val="73AE3345"/>
    <w:rsid w:val="73B452D9"/>
    <w:rsid w:val="73B70925"/>
    <w:rsid w:val="73B726D3"/>
    <w:rsid w:val="73C40A94"/>
    <w:rsid w:val="73C42AC0"/>
    <w:rsid w:val="73C848E1"/>
    <w:rsid w:val="73D56FFD"/>
    <w:rsid w:val="73DB0AB8"/>
    <w:rsid w:val="73E7745D"/>
    <w:rsid w:val="73E97B4F"/>
    <w:rsid w:val="73EC7472"/>
    <w:rsid w:val="73FE47A6"/>
    <w:rsid w:val="74033B6B"/>
    <w:rsid w:val="740805B3"/>
    <w:rsid w:val="740B6B33"/>
    <w:rsid w:val="74126C01"/>
    <w:rsid w:val="7419513C"/>
    <w:rsid w:val="74251D33"/>
    <w:rsid w:val="74304A2C"/>
    <w:rsid w:val="74351904"/>
    <w:rsid w:val="743E4017"/>
    <w:rsid w:val="74455F31"/>
    <w:rsid w:val="744943BA"/>
    <w:rsid w:val="744B1EF8"/>
    <w:rsid w:val="74545834"/>
    <w:rsid w:val="74622DA6"/>
    <w:rsid w:val="746639F5"/>
    <w:rsid w:val="746F387C"/>
    <w:rsid w:val="74801136"/>
    <w:rsid w:val="74830BC1"/>
    <w:rsid w:val="748474DA"/>
    <w:rsid w:val="748E51A4"/>
    <w:rsid w:val="748F0B50"/>
    <w:rsid w:val="74995FAA"/>
    <w:rsid w:val="74A14C3A"/>
    <w:rsid w:val="74A66C0D"/>
    <w:rsid w:val="74AA5F4F"/>
    <w:rsid w:val="74AC7D5E"/>
    <w:rsid w:val="74B66E2F"/>
    <w:rsid w:val="74BE7A92"/>
    <w:rsid w:val="74C12C69"/>
    <w:rsid w:val="74EB6AD9"/>
    <w:rsid w:val="74EE6AD0"/>
    <w:rsid w:val="74F02341"/>
    <w:rsid w:val="74F46E8C"/>
    <w:rsid w:val="74F55BA9"/>
    <w:rsid w:val="74F944F9"/>
    <w:rsid w:val="74FA2DFF"/>
    <w:rsid w:val="750D3A6F"/>
    <w:rsid w:val="750E08F8"/>
    <w:rsid w:val="751029E3"/>
    <w:rsid w:val="751C3136"/>
    <w:rsid w:val="751F6782"/>
    <w:rsid w:val="75212BFD"/>
    <w:rsid w:val="7522622B"/>
    <w:rsid w:val="752478BB"/>
    <w:rsid w:val="75410DEE"/>
    <w:rsid w:val="754306E3"/>
    <w:rsid w:val="754601B3"/>
    <w:rsid w:val="7546388F"/>
    <w:rsid w:val="75491A51"/>
    <w:rsid w:val="754E73F4"/>
    <w:rsid w:val="755328D0"/>
    <w:rsid w:val="755A1EB0"/>
    <w:rsid w:val="755C79D6"/>
    <w:rsid w:val="756A6A1B"/>
    <w:rsid w:val="75830D80"/>
    <w:rsid w:val="75873290"/>
    <w:rsid w:val="7589009F"/>
    <w:rsid w:val="75894543"/>
    <w:rsid w:val="7592197C"/>
    <w:rsid w:val="759B4351"/>
    <w:rsid w:val="75A93F2C"/>
    <w:rsid w:val="75B674A4"/>
    <w:rsid w:val="75B94E29"/>
    <w:rsid w:val="75B96BD7"/>
    <w:rsid w:val="75BB7AD4"/>
    <w:rsid w:val="75BC2223"/>
    <w:rsid w:val="75C312A3"/>
    <w:rsid w:val="75C8033F"/>
    <w:rsid w:val="75E1612D"/>
    <w:rsid w:val="75E905E3"/>
    <w:rsid w:val="760360A4"/>
    <w:rsid w:val="76085468"/>
    <w:rsid w:val="762F6E4A"/>
    <w:rsid w:val="76320331"/>
    <w:rsid w:val="764447CB"/>
    <w:rsid w:val="764D0C4D"/>
    <w:rsid w:val="764F230E"/>
    <w:rsid w:val="76641C80"/>
    <w:rsid w:val="76657DD5"/>
    <w:rsid w:val="76685F07"/>
    <w:rsid w:val="766C3C49"/>
    <w:rsid w:val="7671600B"/>
    <w:rsid w:val="76830F93"/>
    <w:rsid w:val="76960CC6"/>
    <w:rsid w:val="769E7B7B"/>
    <w:rsid w:val="76A06B52"/>
    <w:rsid w:val="76A1577F"/>
    <w:rsid w:val="76AE6010"/>
    <w:rsid w:val="76B455F0"/>
    <w:rsid w:val="76BD6505"/>
    <w:rsid w:val="76DA32A9"/>
    <w:rsid w:val="76E14B65"/>
    <w:rsid w:val="76E2615A"/>
    <w:rsid w:val="76E732D0"/>
    <w:rsid w:val="76F771B9"/>
    <w:rsid w:val="770179C1"/>
    <w:rsid w:val="7702635B"/>
    <w:rsid w:val="770648B1"/>
    <w:rsid w:val="77075720"/>
    <w:rsid w:val="77106CCA"/>
    <w:rsid w:val="7718792D"/>
    <w:rsid w:val="771B741D"/>
    <w:rsid w:val="771F2A69"/>
    <w:rsid w:val="77266D5B"/>
    <w:rsid w:val="772B58B2"/>
    <w:rsid w:val="773109EF"/>
    <w:rsid w:val="773177CA"/>
    <w:rsid w:val="773A683D"/>
    <w:rsid w:val="77443A25"/>
    <w:rsid w:val="7754728F"/>
    <w:rsid w:val="775546DD"/>
    <w:rsid w:val="775A0B55"/>
    <w:rsid w:val="7761640E"/>
    <w:rsid w:val="7763329E"/>
    <w:rsid w:val="77675C2A"/>
    <w:rsid w:val="776C3889"/>
    <w:rsid w:val="777D74C1"/>
    <w:rsid w:val="7782124A"/>
    <w:rsid w:val="77844FC2"/>
    <w:rsid w:val="77884AB3"/>
    <w:rsid w:val="778925D9"/>
    <w:rsid w:val="77944E83"/>
    <w:rsid w:val="77A41BF0"/>
    <w:rsid w:val="77A64F39"/>
    <w:rsid w:val="77AB07A1"/>
    <w:rsid w:val="77B05DB7"/>
    <w:rsid w:val="77B5517C"/>
    <w:rsid w:val="77BC650A"/>
    <w:rsid w:val="77C307BF"/>
    <w:rsid w:val="77CC3057"/>
    <w:rsid w:val="77DB72D8"/>
    <w:rsid w:val="77DC095A"/>
    <w:rsid w:val="77E9658A"/>
    <w:rsid w:val="77EB08C0"/>
    <w:rsid w:val="77EB3293"/>
    <w:rsid w:val="77F263D0"/>
    <w:rsid w:val="78034139"/>
    <w:rsid w:val="78106856"/>
    <w:rsid w:val="781378E7"/>
    <w:rsid w:val="78162870"/>
    <w:rsid w:val="781C68CA"/>
    <w:rsid w:val="782328AA"/>
    <w:rsid w:val="78235D60"/>
    <w:rsid w:val="78281DF2"/>
    <w:rsid w:val="782A3BAD"/>
    <w:rsid w:val="78370287"/>
    <w:rsid w:val="783764D9"/>
    <w:rsid w:val="783A4786"/>
    <w:rsid w:val="783E5A5F"/>
    <w:rsid w:val="784F3822"/>
    <w:rsid w:val="78515B09"/>
    <w:rsid w:val="78525B31"/>
    <w:rsid w:val="785901FD"/>
    <w:rsid w:val="785E1CB7"/>
    <w:rsid w:val="78681BA9"/>
    <w:rsid w:val="786B1CDE"/>
    <w:rsid w:val="786E73D3"/>
    <w:rsid w:val="78790B94"/>
    <w:rsid w:val="787B4FBA"/>
    <w:rsid w:val="787D213D"/>
    <w:rsid w:val="787E16AF"/>
    <w:rsid w:val="78864909"/>
    <w:rsid w:val="78916DC1"/>
    <w:rsid w:val="78A3591C"/>
    <w:rsid w:val="78A43B6E"/>
    <w:rsid w:val="78A7540C"/>
    <w:rsid w:val="78AC14EC"/>
    <w:rsid w:val="78BE2F6D"/>
    <w:rsid w:val="78C55892"/>
    <w:rsid w:val="78C81D43"/>
    <w:rsid w:val="78E33F6B"/>
    <w:rsid w:val="78E424E3"/>
    <w:rsid w:val="78EC72C3"/>
    <w:rsid w:val="78F426B9"/>
    <w:rsid w:val="791153FF"/>
    <w:rsid w:val="792F2405"/>
    <w:rsid w:val="793420B5"/>
    <w:rsid w:val="79377117"/>
    <w:rsid w:val="79440EAD"/>
    <w:rsid w:val="79450781"/>
    <w:rsid w:val="794744F9"/>
    <w:rsid w:val="794B223C"/>
    <w:rsid w:val="794C5D4C"/>
    <w:rsid w:val="795A7D4C"/>
    <w:rsid w:val="795E22EF"/>
    <w:rsid w:val="7960127B"/>
    <w:rsid w:val="79607369"/>
    <w:rsid w:val="79660E24"/>
    <w:rsid w:val="7973228F"/>
    <w:rsid w:val="79773031"/>
    <w:rsid w:val="798E2128"/>
    <w:rsid w:val="79924211"/>
    <w:rsid w:val="7993773F"/>
    <w:rsid w:val="79B7342D"/>
    <w:rsid w:val="79C56768"/>
    <w:rsid w:val="79DA35C0"/>
    <w:rsid w:val="79E217A7"/>
    <w:rsid w:val="79E81839"/>
    <w:rsid w:val="79E81EBB"/>
    <w:rsid w:val="79EA3C86"/>
    <w:rsid w:val="79FD1A15"/>
    <w:rsid w:val="7A081EDB"/>
    <w:rsid w:val="7A0F16BE"/>
    <w:rsid w:val="7A1563A6"/>
    <w:rsid w:val="7A4D1FE3"/>
    <w:rsid w:val="7A5507DB"/>
    <w:rsid w:val="7A592A6D"/>
    <w:rsid w:val="7A5C6674"/>
    <w:rsid w:val="7A60357C"/>
    <w:rsid w:val="7A65732D"/>
    <w:rsid w:val="7A664E53"/>
    <w:rsid w:val="7A666C01"/>
    <w:rsid w:val="7A6A04A0"/>
    <w:rsid w:val="7A6A5012"/>
    <w:rsid w:val="7A767A7E"/>
    <w:rsid w:val="7A804A05"/>
    <w:rsid w:val="7A805F15"/>
    <w:rsid w:val="7A83243B"/>
    <w:rsid w:val="7A933F84"/>
    <w:rsid w:val="7A9B4FA0"/>
    <w:rsid w:val="7A9C5FFB"/>
    <w:rsid w:val="7AA46065"/>
    <w:rsid w:val="7AAB4ECE"/>
    <w:rsid w:val="7AAB7FF0"/>
    <w:rsid w:val="7AB66611"/>
    <w:rsid w:val="7AB7745D"/>
    <w:rsid w:val="7ABE6A3D"/>
    <w:rsid w:val="7ACA42CA"/>
    <w:rsid w:val="7ACF6805"/>
    <w:rsid w:val="7ADB075B"/>
    <w:rsid w:val="7ADE49EA"/>
    <w:rsid w:val="7ADE520B"/>
    <w:rsid w:val="7AE85868"/>
    <w:rsid w:val="7AEA338E"/>
    <w:rsid w:val="7B0043BF"/>
    <w:rsid w:val="7B005C28"/>
    <w:rsid w:val="7B0452DC"/>
    <w:rsid w:val="7B09415C"/>
    <w:rsid w:val="7B164183"/>
    <w:rsid w:val="7B190A41"/>
    <w:rsid w:val="7B356C01"/>
    <w:rsid w:val="7B42141C"/>
    <w:rsid w:val="7B431E0F"/>
    <w:rsid w:val="7B4A02D1"/>
    <w:rsid w:val="7B4F58E7"/>
    <w:rsid w:val="7B515B18"/>
    <w:rsid w:val="7B560A24"/>
    <w:rsid w:val="7B566C76"/>
    <w:rsid w:val="7B580C40"/>
    <w:rsid w:val="7B5C1B95"/>
    <w:rsid w:val="7B5C505B"/>
    <w:rsid w:val="7B5D735A"/>
    <w:rsid w:val="7B5E6961"/>
    <w:rsid w:val="7B601B36"/>
    <w:rsid w:val="7B6E3FBF"/>
    <w:rsid w:val="7B715804"/>
    <w:rsid w:val="7B8E01BE"/>
    <w:rsid w:val="7B8E3F7F"/>
    <w:rsid w:val="7BA619AB"/>
    <w:rsid w:val="7BA63759"/>
    <w:rsid w:val="7BAE7B41"/>
    <w:rsid w:val="7BC71922"/>
    <w:rsid w:val="7BC74774"/>
    <w:rsid w:val="7BCA650C"/>
    <w:rsid w:val="7BCB7664"/>
    <w:rsid w:val="7BD717E5"/>
    <w:rsid w:val="7BDF449D"/>
    <w:rsid w:val="7BDF6C6B"/>
    <w:rsid w:val="7BE10691"/>
    <w:rsid w:val="7BE510F9"/>
    <w:rsid w:val="7BE73D72"/>
    <w:rsid w:val="7BE75B20"/>
    <w:rsid w:val="7BF53832"/>
    <w:rsid w:val="7BF663E0"/>
    <w:rsid w:val="7BF73FB5"/>
    <w:rsid w:val="7C04276A"/>
    <w:rsid w:val="7C0E575E"/>
    <w:rsid w:val="7C122B9D"/>
    <w:rsid w:val="7C1A4147"/>
    <w:rsid w:val="7C235618"/>
    <w:rsid w:val="7C243D91"/>
    <w:rsid w:val="7C247576"/>
    <w:rsid w:val="7C250398"/>
    <w:rsid w:val="7C286864"/>
    <w:rsid w:val="7C305719"/>
    <w:rsid w:val="7C376AA7"/>
    <w:rsid w:val="7C523EB3"/>
    <w:rsid w:val="7C610CCC"/>
    <w:rsid w:val="7C6303BA"/>
    <w:rsid w:val="7C6B0716"/>
    <w:rsid w:val="7C6D225F"/>
    <w:rsid w:val="7C7970C0"/>
    <w:rsid w:val="7C80044E"/>
    <w:rsid w:val="7C912DA8"/>
    <w:rsid w:val="7CB400F8"/>
    <w:rsid w:val="7CBE3048"/>
    <w:rsid w:val="7CC0084B"/>
    <w:rsid w:val="7CDB7433"/>
    <w:rsid w:val="7CDE72A4"/>
    <w:rsid w:val="7CE91B1B"/>
    <w:rsid w:val="7CEA696E"/>
    <w:rsid w:val="7CF60710"/>
    <w:rsid w:val="7CFB6CBB"/>
    <w:rsid w:val="7CFD0DE2"/>
    <w:rsid w:val="7D0D017A"/>
    <w:rsid w:val="7D104FBF"/>
    <w:rsid w:val="7D142945"/>
    <w:rsid w:val="7D172435"/>
    <w:rsid w:val="7D3E4868"/>
    <w:rsid w:val="7D4D2489"/>
    <w:rsid w:val="7D4E3585"/>
    <w:rsid w:val="7D5B4A17"/>
    <w:rsid w:val="7D600898"/>
    <w:rsid w:val="7D621902"/>
    <w:rsid w:val="7D755AD9"/>
    <w:rsid w:val="7D7712FE"/>
    <w:rsid w:val="7D8146D9"/>
    <w:rsid w:val="7D834C9E"/>
    <w:rsid w:val="7DA47D30"/>
    <w:rsid w:val="7DA63EE4"/>
    <w:rsid w:val="7DB013D9"/>
    <w:rsid w:val="7DB83C18"/>
    <w:rsid w:val="7DBA3928"/>
    <w:rsid w:val="7DBF0B02"/>
    <w:rsid w:val="7DC221CB"/>
    <w:rsid w:val="7DCB394B"/>
    <w:rsid w:val="7DCF6C70"/>
    <w:rsid w:val="7DD56578"/>
    <w:rsid w:val="7DE06CCB"/>
    <w:rsid w:val="7DF804B8"/>
    <w:rsid w:val="7E015D39"/>
    <w:rsid w:val="7E025285"/>
    <w:rsid w:val="7E026722"/>
    <w:rsid w:val="7E16506D"/>
    <w:rsid w:val="7E33504C"/>
    <w:rsid w:val="7E370FE0"/>
    <w:rsid w:val="7E4608EF"/>
    <w:rsid w:val="7E59421F"/>
    <w:rsid w:val="7E5A5F62"/>
    <w:rsid w:val="7E5C0A47"/>
    <w:rsid w:val="7E6761FB"/>
    <w:rsid w:val="7E70004F"/>
    <w:rsid w:val="7E7257DC"/>
    <w:rsid w:val="7E837D82"/>
    <w:rsid w:val="7E8F312E"/>
    <w:rsid w:val="7EA633B5"/>
    <w:rsid w:val="7ECB4467"/>
    <w:rsid w:val="7ED7375F"/>
    <w:rsid w:val="7EDA196C"/>
    <w:rsid w:val="7EED169F"/>
    <w:rsid w:val="7EF2014F"/>
    <w:rsid w:val="7EF40C80"/>
    <w:rsid w:val="7EF944E8"/>
    <w:rsid w:val="7EFA4553"/>
    <w:rsid w:val="7EFB43CE"/>
    <w:rsid w:val="7EFE79A2"/>
    <w:rsid w:val="7F0215EE"/>
    <w:rsid w:val="7F074F2D"/>
    <w:rsid w:val="7F0B39FE"/>
    <w:rsid w:val="7F1354D5"/>
    <w:rsid w:val="7F166E48"/>
    <w:rsid w:val="7F1857BD"/>
    <w:rsid w:val="7F1A7708"/>
    <w:rsid w:val="7F343772"/>
    <w:rsid w:val="7F385010"/>
    <w:rsid w:val="7F437530"/>
    <w:rsid w:val="7F4532D1"/>
    <w:rsid w:val="7F524A36"/>
    <w:rsid w:val="7F536173"/>
    <w:rsid w:val="7F623E3B"/>
    <w:rsid w:val="7F78365F"/>
    <w:rsid w:val="7F78540D"/>
    <w:rsid w:val="7F8E34B9"/>
    <w:rsid w:val="7F912267"/>
    <w:rsid w:val="7F9E0BEB"/>
    <w:rsid w:val="7FAE52D2"/>
    <w:rsid w:val="7FB34146"/>
    <w:rsid w:val="7FBD5515"/>
    <w:rsid w:val="7FC56166"/>
    <w:rsid w:val="7FCF6FF7"/>
    <w:rsid w:val="7FE62FF2"/>
    <w:rsid w:val="7FE651C3"/>
    <w:rsid w:val="7FF67685"/>
    <w:rsid w:val="7FFD1DB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72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6">
    <w:name w:val="heading 4"/>
    <w:basedOn w:val="7"/>
    <w:next w:val="8"/>
    <w:qFormat/>
    <w:uiPriority w:val="0"/>
    <w:pPr>
      <w:tabs>
        <w:tab w:val="left" w:pos="360"/>
        <w:tab w:val="left" w:pos="2207"/>
      </w:tabs>
      <w:ind w:firstLine="0" w:firstLineChars="0"/>
      <w:outlineLvl w:val="3"/>
    </w:pPr>
    <w:rPr>
      <w:rFonts w:ascii="宋体" w:hAnsi="宋体"/>
      <w:b/>
      <w:color w:val="000000"/>
    </w:rPr>
  </w:style>
  <w:style w:type="paragraph" w:styleId="9">
    <w:name w:val="heading 5"/>
    <w:basedOn w:val="1"/>
    <w:next w:val="1"/>
    <w:unhideWhenUsed/>
    <w:qFormat/>
    <w:uiPriority w:val="0"/>
    <w:pPr>
      <w:adjustRightInd w:val="0"/>
      <w:snapToGrid w:val="0"/>
      <w:spacing w:line="240" w:lineRule="auto"/>
      <w:ind w:firstLine="0" w:firstLineChars="0"/>
      <w:jc w:val="center"/>
      <w:outlineLvl w:val="4"/>
    </w:pPr>
    <w:rPr>
      <w:b/>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firstLine="420"/>
    </w:pPr>
    <w:rPr>
      <w:kern w:val="2"/>
      <w:sz w:val="21"/>
      <w:szCs w:val="24"/>
    </w:rPr>
  </w:style>
  <w:style w:type="paragraph" w:styleId="3">
    <w:name w:val="Body Text Indent"/>
    <w:basedOn w:val="1"/>
    <w:next w:val="4"/>
    <w:qFormat/>
    <w:uiPriority w:val="0"/>
    <w:pPr>
      <w:spacing w:after="120"/>
      <w:ind w:left="420" w:leftChars="200"/>
    </w:pPr>
    <w:rPr>
      <w:kern w:val="0"/>
      <w:szCs w:val="20"/>
    </w:rPr>
  </w:style>
  <w:style w:type="paragraph" w:styleId="4">
    <w:name w:val="Body Text Indent 2"/>
    <w:basedOn w:val="1"/>
    <w:qFormat/>
    <w:uiPriority w:val="0"/>
    <w:pPr>
      <w:ind w:right="113" w:firstLine="570"/>
    </w:pPr>
    <w:rPr>
      <w:kern w:val="24"/>
      <w:sz w:val="28"/>
      <w:szCs w:val="20"/>
    </w:rPr>
  </w:style>
  <w:style w:type="paragraph" w:styleId="7">
    <w:name w:val="toc 4"/>
    <w:basedOn w:val="1"/>
    <w:next w:val="1"/>
    <w:qFormat/>
    <w:uiPriority w:val="39"/>
    <w:pPr>
      <w:ind w:left="1260" w:leftChars="600"/>
    </w:pPr>
    <w:rPr>
      <w:szCs w:val="20"/>
    </w:rPr>
  </w:style>
  <w:style w:type="paragraph" w:styleId="8">
    <w:name w:val="Normal Indent"/>
    <w:basedOn w:val="1"/>
    <w:next w:val="6"/>
    <w:qFormat/>
    <w:uiPriority w:val="0"/>
    <w:pPr>
      <w:ind w:firstLine="420"/>
    </w:pPr>
  </w:style>
  <w:style w:type="paragraph" w:styleId="10">
    <w:name w:val="index 5"/>
    <w:basedOn w:val="1"/>
    <w:next w:val="1"/>
    <w:qFormat/>
    <w:uiPriority w:val="0"/>
    <w:pPr>
      <w:ind w:left="800" w:leftChars="800"/>
    </w:pPr>
  </w:style>
  <w:style w:type="paragraph" w:styleId="11">
    <w:name w:val="annotation text"/>
    <w:basedOn w:val="1"/>
    <w:semiHidden/>
    <w:qFormat/>
    <w:uiPriority w:val="0"/>
    <w:pPr>
      <w:jc w:val="left"/>
    </w:pPr>
    <w:rPr>
      <w:kern w:val="0"/>
      <w:szCs w:val="20"/>
    </w:rPr>
  </w:style>
  <w:style w:type="paragraph" w:styleId="12">
    <w:name w:val="Body Text"/>
    <w:basedOn w:val="1"/>
    <w:qFormat/>
    <w:uiPriority w:val="0"/>
    <w:pPr>
      <w:widowControl/>
      <w:snapToGrid w:val="0"/>
      <w:spacing w:before="60" w:after="160" w:line="259" w:lineRule="auto"/>
      <w:ind w:right="113"/>
    </w:pPr>
    <w:rPr>
      <w:kern w:val="0"/>
      <w:sz w:val="18"/>
      <w:szCs w:val="20"/>
    </w:rPr>
  </w:style>
  <w:style w:type="paragraph" w:styleId="13">
    <w:name w:val="Block Text"/>
    <w:basedOn w:val="1"/>
    <w:next w:val="1"/>
    <w:unhideWhenUsed/>
    <w:qFormat/>
    <w:uiPriority w:val="0"/>
    <w:pPr>
      <w:spacing w:after="120"/>
      <w:ind w:left="1440" w:leftChars="700" w:right="1440" w:rightChars="700"/>
    </w:pPr>
  </w:style>
  <w:style w:type="paragraph" w:styleId="14">
    <w:name w:val="Plain Text"/>
    <w:basedOn w:val="1"/>
    <w:qFormat/>
    <w:uiPriority w:val="0"/>
    <w:rPr>
      <w:rFonts w:ascii="宋体" w:hAnsi="Courier New" w:cs="Courier New"/>
      <w:szCs w:val="21"/>
    </w:rPr>
  </w:style>
  <w:style w:type="paragraph" w:styleId="15">
    <w:name w:val="Balloon Text"/>
    <w:basedOn w:val="1"/>
    <w:link w:val="56"/>
    <w:qFormat/>
    <w:uiPriority w:val="0"/>
    <w:pPr>
      <w:spacing w:line="240" w:lineRule="auto"/>
    </w:pPr>
    <w:rPr>
      <w:sz w:val="18"/>
      <w:szCs w:val="18"/>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header"/>
    <w:basedOn w:val="1"/>
    <w:link w:val="5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8">
    <w:name w:val="Subtitle"/>
    <w:basedOn w:val="1"/>
    <w:next w:val="1"/>
    <w:qFormat/>
    <w:uiPriority w:val="0"/>
    <w:pPr>
      <w:ind w:firstLine="0" w:firstLineChars="0"/>
      <w:jc w:val="center"/>
    </w:pPr>
    <w:rPr>
      <w:b/>
      <w:sz w:val="21"/>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rPr>
  </w:style>
  <w:style w:type="paragraph" w:styleId="20">
    <w:name w:val="Normal (Web)"/>
    <w:basedOn w:val="1"/>
    <w:qFormat/>
    <w:uiPriority w:val="0"/>
    <w:pPr>
      <w:widowControl/>
      <w:spacing w:before="100" w:beforeAutospacing="1" w:after="100" w:afterAutospacing="1"/>
      <w:jc w:val="left"/>
    </w:pPr>
    <w:rPr>
      <w:rFonts w:ascii="宋体" w:hAnsi="宋体"/>
      <w:kern w:val="0"/>
      <w:szCs w:val="20"/>
    </w:rPr>
  </w:style>
  <w:style w:type="paragraph" w:styleId="21">
    <w:name w:val="Body Text First Indent"/>
    <w:basedOn w:val="12"/>
    <w:next w:val="2"/>
    <w:qFormat/>
    <w:uiPriority w:val="0"/>
    <w:pPr>
      <w:spacing w:after="120"/>
      <w:ind w:firstLine="420" w:firstLineChars="100"/>
    </w:pPr>
    <w:rPr>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rFonts w:eastAsia="宋体"/>
      <w:color w:val="0000FF"/>
      <w:sz w:val="24"/>
      <w:szCs w:val="24"/>
      <w:u w:val="none"/>
    </w:rPr>
  </w:style>
  <w:style w:type="paragraph" w:customStyle="1" w:styleId="28">
    <w:name w:val="Default"/>
    <w:basedOn w:val="29"/>
    <w:next w:val="10"/>
    <w:qFormat/>
    <w:uiPriority w:val="0"/>
    <w:pPr>
      <w:widowControl w:val="0"/>
      <w:autoSpaceDE w:val="0"/>
      <w:autoSpaceDN w:val="0"/>
      <w:adjustRightInd w:val="0"/>
    </w:pPr>
    <w:rPr>
      <w:rFonts w:ascii="宋体" w:hAnsi="Times New Roman"/>
      <w:color w:val="000000"/>
    </w:rPr>
  </w:style>
  <w:style w:type="paragraph" w:customStyle="1" w:styleId="29">
    <w:name w:val="纯文本1"/>
    <w:basedOn w:val="1"/>
    <w:qFormat/>
    <w:uiPriority w:val="0"/>
    <w:pPr>
      <w:widowControl/>
      <w:spacing w:beforeLines="10" w:afterLines="10" w:line="360" w:lineRule="auto"/>
      <w:ind w:firstLine="200"/>
      <w:jc w:val="left"/>
    </w:pPr>
    <w:rPr>
      <w:rFonts w:hAnsi="宋体" w:cs="宋体"/>
      <w:kern w:val="0"/>
    </w:rPr>
  </w:style>
  <w:style w:type="paragraph" w:customStyle="1" w:styleId="30">
    <w:name w:val="封皮"/>
    <w:basedOn w:val="1"/>
    <w:qFormat/>
    <w:uiPriority w:val="0"/>
    <w:pPr>
      <w:spacing w:line="240" w:lineRule="auto"/>
      <w:ind w:firstLine="0" w:firstLineChars="0"/>
      <w:jc w:val="center"/>
    </w:pPr>
    <w:rPr>
      <w:b/>
      <w:sz w:val="72"/>
    </w:rPr>
  </w:style>
  <w:style w:type="paragraph" w:customStyle="1" w:styleId="31">
    <w:name w:val="表格"/>
    <w:basedOn w:val="1"/>
    <w:next w:val="1"/>
    <w:qFormat/>
    <w:uiPriority w:val="0"/>
    <w:pPr>
      <w:spacing w:line="240" w:lineRule="auto"/>
      <w:ind w:firstLine="0" w:firstLineChars="0"/>
      <w:jc w:val="center"/>
    </w:pPr>
    <w:rPr>
      <w:szCs w:val="21"/>
    </w:rPr>
  </w:style>
  <w:style w:type="character" w:customStyle="1" w:styleId="32">
    <w:name w:val="正文文本 (2) + 9.5 pt"/>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33">
    <w:name w:val="正文文本 (2) + AngsanaUPC"/>
    <w:qFormat/>
    <w:uiPriority w:val="0"/>
    <w:rPr>
      <w:rFonts w:ascii="AngsanaUPC" w:hAnsi="AngsanaUPC" w:eastAsia="AngsanaUPC" w:cs="AngsanaUPC"/>
      <w:color w:val="000000"/>
      <w:spacing w:val="0"/>
      <w:w w:val="100"/>
      <w:position w:val="0"/>
      <w:sz w:val="32"/>
      <w:szCs w:val="32"/>
      <w:u w:val="none"/>
      <w:shd w:val="clear" w:color="auto" w:fill="FFFFFF"/>
      <w:lang w:val="en-US" w:eastAsia="en-US" w:bidi="en-US"/>
    </w:rPr>
  </w:style>
  <w:style w:type="paragraph" w:customStyle="1" w:styleId="34">
    <w:name w:val="Table Paragraph"/>
    <w:basedOn w:val="1"/>
    <w:qFormat/>
    <w:uiPriority w:val="1"/>
    <w:pPr>
      <w:autoSpaceDE w:val="0"/>
      <w:autoSpaceDN w:val="0"/>
      <w:adjustRightInd w:val="0"/>
      <w:jc w:val="left"/>
    </w:pPr>
    <w:rPr>
      <w:kern w:val="0"/>
    </w:rPr>
  </w:style>
  <w:style w:type="paragraph" w:styleId="35">
    <w:name w:val="List Paragraph"/>
    <w:basedOn w:val="1"/>
    <w:qFormat/>
    <w:uiPriority w:val="34"/>
    <w:pPr>
      <w:adjustRightInd w:val="0"/>
      <w:spacing w:line="360" w:lineRule="atLeast"/>
      <w:ind w:firstLine="420"/>
      <w:jc w:val="left"/>
      <w:textAlignment w:val="baseline"/>
    </w:pPr>
    <w:rPr>
      <w:kern w:val="0"/>
      <w:szCs w:val="20"/>
    </w:rPr>
  </w:style>
  <w:style w:type="paragraph" w:customStyle="1" w:styleId="36">
    <w:name w:val="表头"/>
    <w:basedOn w:val="1"/>
    <w:link w:val="47"/>
    <w:qFormat/>
    <w:uiPriority w:val="0"/>
    <w:pPr>
      <w:ind w:firstLine="0" w:firstLineChars="0"/>
      <w:jc w:val="center"/>
    </w:pPr>
    <w:rPr>
      <w:b/>
    </w:rPr>
  </w:style>
  <w:style w:type="character" w:customStyle="1" w:styleId="37">
    <w:name w:val="font01"/>
    <w:basedOn w:val="24"/>
    <w:qFormat/>
    <w:uiPriority w:val="0"/>
    <w:rPr>
      <w:rFonts w:hint="eastAsia" w:ascii="宋体" w:hAnsi="宋体" w:eastAsia="宋体" w:cs="宋体"/>
      <w:color w:val="000000"/>
      <w:sz w:val="24"/>
      <w:szCs w:val="24"/>
      <w:u w:val="none"/>
    </w:rPr>
  </w:style>
  <w:style w:type="character" w:customStyle="1" w:styleId="38">
    <w:name w:val="font31"/>
    <w:basedOn w:val="24"/>
    <w:qFormat/>
    <w:uiPriority w:val="0"/>
    <w:rPr>
      <w:rFonts w:hint="eastAsia" w:ascii="宋体" w:hAnsi="宋体" w:eastAsia="宋体" w:cs="宋体"/>
      <w:color w:val="000000"/>
      <w:sz w:val="24"/>
      <w:szCs w:val="24"/>
      <w:u w:val="none"/>
    </w:rPr>
  </w:style>
  <w:style w:type="paragraph" w:customStyle="1" w:styleId="39">
    <w:name w:val="我的表头"/>
    <w:basedOn w:val="1"/>
    <w:qFormat/>
    <w:uiPriority w:val="0"/>
    <w:pPr>
      <w:ind w:firstLine="0" w:firstLineChars="0"/>
      <w:jc w:val="center"/>
    </w:pPr>
    <w:rPr>
      <w:b/>
      <w:sz w:val="21"/>
      <w:szCs w:val="21"/>
    </w:rPr>
  </w:style>
  <w:style w:type="paragraph" w:customStyle="1" w:styleId="40">
    <w:name w:val="列出段落1"/>
    <w:basedOn w:val="1"/>
    <w:qFormat/>
    <w:uiPriority w:val="0"/>
    <w:pPr>
      <w:ind w:firstLine="420"/>
    </w:pPr>
    <w:rPr>
      <w:rFonts w:ascii="Calibri" w:hAnsi="Calibri"/>
    </w:rPr>
  </w:style>
  <w:style w:type="paragraph" w:customStyle="1" w:styleId="41">
    <w:name w:val="(.a表格内容"/>
    <w:basedOn w:val="42"/>
    <w:qFormat/>
    <w:uiPriority w:val="0"/>
    <w:pPr>
      <w:spacing w:line="0" w:lineRule="atLeast"/>
      <w:jc w:val="center"/>
    </w:pPr>
    <w:rPr>
      <w:sz w:val="21"/>
    </w:rPr>
  </w:style>
  <w:style w:type="paragraph" w:customStyle="1" w:styleId="42">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43">
    <w:name w:val="正常格式"/>
    <w:basedOn w:val="44"/>
    <w:link w:val="52"/>
    <w:qFormat/>
    <w:uiPriority w:val="0"/>
    <w:pPr>
      <w:snapToGrid w:val="0"/>
      <w:spacing w:line="480" w:lineRule="exact"/>
      <w:ind w:firstLine="602"/>
    </w:pPr>
    <w:rPr>
      <w:rFonts w:ascii="Times New Roman" w:hAnsi="Times New Roman"/>
      <w:kern w:val="0"/>
      <w:szCs w:val="20"/>
    </w:rPr>
  </w:style>
  <w:style w:type="paragraph" w:customStyle="1" w:styleId="44">
    <w:name w:val="正文2"/>
    <w:basedOn w:val="45"/>
    <w:qFormat/>
    <w:uiPriority w:val="0"/>
    <w:pPr>
      <w:spacing w:line="360" w:lineRule="auto"/>
      <w:ind w:firstLine="200" w:firstLineChars="200"/>
    </w:pPr>
    <w:rPr>
      <w:rFonts w:ascii="宋体" w:hAnsi="宋体"/>
    </w:rPr>
  </w:style>
  <w:style w:type="paragraph" w:customStyle="1" w:styleId="4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46">
    <w:name w:val="我的表格"/>
    <w:basedOn w:val="1"/>
    <w:qFormat/>
    <w:uiPriority w:val="0"/>
    <w:pPr>
      <w:spacing w:line="240" w:lineRule="auto"/>
      <w:ind w:firstLine="0" w:firstLineChars="0"/>
      <w:jc w:val="center"/>
    </w:pPr>
    <w:rPr>
      <w:sz w:val="21"/>
      <w:szCs w:val="21"/>
    </w:rPr>
  </w:style>
  <w:style w:type="character" w:customStyle="1" w:styleId="47">
    <w:name w:val="表头 Char"/>
    <w:link w:val="36"/>
    <w:qFormat/>
    <w:uiPriority w:val="0"/>
    <w:rPr>
      <w:rFonts w:ascii="Times New Roman" w:hAnsi="Times New Roman" w:eastAsia="宋体"/>
      <w:b/>
    </w:rPr>
  </w:style>
  <w:style w:type="paragraph" w:customStyle="1" w:styleId="48">
    <w:name w:val="正文1"/>
    <w:basedOn w:val="1"/>
    <w:next w:val="1"/>
    <w:qFormat/>
    <w:uiPriority w:val="0"/>
    <w:pPr>
      <w:spacing w:before="78" w:after="78" w:line="360" w:lineRule="auto"/>
      <w:ind w:firstLine="480"/>
    </w:pPr>
    <w:rPr>
      <w:kern w:val="1"/>
    </w:rPr>
  </w:style>
  <w:style w:type="paragraph" w:customStyle="1" w:styleId="49">
    <w:name w:val="样式10"/>
    <w:basedOn w:val="44"/>
    <w:qFormat/>
    <w:uiPriority w:val="0"/>
    <w:pPr>
      <w:spacing w:line="480" w:lineRule="exact"/>
      <w:ind w:firstLine="600"/>
    </w:pPr>
  </w:style>
  <w:style w:type="paragraph" w:customStyle="1" w:styleId="50">
    <w:name w:val="正文正"/>
    <w:basedOn w:val="1"/>
    <w:qFormat/>
    <w:uiPriority w:val="0"/>
    <w:pPr>
      <w:ind w:firstLine="560"/>
    </w:pPr>
    <w:rPr>
      <w:sz w:val="28"/>
    </w:rPr>
  </w:style>
  <w:style w:type="paragraph" w:customStyle="1" w:styleId="51">
    <w:name w:val="正文文本 (2)"/>
    <w:qFormat/>
    <w:uiPriority w:val="0"/>
    <w:pPr>
      <w:widowControl w:val="0"/>
      <w:shd w:val="clear" w:color="auto" w:fill="FFFFFF"/>
      <w:spacing w:before="420" w:after="360" w:line="0" w:lineRule="atLeast"/>
      <w:jc w:val="distribute"/>
    </w:pPr>
    <w:rPr>
      <w:rFonts w:ascii="MingLiU" w:hAnsi="MingLiU" w:eastAsia="MingLiU" w:cs="MingLiU"/>
      <w:sz w:val="26"/>
      <w:szCs w:val="26"/>
      <w:lang w:val="en-US" w:eastAsia="en-US" w:bidi="en-US"/>
    </w:rPr>
  </w:style>
  <w:style w:type="character" w:customStyle="1" w:styleId="52">
    <w:name w:val="正常格式 Char"/>
    <w:link w:val="43"/>
    <w:qFormat/>
    <w:uiPriority w:val="0"/>
    <w:rPr>
      <w:rFonts w:ascii="Times New Roman" w:hAnsi="Times New Roman" w:eastAsia="仿宋_GB2312"/>
      <w:kern w:val="0"/>
      <w:szCs w:val="20"/>
    </w:rPr>
  </w:style>
  <w:style w:type="paragraph" w:customStyle="1" w:styleId="53">
    <w:name w:val="样式 正文文字 + 首行缩进:  2 字符 行距: 最小值 24 磅"/>
    <w:basedOn w:val="1"/>
    <w:qFormat/>
    <w:uiPriority w:val="0"/>
    <w:pPr>
      <w:adjustRightInd w:val="0"/>
      <w:snapToGrid w:val="0"/>
      <w:spacing w:line="480" w:lineRule="atLeast"/>
      <w:ind w:firstLine="480"/>
    </w:pPr>
    <w:rPr>
      <w:rFonts w:cs="宋体"/>
      <w:szCs w:val="20"/>
    </w:rPr>
  </w:style>
  <w:style w:type="paragraph" w:customStyle="1" w:styleId="54">
    <w:name w:val="正文_1"/>
    <w:qFormat/>
    <w:uiPriority w:val="0"/>
    <w:pPr>
      <w:widowControl w:val="0"/>
      <w:jc w:val="both"/>
    </w:pPr>
    <w:rPr>
      <w:rFonts w:ascii="Calibri" w:hAnsi="Calibri" w:eastAsia="宋体" w:cs="Times New Roman"/>
      <w:kern w:val="2"/>
      <w:sz w:val="21"/>
      <w:lang w:val="en-US" w:eastAsia="zh-CN" w:bidi="ar-SA"/>
    </w:rPr>
  </w:style>
  <w:style w:type="character" w:customStyle="1" w:styleId="55">
    <w:name w:val="页眉 Char"/>
    <w:basedOn w:val="24"/>
    <w:link w:val="17"/>
    <w:qFormat/>
    <w:uiPriority w:val="0"/>
    <w:rPr>
      <w:kern w:val="2"/>
      <w:sz w:val="18"/>
      <w:szCs w:val="18"/>
    </w:rPr>
  </w:style>
  <w:style w:type="character" w:customStyle="1" w:styleId="56">
    <w:name w:val="批注框文本 Char"/>
    <w:basedOn w:val="24"/>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wmf"/><Relationship Id="rId22" Type="http://schemas.openxmlformats.org/officeDocument/2006/relationships/oleObject" Target="embeddings/oleObject3.bin"/><Relationship Id="rId21" Type="http://schemas.openxmlformats.org/officeDocument/2006/relationships/image" Target="media/image7.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wmf"/><Relationship Id="rId17" Type="http://schemas.openxmlformats.org/officeDocument/2006/relationships/oleObject" Target="embeddings/oleObject1.bin"/><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C4B05-BBBB-4229-94C2-3417010A99D9}">
  <ds:schemaRefs/>
</ds:datastoreItem>
</file>

<file path=docProps/app.xml><?xml version="1.0" encoding="utf-8"?>
<Properties xmlns="http://schemas.openxmlformats.org/officeDocument/2006/extended-properties" xmlns:vt="http://schemas.openxmlformats.org/officeDocument/2006/docPropsVTypes">
  <Template>Normal</Template>
  <Pages>84</Pages>
  <Words>8513</Words>
  <Characters>9112</Characters>
  <Lines>457</Lines>
  <Paragraphs>128</Paragraphs>
  <TotalTime>9</TotalTime>
  <ScaleCrop>false</ScaleCrop>
  <LinksUpToDate>false</LinksUpToDate>
  <CharactersWithSpaces>9191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2022-05-03T05:36:00Z</dcterms:created>
  <dc:creator>Administrator</dc:creator>
  <cp:lastModifiedBy>勇敢编辑部</cp:lastModifiedBy>
  <cp:lastPrinted>2022-03-18T03:32:00Z</cp:lastPrinted>
  <dcterms:modified xsi:type="dcterms:W3CDTF">2025-08-22T07:39:43Z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72BADC9535BC4677B91E1F59341EBAC3</vt:lpwstr>
  </property>
  <property fmtid="{D5CDD505-2E9C-101B-9397-08002B2CF9AE}" pid="4" name="commondata">
    <vt:lpwstr>eyJoZGlkIjoiMzU4ZGE0ZTFlZjI5YzdlZDc4YmNjMmJiMWZhMWRkYzgifQ==</vt:lpwstr>
  </property>
  <property fmtid="{D5CDD505-2E9C-101B-9397-08002B2CF9AE}" pid="5" name="KSOTemplateDocerSaveRecord">
    <vt:lpwstr>eyJoZGlkIjoiYmJkYmIyN2ZmNzkxZTFlODIzMWFjNTE5YmViNGUwNmUiLCJ1c2VySWQiOiIxNjU1MzMyOTYxIn0=</vt:lpwstr>
  </property>
</Properties>
</file>