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66" w:rsidRDefault="00F80466" w:rsidP="00F8046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F80466" w:rsidRDefault="00F80466" w:rsidP="00F80466">
      <w:pPr>
        <w:spacing w:line="560" w:lineRule="exact"/>
        <w:jc w:val="left"/>
        <w:rPr>
          <w:rFonts w:ascii="方正小标宋简体" w:eastAsia="方正小标宋简体"/>
          <w:sz w:val="40"/>
          <w:szCs w:val="40"/>
        </w:rPr>
      </w:pP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0088775C" w:rsidRPr="0088775C">
        <w:rPr>
          <w:rFonts w:eastAsia="仿宋_GB2312" w:hint="eastAsia"/>
          <w:b/>
          <w:sz w:val="36"/>
          <w:szCs w:val="36"/>
        </w:rPr>
        <w:t>部门预算总体情况及预算收支增减变化情况说明</w:t>
      </w: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F80466" w:rsidRPr="00F80466" w:rsidRDefault="00F80466" w:rsidP="00F80466">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F80466" w:rsidRPr="00F80466" w:rsidRDefault="00F80466" w:rsidP="00F80466">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F80466" w:rsidRPr="00F80466" w:rsidRDefault="00F80466" w:rsidP="00F80466">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F80466" w:rsidRPr="00F80466" w:rsidRDefault="00F80466" w:rsidP="00F80466">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F80466" w:rsidRPr="00F80466" w:rsidRDefault="00F80466" w:rsidP="00F80466">
      <w:pPr>
        <w:spacing w:line="560" w:lineRule="exact"/>
        <w:ind w:firstLineChars="200" w:firstLine="800"/>
        <w:jc w:val="left"/>
        <w:rPr>
          <w:rFonts w:ascii="仿宋_GB2312" w:eastAsia="仿宋_GB2312"/>
          <w:sz w:val="40"/>
          <w:szCs w:val="40"/>
        </w:rPr>
      </w:pPr>
    </w:p>
    <w:p w:rsidR="00F80466" w:rsidRPr="00F80466" w:rsidRDefault="00F80466" w:rsidP="00F80466">
      <w:pPr>
        <w:spacing w:line="560" w:lineRule="exact"/>
        <w:jc w:val="left"/>
        <w:rPr>
          <w:rFonts w:ascii="仿宋_GB2312" w:eastAsia="仿宋_GB2312"/>
          <w:sz w:val="40"/>
          <w:szCs w:val="40"/>
        </w:rPr>
      </w:pPr>
    </w:p>
    <w:p w:rsidR="00F80466" w:rsidRPr="00F80466" w:rsidRDefault="00F80466" w:rsidP="00F80466">
      <w:pPr>
        <w:spacing w:line="560" w:lineRule="exact"/>
        <w:jc w:val="left"/>
        <w:rPr>
          <w:rFonts w:ascii="仿宋_GB2312" w:eastAsia="仿宋_GB2312"/>
          <w:sz w:val="40"/>
          <w:szCs w:val="40"/>
        </w:rPr>
      </w:pPr>
    </w:p>
    <w:p w:rsidR="00F80466" w:rsidRPr="00F80466" w:rsidRDefault="00F80466" w:rsidP="00F80466">
      <w:pPr>
        <w:spacing w:line="560" w:lineRule="exact"/>
        <w:jc w:val="left"/>
        <w:rPr>
          <w:rFonts w:ascii="仿宋_GB2312" w:eastAsia="仿宋_GB2312"/>
          <w:sz w:val="40"/>
          <w:szCs w:val="40"/>
        </w:rPr>
      </w:pPr>
    </w:p>
    <w:p w:rsidR="00F80466" w:rsidRPr="00F80466" w:rsidRDefault="00F80466" w:rsidP="00F80466">
      <w:pPr>
        <w:spacing w:line="560" w:lineRule="exact"/>
        <w:jc w:val="left"/>
        <w:rPr>
          <w:rFonts w:ascii="仿宋_GB2312" w:eastAsia="仿宋_GB2312"/>
          <w:sz w:val="40"/>
          <w:szCs w:val="40"/>
        </w:rPr>
      </w:pPr>
    </w:p>
    <w:p w:rsidR="00F80466" w:rsidRPr="00F80466" w:rsidRDefault="00F80466" w:rsidP="00F80466">
      <w:pPr>
        <w:spacing w:line="560" w:lineRule="exact"/>
        <w:jc w:val="left"/>
        <w:rPr>
          <w:rFonts w:ascii="仿宋_GB2312" w:eastAsia="仿宋_GB2312"/>
          <w:sz w:val="40"/>
          <w:szCs w:val="40"/>
        </w:rPr>
      </w:pPr>
    </w:p>
    <w:p w:rsidR="00AA2FDE" w:rsidRPr="00F850A4" w:rsidRDefault="00AA2FDE" w:rsidP="00AA2FDE">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管委会部门预算情况说明</w:t>
      </w:r>
    </w:p>
    <w:p w:rsidR="00AA2FDE" w:rsidRDefault="00AA2FDE" w:rsidP="00AA2FDE">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AA2FDE" w:rsidRPr="00651CFA" w:rsidRDefault="00AA2FDE" w:rsidP="00AA2FDE">
      <w:pPr>
        <w:spacing w:line="560" w:lineRule="exact"/>
        <w:ind w:firstLineChars="200" w:firstLine="640"/>
        <w:rPr>
          <w:rFonts w:ascii="仿宋_GB2312" w:eastAsia="仿宋_GB2312"/>
          <w:sz w:val="32"/>
          <w:szCs w:val="32"/>
        </w:rPr>
      </w:pPr>
      <w:r w:rsidRPr="00651CFA">
        <w:rPr>
          <w:rFonts w:ascii="仿宋_GB2312" w:eastAsia="仿宋_GB2312" w:hint="eastAsia"/>
          <w:sz w:val="32"/>
          <w:szCs w:val="32"/>
        </w:rPr>
        <w:t>管委会是指组织中执行管理职能的一组人，所以没有各相关处室。</w:t>
      </w:r>
    </w:p>
    <w:p w:rsidR="00AA2FDE" w:rsidRDefault="00AA2FDE" w:rsidP="00AA2FDE">
      <w:pPr>
        <w:spacing w:line="560" w:lineRule="exact"/>
        <w:ind w:firstLineChars="200" w:firstLine="640"/>
        <w:rPr>
          <w:rFonts w:ascii="仿宋_GB2312" w:eastAsia="仿宋_GB2312"/>
          <w:sz w:val="32"/>
          <w:szCs w:val="32"/>
        </w:rPr>
      </w:pPr>
      <w:r>
        <w:rPr>
          <w:rFonts w:ascii="仿宋_GB2312" w:eastAsia="仿宋_GB2312" w:hint="eastAsia"/>
          <w:sz w:val="32"/>
          <w:szCs w:val="32"/>
        </w:rPr>
        <w:t>主要</w:t>
      </w:r>
      <w:r w:rsidRPr="00D851ED">
        <w:rPr>
          <w:rFonts w:ascii="仿宋_GB2312" w:eastAsia="仿宋_GB2312" w:hint="eastAsia"/>
          <w:sz w:val="32"/>
          <w:szCs w:val="32"/>
        </w:rPr>
        <w:t>职责</w:t>
      </w:r>
      <w:r>
        <w:rPr>
          <w:rFonts w:ascii="仿宋_GB2312" w:eastAsia="仿宋_GB2312" w:hint="eastAsia"/>
          <w:sz w:val="32"/>
          <w:szCs w:val="32"/>
        </w:rPr>
        <w:t>:</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（1）贯彻执行党的方针政策和国家的法律、法规及上级行政机关命令、决定、指示，制定高新区的行政管理办法。</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（2）领导高新区内乡镇和街道的工作；统一协调、监督并协调管理市级各部门设在高新区的分支机构，派出机构。</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（3）依照相关政策规定，负责高新区机关及所属单位工作人员的综合管理工作。</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（4）按照唐山市国民经济和社会发展计划，负责组织编制高新区社会发展中长期规划，编制高新区年度经济发展计划，并组织实施。</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5）负责高新区经济和社会事业的综合行政管理工作。负责管理高新内的经济、教育、科技、文化、卫生、体育事业、民政、计划生育、安全生产、环境和资源保护、城乡建设、公安、司法、法制建设、监察、审计、财政等行政工作。</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（6）负责高新区各种规费的征收管理，负责高新区内各种私有建房和临时建筑的管理工作。</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（7）负责制定高新区扩大对外开放和招商引资的各项政策，并组织实施，承办有关涉外业务。</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（8）负责研究制定高新区各项经济管理和行政管理体制的改革措施，充分发挥自贡市改革开放窗</w:t>
      </w:r>
      <w:r w:rsidRPr="00651CFA">
        <w:rPr>
          <w:rFonts w:ascii="仿宋_GB2312" w:eastAsia="仿宋_GB2312" w:hAnsi="宋体" w:hint="eastAsia"/>
          <w:sz w:val="32"/>
          <w:szCs w:val="32"/>
        </w:rPr>
        <w:lastRenderedPageBreak/>
        <w:t>口、经济建设基地的示范作用。</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（9）负责制定鼓励高新区科技发展的各项政策措施，并组织实施；负责编制和实施高新区科技发展计划并实施宏观管理。</w:t>
      </w:r>
    </w:p>
    <w:p w:rsidR="00AA2FDE" w:rsidRPr="00651CFA" w:rsidRDefault="00AA2FDE" w:rsidP="00AA2FDE">
      <w:pPr>
        <w:spacing w:line="560" w:lineRule="exact"/>
        <w:ind w:firstLineChars="200" w:firstLine="640"/>
        <w:rPr>
          <w:rFonts w:ascii="仿宋_GB2312" w:eastAsia="仿宋_GB2312" w:hAnsi="宋体"/>
          <w:sz w:val="32"/>
          <w:szCs w:val="32"/>
        </w:rPr>
      </w:pPr>
      <w:r w:rsidRPr="00651CFA">
        <w:rPr>
          <w:rFonts w:ascii="仿宋_GB2312" w:eastAsia="仿宋_GB2312" w:hAnsi="宋体" w:hint="eastAsia"/>
          <w:sz w:val="32"/>
          <w:szCs w:val="32"/>
        </w:rPr>
        <w:t>（10）办理市委、市政府交办的其他事宜。</w:t>
      </w:r>
    </w:p>
    <w:p w:rsidR="00AA2FDE" w:rsidRPr="00651CFA" w:rsidRDefault="00AA2FDE" w:rsidP="00AA2FDE">
      <w:pPr>
        <w:spacing w:line="560" w:lineRule="exact"/>
        <w:ind w:firstLineChars="200" w:firstLine="643"/>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Pr>
          <w:rFonts w:ascii="宋体" w:hAnsi="宋体" w:hint="eastAsia"/>
          <w:b/>
          <w:sz w:val="32"/>
          <w:szCs w:val="32"/>
        </w:rPr>
        <w:t>部门预算总体情况</w:t>
      </w:r>
      <w:r w:rsidR="0088775C">
        <w:rPr>
          <w:rFonts w:ascii="宋体" w:hAnsi="宋体" w:hint="eastAsia"/>
          <w:b/>
          <w:sz w:val="32"/>
          <w:szCs w:val="32"/>
        </w:rPr>
        <w:t>及预算收支增减变化情况</w:t>
      </w:r>
      <w:r>
        <w:rPr>
          <w:rFonts w:ascii="宋体" w:hAnsi="宋体" w:hint="eastAsia"/>
          <w:b/>
          <w:sz w:val="32"/>
          <w:szCs w:val="32"/>
        </w:rPr>
        <w:t>说明</w:t>
      </w:r>
    </w:p>
    <w:p w:rsidR="00AA2FDE" w:rsidRDefault="00AA2FDE" w:rsidP="00AA2FDE">
      <w:pPr>
        <w:ind w:firstLineChars="176" w:firstLine="563"/>
        <w:rPr>
          <w:rFonts w:ascii="仿宋_GB2312" w:eastAsia="仿宋_GB2312" w:hAnsi="宋体"/>
          <w:sz w:val="32"/>
          <w:szCs w:val="32"/>
        </w:rPr>
      </w:pPr>
      <w:r>
        <w:rPr>
          <w:rFonts w:ascii="仿宋_GB2312" w:eastAsia="仿宋_GB2312" w:hint="eastAsia"/>
          <w:sz w:val="32"/>
          <w:szCs w:val="32"/>
        </w:rPr>
        <w:t>收入情况：</w:t>
      </w:r>
      <w:r>
        <w:rPr>
          <w:rFonts w:ascii="仿宋_GB2312" w:eastAsia="仿宋_GB2312"/>
          <w:sz w:val="32"/>
          <w:szCs w:val="32"/>
        </w:rPr>
        <w:t>2</w:t>
      </w:r>
      <w:r w:rsidRPr="00651CFA">
        <w:rPr>
          <w:rFonts w:ascii="仿宋_GB2312" w:eastAsia="仿宋_GB2312" w:hAnsi="宋体"/>
          <w:sz w:val="32"/>
          <w:szCs w:val="32"/>
        </w:rPr>
        <w:t>01</w:t>
      </w:r>
      <w:r w:rsidRPr="00651CFA">
        <w:rPr>
          <w:rFonts w:ascii="仿宋_GB2312" w:eastAsia="仿宋_GB2312" w:hAnsi="宋体" w:hint="eastAsia"/>
          <w:sz w:val="32"/>
          <w:szCs w:val="32"/>
        </w:rPr>
        <w:t>7年管委会预算收入为2142.78万元。</w:t>
      </w:r>
    </w:p>
    <w:p w:rsidR="00AA2FDE" w:rsidRDefault="00AA2FDE" w:rsidP="00AA2FDE">
      <w:pPr>
        <w:ind w:firstLineChars="176" w:firstLine="563"/>
        <w:rPr>
          <w:rFonts w:ascii="仿宋_GB2312" w:eastAsia="仿宋_GB2312" w:hAnsi="宋体"/>
          <w:sz w:val="32"/>
          <w:szCs w:val="32"/>
        </w:rPr>
      </w:pPr>
      <w:r>
        <w:rPr>
          <w:rFonts w:ascii="仿宋_GB2312" w:eastAsia="仿宋_GB2312" w:hAnsi="宋体" w:hint="eastAsia"/>
          <w:sz w:val="32"/>
          <w:szCs w:val="32"/>
        </w:rPr>
        <w:t>支出情况：</w:t>
      </w:r>
      <w:r w:rsidRPr="00651CFA">
        <w:rPr>
          <w:rFonts w:ascii="仿宋_GB2312" w:eastAsia="仿宋_GB2312" w:hAnsi="宋体" w:hint="eastAsia"/>
          <w:sz w:val="32"/>
          <w:szCs w:val="32"/>
        </w:rPr>
        <w:t>人员经费为428.86万元，日常公用为9.32万元，专项项目支出为1704.6万元</w:t>
      </w:r>
      <w:r>
        <w:rPr>
          <w:rFonts w:ascii="仿宋_GB2312" w:eastAsia="仿宋_GB2312" w:hAnsi="宋体" w:hint="eastAsia"/>
          <w:sz w:val="32"/>
          <w:szCs w:val="32"/>
        </w:rPr>
        <w:t>，合计2142.78万元</w:t>
      </w:r>
      <w:r w:rsidRPr="00651CFA">
        <w:rPr>
          <w:rFonts w:ascii="仿宋_GB2312" w:eastAsia="仿宋_GB2312" w:hAnsi="宋体" w:hint="eastAsia"/>
          <w:sz w:val="32"/>
          <w:szCs w:val="32"/>
        </w:rPr>
        <w:t>。</w:t>
      </w:r>
    </w:p>
    <w:p w:rsidR="008F29A2" w:rsidRDefault="008F29A2" w:rsidP="00AA2FDE">
      <w:pPr>
        <w:ind w:firstLineChars="176" w:firstLine="563"/>
        <w:rPr>
          <w:rFonts w:ascii="仿宋_GB2312" w:eastAsia="仿宋_GB2312"/>
          <w:sz w:val="32"/>
          <w:szCs w:val="32"/>
        </w:rPr>
      </w:pPr>
      <w:r>
        <w:rPr>
          <w:rFonts w:ascii="仿宋_GB2312" w:eastAsia="仿宋_GB2312" w:hAnsi="宋体" w:hint="eastAsia"/>
          <w:sz w:val="32"/>
          <w:szCs w:val="32"/>
        </w:rPr>
        <w:t>与2016年相比减少</w:t>
      </w:r>
      <w:r w:rsidR="00986ADE">
        <w:rPr>
          <w:rFonts w:ascii="仿宋_GB2312" w:eastAsia="仿宋_GB2312" w:hAnsi="宋体" w:hint="eastAsia"/>
          <w:sz w:val="32"/>
          <w:szCs w:val="32"/>
        </w:rPr>
        <w:t>58.5%，原因：部分项目预算因管理需要调整到其他预算部门。</w:t>
      </w:r>
    </w:p>
    <w:p w:rsidR="00AA2FDE" w:rsidRDefault="00AA2FDE" w:rsidP="00AA2FDE">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AA2FDE" w:rsidRDefault="00AA2FDE" w:rsidP="00AA2FDE">
      <w:pPr>
        <w:ind w:firstLineChars="176" w:firstLine="563"/>
        <w:rPr>
          <w:rFonts w:ascii="仿宋_GB2312" w:eastAsia="仿宋_GB2312"/>
          <w:sz w:val="32"/>
          <w:szCs w:val="32"/>
        </w:rPr>
      </w:pPr>
      <w:r>
        <w:rPr>
          <w:rFonts w:ascii="仿宋_GB2312" w:eastAsia="仿宋_GB2312" w:hint="eastAsia"/>
          <w:sz w:val="32"/>
          <w:szCs w:val="32"/>
        </w:rPr>
        <w:t>2017年管委会机关运行经费其中行政运行9.32万元，其中办公费2.1万元，邮电费1.6万元，差旅费1万元，会议费0.95万元，培训费0.57万元，其他0.14万元，工会经费2.96万元。与2016年相比减少15.35%，</w:t>
      </w:r>
      <w:r w:rsidRPr="00CB545C">
        <w:rPr>
          <w:rFonts w:ascii="仿宋_GB2312" w:eastAsia="仿宋_GB2312" w:hint="eastAsia"/>
          <w:sz w:val="32"/>
          <w:szCs w:val="32"/>
        </w:rPr>
        <w:t>主要原因：按照《预算法》和机关运行费用节支要求，减少各项运行费用。</w:t>
      </w:r>
    </w:p>
    <w:p w:rsidR="00AA2FDE" w:rsidRDefault="00AA2FDE" w:rsidP="00AA2FDE">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AA2FDE" w:rsidRDefault="00AA2FDE" w:rsidP="00AA2FDE">
      <w:pPr>
        <w:ind w:firstLineChars="200" w:firstLine="640"/>
        <w:rPr>
          <w:rFonts w:ascii="仿宋_GB2312" w:eastAsia="仿宋_GB2312"/>
          <w:sz w:val="32"/>
          <w:szCs w:val="32"/>
        </w:rPr>
      </w:pPr>
      <w:r>
        <w:rPr>
          <w:rFonts w:ascii="仿宋_GB2312" w:eastAsia="仿宋_GB2312" w:hint="eastAsia"/>
          <w:sz w:val="32"/>
          <w:szCs w:val="32"/>
        </w:rPr>
        <w:t>2017年我部门“三公”经费预算安排139万元，与上年相比减少50万元。具体情况如下：</w:t>
      </w:r>
    </w:p>
    <w:p w:rsidR="00AA2FDE" w:rsidRPr="004F0CCA" w:rsidRDefault="00AA2FDE" w:rsidP="00AA2FDE">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安排0</w:t>
      </w:r>
      <w:r w:rsidRPr="004F0CCA">
        <w:rPr>
          <w:rFonts w:ascii="仿宋_GB2312" w:eastAsia="仿宋_GB2312" w:hint="eastAsia"/>
          <w:sz w:val="32"/>
          <w:szCs w:val="32"/>
        </w:rPr>
        <w:t>万元，</w:t>
      </w:r>
      <w:r>
        <w:rPr>
          <w:rFonts w:ascii="仿宋_GB2312" w:eastAsia="仿宋_GB2312" w:hint="eastAsia"/>
          <w:sz w:val="32"/>
          <w:szCs w:val="32"/>
        </w:rPr>
        <w:t>与上年持平</w:t>
      </w:r>
      <w:r w:rsidRPr="004F0CCA">
        <w:rPr>
          <w:rFonts w:ascii="仿宋_GB2312" w:eastAsia="仿宋_GB2312" w:hint="eastAsia"/>
          <w:sz w:val="32"/>
          <w:szCs w:val="32"/>
        </w:rPr>
        <w:t>。</w:t>
      </w:r>
    </w:p>
    <w:p w:rsidR="00AA2FDE" w:rsidRDefault="00AA2FDE" w:rsidP="00AA2FDE">
      <w:pPr>
        <w:ind w:firstLine="630"/>
        <w:rPr>
          <w:rFonts w:ascii="仿宋_GB2312" w:eastAsia="仿宋_GB2312"/>
          <w:sz w:val="32"/>
          <w:szCs w:val="32"/>
        </w:rPr>
      </w:pPr>
      <w:r>
        <w:rPr>
          <w:rFonts w:ascii="仿宋_GB2312" w:eastAsia="仿宋_GB2312" w:hint="eastAsia"/>
          <w:sz w:val="32"/>
          <w:szCs w:val="32"/>
        </w:rPr>
        <w:lastRenderedPageBreak/>
        <w:t>1.公务用车购置安排0万元，与上年相比减少50万元。原因：</w:t>
      </w:r>
      <w:r w:rsidRPr="00AB5240">
        <w:rPr>
          <w:rFonts w:ascii="仿宋_GB2312" w:eastAsia="仿宋_GB2312" w:hint="eastAsia"/>
          <w:sz w:val="32"/>
          <w:szCs w:val="32"/>
        </w:rPr>
        <w:t>我</w:t>
      </w:r>
      <w:r>
        <w:rPr>
          <w:rFonts w:ascii="仿宋_GB2312" w:eastAsia="仿宋_GB2312" w:hint="eastAsia"/>
          <w:sz w:val="32"/>
          <w:szCs w:val="32"/>
        </w:rPr>
        <w:t>单位</w:t>
      </w:r>
      <w:r w:rsidRPr="00AB5240">
        <w:rPr>
          <w:rFonts w:ascii="仿宋_GB2312" w:eastAsia="仿宋_GB2312" w:hint="eastAsia"/>
          <w:sz w:val="32"/>
          <w:szCs w:val="32"/>
        </w:rPr>
        <w:t>严格按照中央八项规定、省</w:t>
      </w:r>
      <w:r>
        <w:rPr>
          <w:rFonts w:ascii="仿宋_GB2312" w:eastAsia="仿宋_GB2312" w:hint="eastAsia"/>
          <w:sz w:val="32"/>
          <w:szCs w:val="32"/>
        </w:rPr>
        <w:t>政府有关厉行勤俭节约反对铺张浪费的要求，科学合理编制年初预算，减少不必要的支出。</w:t>
      </w:r>
    </w:p>
    <w:p w:rsidR="00AA2FDE" w:rsidRDefault="00AA2FDE" w:rsidP="00AA2FDE">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AA2FDE" w:rsidRDefault="00AA2FDE" w:rsidP="00AA2FDE">
      <w:pPr>
        <w:ind w:firstLine="630"/>
        <w:rPr>
          <w:rFonts w:ascii="仿宋_GB2312" w:eastAsia="仿宋_GB2312"/>
          <w:sz w:val="32"/>
          <w:szCs w:val="32"/>
        </w:rPr>
      </w:pPr>
      <w:r>
        <w:rPr>
          <w:rFonts w:ascii="仿宋_GB2312" w:eastAsia="仿宋_GB2312" w:hint="eastAsia"/>
          <w:sz w:val="32"/>
          <w:szCs w:val="32"/>
        </w:rPr>
        <w:t>（二）公务接待费。安排89万元，与上年持平。</w:t>
      </w:r>
    </w:p>
    <w:p w:rsidR="00AA2FDE" w:rsidRPr="004F0CCA" w:rsidRDefault="00AA2FDE" w:rsidP="00AA2FDE">
      <w:pPr>
        <w:ind w:firstLine="630"/>
        <w:rPr>
          <w:rFonts w:ascii="仿宋_GB2312" w:eastAsia="仿宋_GB2312"/>
          <w:sz w:val="32"/>
          <w:szCs w:val="32"/>
        </w:rPr>
      </w:pPr>
      <w:r>
        <w:rPr>
          <w:rFonts w:ascii="仿宋" w:eastAsia="仿宋" w:hAnsi="仿宋" w:cs="仿宋_GB2312" w:hint="eastAsia"/>
          <w:sz w:val="32"/>
          <w:szCs w:val="32"/>
        </w:rPr>
        <w:t>（三）因公出国（境）费安排50万元，与上年持平。</w:t>
      </w:r>
    </w:p>
    <w:p w:rsidR="00AA2FDE" w:rsidRDefault="00AA2FDE" w:rsidP="00AA2FDE">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AA2FDE" w:rsidRDefault="00AA2FDE" w:rsidP="00AA2FDE">
      <w:pPr>
        <w:spacing w:line="560" w:lineRule="exact"/>
        <w:ind w:firstLineChars="200" w:firstLine="640"/>
        <w:rPr>
          <w:rFonts w:ascii="仿宋_GB2312" w:eastAsia="仿宋_GB2312"/>
          <w:sz w:val="32"/>
          <w:szCs w:val="32"/>
        </w:rPr>
      </w:pPr>
      <w:r w:rsidRPr="00651CFA">
        <w:rPr>
          <w:rFonts w:ascii="仿宋_GB2312" w:eastAsia="仿宋_GB2312" w:hint="eastAsia"/>
          <w:sz w:val="32"/>
          <w:szCs w:val="32"/>
        </w:rPr>
        <w:t>促进国内外贸易稳定增长，优化产品结构。加强组织和干部队伍建设，提高干部业务素质和大型企事业单位工会领导干部水平，促进工会事业发展。保证管委会正常工作的运行。瞄准重点区域、重点客商和商务机构，加强企业对接、园区对接，项目对接，宣传本县投资环境，力争在重点产业引进一批战略支撑项目、龙头企业和协力配套企业。</w:t>
      </w:r>
    </w:p>
    <w:p w:rsidR="00AA2FDE" w:rsidRDefault="00AA2FDE" w:rsidP="00AA2FDE">
      <w:pPr>
        <w:jc w:val="center"/>
        <w:outlineLvl w:val="0"/>
        <w:rPr>
          <w:rFonts w:ascii="方正小标宋_GBK" w:eastAsia="方正小标宋_GBK"/>
          <w:sz w:val="32"/>
        </w:rPr>
      </w:pPr>
      <w:bookmarkStart w:id="0" w:name="_Toc485394158"/>
      <w:r>
        <w:rPr>
          <w:rFonts w:ascii="方正小标宋_GBK" w:eastAsia="方正小标宋_GBK" w:hint="eastAsia"/>
          <w:sz w:val="32"/>
        </w:rPr>
        <w:t>部门职责-工作活动绩效目标</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AA2FDE" w:rsidTr="006D0D81">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AA2FDE" w:rsidRDefault="00AA2FDE" w:rsidP="006D0D81">
            <w:pPr>
              <w:spacing w:line="300" w:lineRule="exact"/>
              <w:jc w:val="left"/>
              <w:rPr>
                <w:rFonts w:ascii="方正小标宋_GBK" w:eastAsia="方正小标宋_GBK"/>
                <w:sz w:val="24"/>
              </w:rPr>
            </w:pPr>
            <w:r>
              <w:rPr>
                <w:rFonts w:ascii="方正小标宋_GBK" w:eastAsia="方正小标宋_GBK"/>
                <w:sz w:val="24"/>
              </w:rPr>
              <w:t>101</w:t>
            </w:r>
            <w:r>
              <w:rPr>
                <w:rFonts w:ascii="方正小标宋_GBK" w:eastAsia="方正小标宋_GBK" w:hint="eastAsia"/>
                <w:sz w:val="24"/>
              </w:rPr>
              <w:t>管委会</w:t>
            </w:r>
          </w:p>
        </w:tc>
        <w:tc>
          <w:tcPr>
            <w:tcW w:w="2948" w:type="dxa"/>
            <w:gridSpan w:val="4"/>
            <w:tcBorders>
              <w:top w:val="single" w:sz="6" w:space="0" w:color="FFFFFF"/>
              <w:left w:val="single" w:sz="6" w:space="0" w:color="FFFFFF"/>
              <w:right w:val="single" w:sz="6" w:space="0" w:color="FFFFFF"/>
            </w:tcBorders>
            <w:vAlign w:val="center"/>
          </w:tcPr>
          <w:p w:rsidR="00AA2FDE" w:rsidRDefault="00AA2FDE" w:rsidP="006D0D81">
            <w:pPr>
              <w:spacing w:line="300" w:lineRule="exact"/>
              <w:jc w:val="right"/>
              <w:rPr>
                <w:rFonts w:ascii="方正书宋_GBK" w:eastAsia="方正书宋_GBK"/>
                <w:sz w:val="24"/>
              </w:rPr>
            </w:pPr>
            <w:r>
              <w:rPr>
                <w:rFonts w:ascii="方正书宋_GBK" w:eastAsia="方正书宋_GBK" w:hint="eastAsia"/>
                <w:sz w:val="24"/>
              </w:rPr>
              <w:t>单位：万元</w:t>
            </w:r>
          </w:p>
        </w:tc>
      </w:tr>
      <w:tr w:rsidR="00AA2FDE" w:rsidTr="006D0D81">
        <w:trPr>
          <w:trHeight w:val="227"/>
          <w:tblHeader/>
          <w:jc w:val="center"/>
        </w:trPr>
        <w:tc>
          <w:tcPr>
            <w:tcW w:w="2341" w:type="dxa"/>
            <w:vMerge w:val="restart"/>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评价标准</w:t>
            </w:r>
          </w:p>
        </w:tc>
      </w:tr>
      <w:tr w:rsidR="00AA2FDE" w:rsidTr="006D0D81">
        <w:trPr>
          <w:trHeight w:val="227"/>
          <w:tblHeader/>
          <w:jc w:val="center"/>
        </w:trPr>
        <w:tc>
          <w:tcPr>
            <w:tcW w:w="2341" w:type="dxa"/>
            <w:vMerge/>
            <w:vAlign w:val="center"/>
          </w:tcPr>
          <w:p w:rsidR="00AA2FDE" w:rsidRDefault="00AA2FDE" w:rsidP="006D0D81">
            <w:pPr>
              <w:spacing w:line="300" w:lineRule="exact"/>
              <w:jc w:val="left"/>
              <w:outlineLvl w:val="0"/>
            </w:pPr>
          </w:p>
        </w:tc>
        <w:tc>
          <w:tcPr>
            <w:tcW w:w="1276" w:type="dxa"/>
            <w:vMerge/>
            <w:vAlign w:val="center"/>
          </w:tcPr>
          <w:p w:rsidR="00AA2FDE" w:rsidRDefault="00AA2FDE" w:rsidP="006D0D81">
            <w:pPr>
              <w:spacing w:line="300" w:lineRule="exact"/>
              <w:jc w:val="left"/>
              <w:outlineLvl w:val="0"/>
            </w:pPr>
          </w:p>
        </w:tc>
        <w:tc>
          <w:tcPr>
            <w:tcW w:w="2976" w:type="dxa"/>
            <w:vMerge/>
            <w:vAlign w:val="center"/>
          </w:tcPr>
          <w:p w:rsidR="00AA2FDE" w:rsidRDefault="00AA2FDE" w:rsidP="006D0D81">
            <w:pPr>
              <w:spacing w:line="300" w:lineRule="exact"/>
              <w:jc w:val="left"/>
              <w:outlineLvl w:val="0"/>
            </w:pPr>
          </w:p>
        </w:tc>
        <w:tc>
          <w:tcPr>
            <w:tcW w:w="2976" w:type="dxa"/>
            <w:vMerge/>
            <w:vAlign w:val="center"/>
          </w:tcPr>
          <w:p w:rsidR="00AA2FDE" w:rsidRDefault="00AA2FDE" w:rsidP="006D0D81">
            <w:pPr>
              <w:spacing w:line="300" w:lineRule="exact"/>
              <w:jc w:val="left"/>
              <w:outlineLvl w:val="0"/>
            </w:pPr>
          </w:p>
        </w:tc>
        <w:tc>
          <w:tcPr>
            <w:tcW w:w="1417" w:type="dxa"/>
            <w:vMerge/>
            <w:vAlign w:val="center"/>
          </w:tcPr>
          <w:p w:rsidR="00AA2FDE" w:rsidRDefault="00AA2FDE" w:rsidP="006D0D81">
            <w:pPr>
              <w:spacing w:line="300" w:lineRule="exact"/>
              <w:jc w:val="left"/>
              <w:outlineLvl w:val="0"/>
            </w:pPr>
          </w:p>
        </w:tc>
        <w:tc>
          <w:tcPr>
            <w:tcW w:w="737" w:type="dxa"/>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AA2FDE" w:rsidRDefault="00AA2FDE" w:rsidP="006D0D81">
            <w:pPr>
              <w:spacing w:line="300" w:lineRule="exact"/>
              <w:jc w:val="center"/>
              <w:rPr>
                <w:rFonts w:ascii="方正书宋_GBK" w:eastAsia="方正书宋_GBK"/>
                <w:b/>
              </w:rPr>
            </w:pPr>
            <w:r>
              <w:rPr>
                <w:rFonts w:ascii="方正书宋_GBK" w:eastAsia="方正书宋_GBK" w:hint="eastAsia"/>
                <w:b/>
              </w:rPr>
              <w:t>差</w:t>
            </w: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对外贸易管理</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300.00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实施经济合作及外商投资计划，依法监督技术引进、设备进口等工作。</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促进国内外贸易稳定增长，优化产品结构。</w:t>
            </w:r>
          </w:p>
        </w:tc>
        <w:tc>
          <w:tcPr>
            <w:tcW w:w="1417" w:type="dxa"/>
            <w:vAlign w:val="center"/>
          </w:tcPr>
          <w:p w:rsidR="00AA2FDE" w:rsidRDefault="00AA2FDE" w:rsidP="006D0D81">
            <w:pPr>
              <w:spacing w:line="300" w:lineRule="exact"/>
              <w:jc w:val="left"/>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r>
      <w:tr w:rsidR="00AA2FDE" w:rsidTr="006D0D81">
        <w:trPr>
          <w:trHeight w:val="795"/>
          <w:jc w:val="center"/>
        </w:trPr>
        <w:tc>
          <w:tcPr>
            <w:tcW w:w="2341" w:type="dxa"/>
            <w:vMerge w:val="restart"/>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 xml:space="preserve">　　招商引资</w:t>
            </w:r>
          </w:p>
        </w:tc>
        <w:tc>
          <w:tcPr>
            <w:tcW w:w="1276" w:type="dxa"/>
            <w:vMerge w:val="restart"/>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30</w:t>
            </w:r>
            <w:r>
              <w:rPr>
                <w:rFonts w:ascii="方正书宋_GBK" w:eastAsia="方正书宋_GBK"/>
              </w:rPr>
              <w:t>0.00</w:t>
            </w:r>
          </w:p>
        </w:tc>
        <w:tc>
          <w:tcPr>
            <w:tcW w:w="2976" w:type="dxa"/>
            <w:vMerge w:val="restart"/>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组织实施对国内、外招商引资活动，参加投资贸易洽谈会等</w:t>
            </w:r>
            <w:r>
              <w:rPr>
                <w:rFonts w:ascii="方正书宋_GBK" w:eastAsia="方正书宋_GBK" w:hint="eastAsia"/>
              </w:rPr>
              <w:lastRenderedPageBreak/>
              <w:t>活动。组织我区企业走出去，开展贸易洽谈、招商合作等活动，促进贸易往来。</w:t>
            </w:r>
          </w:p>
        </w:tc>
        <w:tc>
          <w:tcPr>
            <w:tcW w:w="2976" w:type="dxa"/>
            <w:vMerge w:val="restart"/>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lastRenderedPageBreak/>
              <w:t>瞄准重点区域、重点客商和商务机构，加强企业对接、园区</w:t>
            </w:r>
            <w:r>
              <w:rPr>
                <w:rFonts w:ascii="方正书宋_GBK" w:eastAsia="方正书宋_GBK" w:hint="eastAsia"/>
              </w:rPr>
              <w:lastRenderedPageBreak/>
              <w:t>对接，项目对接，宣传本县投资环境，力争在重点产业引进一批战略支撑项目、龙头企业和协力配套企业。</w:t>
            </w:r>
          </w:p>
        </w:tc>
        <w:tc>
          <w:tcPr>
            <w:tcW w:w="141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lastRenderedPageBreak/>
              <w:t>到会客商人数（人）</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≥100</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≥50</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≥30</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&lt;10</w:t>
            </w:r>
          </w:p>
        </w:tc>
      </w:tr>
      <w:tr w:rsidR="00AA2FDE" w:rsidTr="006D0D81">
        <w:trPr>
          <w:trHeight w:val="960"/>
          <w:jc w:val="center"/>
        </w:trPr>
        <w:tc>
          <w:tcPr>
            <w:tcW w:w="2341" w:type="dxa"/>
            <w:vMerge/>
            <w:vAlign w:val="center"/>
          </w:tcPr>
          <w:p w:rsidR="00AA2FDE" w:rsidRDefault="00AA2FDE" w:rsidP="006D0D81">
            <w:pPr>
              <w:spacing w:line="300" w:lineRule="exact"/>
              <w:jc w:val="left"/>
              <w:rPr>
                <w:rFonts w:ascii="方正书宋_GBK" w:eastAsia="方正书宋_GBK"/>
                <w:b/>
              </w:rPr>
            </w:pPr>
          </w:p>
        </w:tc>
        <w:tc>
          <w:tcPr>
            <w:tcW w:w="1276" w:type="dxa"/>
            <w:vMerge/>
            <w:vAlign w:val="center"/>
          </w:tcPr>
          <w:p w:rsidR="00AA2FDE" w:rsidRDefault="00AA2FDE" w:rsidP="006D0D81">
            <w:pPr>
              <w:spacing w:line="300" w:lineRule="exact"/>
              <w:jc w:val="left"/>
              <w:rPr>
                <w:rFonts w:ascii="方正书宋_GBK" w:eastAsia="方正书宋_GBK"/>
              </w:rPr>
            </w:pPr>
          </w:p>
        </w:tc>
        <w:tc>
          <w:tcPr>
            <w:tcW w:w="2976" w:type="dxa"/>
            <w:vMerge/>
            <w:vAlign w:val="center"/>
          </w:tcPr>
          <w:p w:rsidR="00AA2FDE" w:rsidRDefault="00AA2FDE" w:rsidP="006D0D81">
            <w:pPr>
              <w:spacing w:line="300" w:lineRule="exact"/>
              <w:jc w:val="left"/>
              <w:rPr>
                <w:rFonts w:ascii="方正书宋_GBK" w:eastAsia="方正书宋_GBK"/>
              </w:rPr>
            </w:pPr>
          </w:p>
        </w:tc>
        <w:tc>
          <w:tcPr>
            <w:tcW w:w="2976" w:type="dxa"/>
            <w:vMerge/>
            <w:vAlign w:val="center"/>
          </w:tcPr>
          <w:p w:rsidR="00AA2FDE" w:rsidRDefault="00AA2FDE" w:rsidP="006D0D81">
            <w:pPr>
              <w:spacing w:line="300" w:lineRule="exact"/>
              <w:jc w:val="left"/>
              <w:rPr>
                <w:rFonts w:ascii="方正书宋_GBK" w:eastAsia="方正书宋_GBK"/>
              </w:rPr>
            </w:pPr>
          </w:p>
        </w:tc>
        <w:tc>
          <w:tcPr>
            <w:tcW w:w="141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赴外地开展招商引资地区数量(个）</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≥3</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2</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1</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0</w:t>
            </w:r>
          </w:p>
        </w:tc>
      </w:tr>
      <w:tr w:rsidR="00AA2FDE" w:rsidTr="006D0D81">
        <w:trPr>
          <w:trHeight w:val="1275"/>
          <w:jc w:val="center"/>
        </w:trPr>
        <w:tc>
          <w:tcPr>
            <w:tcW w:w="2341" w:type="dxa"/>
            <w:vMerge/>
            <w:vAlign w:val="center"/>
          </w:tcPr>
          <w:p w:rsidR="00AA2FDE" w:rsidRDefault="00AA2FDE" w:rsidP="006D0D81">
            <w:pPr>
              <w:spacing w:line="300" w:lineRule="exact"/>
              <w:jc w:val="left"/>
              <w:rPr>
                <w:rFonts w:ascii="方正书宋_GBK" w:eastAsia="方正书宋_GBK"/>
                <w:b/>
              </w:rPr>
            </w:pPr>
          </w:p>
        </w:tc>
        <w:tc>
          <w:tcPr>
            <w:tcW w:w="1276" w:type="dxa"/>
            <w:vMerge/>
            <w:vAlign w:val="center"/>
          </w:tcPr>
          <w:p w:rsidR="00AA2FDE" w:rsidRDefault="00AA2FDE" w:rsidP="006D0D81">
            <w:pPr>
              <w:spacing w:line="300" w:lineRule="exact"/>
              <w:jc w:val="left"/>
              <w:rPr>
                <w:rFonts w:ascii="方正书宋_GBK" w:eastAsia="方正书宋_GBK"/>
              </w:rPr>
            </w:pPr>
          </w:p>
        </w:tc>
        <w:tc>
          <w:tcPr>
            <w:tcW w:w="2976" w:type="dxa"/>
            <w:vMerge/>
            <w:vAlign w:val="center"/>
          </w:tcPr>
          <w:p w:rsidR="00AA2FDE" w:rsidRDefault="00AA2FDE" w:rsidP="006D0D81">
            <w:pPr>
              <w:spacing w:line="300" w:lineRule="exact"/>
              <w:jc w:val="left"/>
              <w:rPr>
                <w:rFonts w:ascii="方正书宋_GBK" w:eastAsia="方正书宋_GBK"/>
              </w:rPr>
            </w:pPr>
          </w:p>
        </w:tc>
        <w:tc>
          <w:tcPr>
            <w:tcW w:w="2976" w:type="dxa"/>
            <w:vMerge/>
            <w:vAlign w:val="center"/>
          </w:tcPr>
          <w:p w:rsidR="00AA2FDE" w:rsidRDefault="00AA2FDE" w:rsidP="006D0D81">
            <w:pPr>
              <w:spacing w:line="300" w:lineRule="exact"/>
              <w:jc w:val="left"/>
              <w:rPr>
                <w:rFonts w:ascii="方正书宋_GBK" w:eastAsia="方正书宋_GBK"/>
              </w:rPr>
            </w:pPr>
          </w:p>
        </w:tc>
        <w:tc>
          <w:tcPr>
            <w:tcW w:w="141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招商引资规模增长率</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≥3%</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≥2%</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&lt;2%</w:t>
            </w:r>
          </w:p>
        </w:tc>
        <w:tc>
          <w:tcPr>
            <w:tcW w:w="737" w:type="dxa"/>
            <w:vAlign w:val="center"/>
          </w:tcPr>
          <w:p w:rsidR="00AA2FDE" w:rsidRDefault="00AA2FDE" w:rsidP="006D0D81">
            <w:pPr>
              <w:widowControl/>
              <w:jc w:val="left"/>
              <w:textAlignment w:val="center"/>
              <w:rPr>
                <w:rFonts w:ascii="方正书宋_GBK" w:eastAsia="方正书宋_GBK"/>
              </w:rPr>
            </w:pPr>
            <w:r>
              <w:rPr>
                <w:rFonts w:ascii="宋体" w:hAnsi="宋体" w:cs="宋体" w:hint="eastAsia"/>
                <w:color w:val="000000"/>
                <w:kern w:val="0"/>
                <w:sz w:val="18"/>
                <w:szCs w:val="18"/>
              </w:rPr>
              <w:t>0</w:t>
            </w: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工会事务管理</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rPr>
              <w:t>220.00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研究指导全区工会自身建设；工会干部管理制度和培训规划制定以及培训工作；对工会经费和工会资产进行管理、审查、审计；承担管委会及省市总工会交办的其他事项。</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加强组织和干部队伍建设，提高干部业务素质和大型企事业单位工会领导干部水平，促进工会事业发展。</w:t>
            </w:r>
          </w:p>
        </w:tc>
        <w:tc>
          <w:tcPr>
            <w:tcW w:w="1417" w:type="dxa"/>
            <w:vAlign w:val="center"/>
          </w:tcPr>
          <w:p w:rsidR="00AA2FDE" w:rsidRDefault="00AA2FDE" w:rsidP="006D0D81">
            <w:pPr>
              <w:spacing w:line="300" w:lineRule="exact"/>
              <w:jc w:val="left"/>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rPr>
              <w:t>220.00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研究指导全区工会自身建设；工会干部管理制度和培训规划制定以及培训工作；对工会经费和工会资产进行管理、审查、审计；承担管委会及省市总工会交办的其他事项。</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切实提高工会综合事务管理水平，保障单位的正常运转</w:t>
            </w:r>
          </w:p>
        </w:tc>
        <w:tc>
          <w:tcPr>
            <w:tcW w:w="1417"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AA2FDE" w:rsidRDefault="00AA2FDE" w:rsidP="006D0D81">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管委会党、群建设</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60</w:t>
            </w:r>
            <w:r>
              <w:rPr>
                <w:rFonts w:ascii="方正书宋_GBK" w:eastAsia="方正书宋_GBK"/>
              </w:rPr>
              <w:t>0.00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加强机关党的思想政治建设、组织建设、作风建设、制度建设和反腐倡廉建设，做好其他党建工作；动员组织党外人士、群众团体积极开展活动，发挥各自职能作用，服务中心工作。</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政治觉悟和思想道德素质明显提高；党组织战斗堡垒作用和党员先锋模范作用进一步增强。</w:t>
            </w:r>
          </w:p>
        </w:tc>
        <w:tc>
          <w:tcPr>
            <w:tcW w:w="1417" w:type="dxa"/>
            <w:vAlign w:val="center"/>
          </w:tcPr>
          <w:p w:rsidR="00AA2FDE" w:rsidRDefault="00AA2FDE" w:rsidP="006D0D81">
            <w:pPr>
              <w:spacing w:line="300" w:lineRule="exact"/>
              <w:jc w:val="left"/>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 xml:space="preserve">　　思想政治建设及文化宣传</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60</w:t>
            </w:r>
            <w:r>
              <w:rPr>
                <w:rFonts w:ascii="方正书宋_GBK" w:eastAsia="方正书宋_GBK"/>
              </w:rPr>
              <w:t>0.00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加强机关党的思想政治建设、组织建设、作风建设、制度建设和反腐倡廉建设，做好其他</w:t>
            </w:r>
            <w:r>
              <w:rPr>
                <w:rFonts w:ascii="方正书宋_GBK" w:eastAsia="方正书宋_GBK" w:hint="eastAsia"/>
              </w:rPr>
              <w:lastRenderedPageBreak/>
              <w:t>党建工作；动员组织党外人士、群众团体积极开展活动，发挥各自职能作用，服务中心工作。</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lastRenderedPageBreak/>
              <w:t>提高党群素质，关心群众，树立党员形象。</w:t>
            </w:r>
          </w:p>
        </w:tc>
        <w:tc>
          <w:tcPr>
            <w:tcW w:w="1417"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AA2FDE" w:rsidRDefault="00AA2FDE" w:rsidP="006D0D81">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lastRenderedPageBreak/>
              <w:t>管委会运行管理</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5</w:t>
            </w:r>
            <w:r>
              <w:rPr>
                <w:rFonts w:ascii="方正书宋_GBK" w:eastAsia="方正书宋_GBK"/>
              </w:rPr>
              <w:t>84.60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保证管委会正常工作的运行</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保证管委会正常工作的运行</w:t>
            </w:r>
          </w:p>
        </w:tc>
        <w:tc>
          <w:tcPr>
            <w:tcW w:w="1417" w:type="dxa"/>
            <w:vAlign w:val="center"/>
          </w:tcPr>
          <w:p w:rsidR="00AA2FDE" w:rsidRDefault="00AA2FDE" w:rsidP="006D0D81">
            <w:pPr>
              <w:spacing w:line="300" w:lineRule="exact"/>
              <w:jc w:val="left"/>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c>
          <w:tcPr>
            <w:tcW w:w="737" w:type="dxa"/>
            <w:vAlign w:val="center"/>
          </w:tcPr>
          <w:p w:rsidR="00AA2FDE" w:rsidRDefault="00AA2FDE" w:rsidP="006D0D81">
            <w:pPr>
              <w:spacing w:line="300" w:lineRule="exact"/>
              <w:jc w:val="center"/>
              <w:rPr>
                <w:rFonts w:ascii="方正书宋_GBK" w:eastAsia="方正书宋_GBK"/>
              </w:rPr>
            </w:pPr>
          </w:p>
        </w:tc>
      </w:tr>
      <w:tr w:rsidR="00AA2FDE" w:rsidTr="006D0D81">
        <w:trPr>
          <w:trHeight w:val="227"/>
          <w:jc w:val="center"/>
        </w:trPr>
        <w:tc>
          <w:tcPr>
            <w:tcW w:w="2341" w:type="dxa"/>
            <w:vAlign w:val="center"/>
          </w:tcPr>
          <w:p w:rsidR="00AA2FDE" w:rsidRDefault="00AA2FDE" w:rsidP="006D0D81">
            <w:pPr>
              <w:spacing w:line="300" w:lineRule="exact"/>
              <w:jc w:val="left"/>
              <w:rPr>
                <w:rFonts w:ascii="方正书宋_GBK" w:eastAsia="方正书宋_GBK"/>
                <w:b/>
              </w:rPr>
            </w:pPr>
            <w:r>
              <w:rPr>
                <w:rFonts w:ascii="方正书宋_GBK" w:eastAsia="方正书宋_GBK" w:hint="eastAsia"/>
                <w:b/>
              </w:rPr>
              <w:t xml:space="preserve">　　管委会运行管理</w:t>
            </w:r>
          </w:p>
        </w:tc>
        <w:tc>
          <w:tcPr>
            <w:tcW w:w="12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5</w:t>
            </w:r>
            <w:r>
              <w:rPr>
                <w:rFonts w:ascii="方正书宋_GBK" w:eastAsia="方正书宋_GBK"/>
              </w:rPr>
              <w:t>84.60</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保证管委会正常工作的运行</w:t>
            </w:r>
          </w:p>
        </w:tc>
        <w:tc>
          <w:tcPr>
            <w:tcW w:w="2976"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保证管委会正常工作的运行</w:t>
            </w:r>
          </w:p>
        </w:tc>
        <w:tc>
          <w:tcPr>
            <w:tcW w:w="1417" w:type="dxa"/>
            <w:vAlign w:val="center"/>
          </w:tcPr>
          <w:p w:rsidR="00AA2FDE" w:rsidRDefault="00AA2FDE" w:rsidP="006D0D81">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AA2FDE" w:rsidRDefault="00AA2FDE" w:rsidP="006D0D81">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AA2FDE" w:rsidRDefault="00AA2FDE" w:rsidP="006D0D81">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bl>
    <w:p w:rsidR="00AA2FDE" w:rsidRDefault="00AA2FDE" w:rsidP="00AA2FDE">
      <w:pPr>
        <w:spacing w:line="300" w:lineRule="exact"/>
        <w:jc w:val="left"/>
        <w:outlineLvl w:val="0"/>
        <w:sectPr w:rsidR="00AA2FDE">
          <w:headerReference w:type="even" r:id="rId6"/>
          <w:headerReference w:type="default" r:id="rId7"/>
          <w:footerReference w:type="even" r:id="rId8"/>
          <w:footerReference w:type="default" r:id="rId9"/>
          <w:headerReference w:type="first" r:id="rId10"/>
          <w:footerReference w:type="first" r:id="rId11"/>
          <w:pgSz w:w="16839" w:h="11907" w:orient="landscape"/>
          <w:pgMar w:top="1020" w:right="1361" w:bottom="1020" w:left="1361" w:header="851" w:footer="992" w:gutter="0"/>
          <w:cols w:space="720"/>
          <w:docGrid w:type="lines" w:linePitch="312"/>
        </w:sectPr>
      </w:pPr>
    </w:p>
    <w:p w:rsidR="00AA2FDE" w:rsidRPr="00651CFA" w:rsidRDefault="00AA2FDE" w:rsidP="00AA2FDE">
      <w:pPr>
        <w:spacing w:line="560" w:lineRule="exact"/>
        <w:ind w:firstLineChars="200" w:firstLine="640"/>
        <w:rPr>
          <w:rFonts w:ascii="仿宋_GB2312" w:eastAsia="仿宋_GB2312"/>
          <w:sz w:val="32"/>
          <w:szCs w:val="32"/>
        </w:rPr>
      </w:pPr>
    </w:p>
    <w:p w:rsidR="00AA2FDE" w:rsidRDefault="00AA2FDE" w:rsidP="00AA2FDE">
      <w:pPr>
        <w:tabs>
          <w:tab w:val="left" w:pos="7455"/>
        </w:tabs>
        <w:spacing w:line="560" w:lineRule="exact"/>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0143C9" w:rsidRDefault="000143C9" w:rsidP="000143C9">
      <w:pPr>
        <w:ind w:firstLineChars="200" w:firstLine="640"/>
        <w:jc w:val="left"/>
        <w:outlineLvl w:val="0"/>
        <w:rPr>
          <w:rFonts w:ascii="方正小标宋_GBK" w:eastAsiaTheme="minorEastAsia"/>
          <w:sz w:val="32"/>
        </w:rPr>
      </w:pPr>
      <w:bookmarkStart w:id="1" w:name="_Toc485394163"/>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1</w:t>
      </w:r>
      <w:r w:rsidR="00DF5F67">
        <w:rPr>
          <w:rFonts w:ascii="方正小标宋_GBK" w:eastAsiaTheme="minorEastAsia" w:hint="eastAsia"/>
          <w:sz w:val="32"/>
        </w:rPr>
        <w:t>个</w:t>
      </w:r>
      <w:r>
        <w:rPr>
          <w:rFonts w:ascii="方正小标宋_GBK" w:eastAsiaTheme="minorEastAsia" w:hint="eastAsia"/>
          <w:sz w:val="32"/>
        </w:rPr>
        <w:t>项目列入政府采购预算，金额为</w:t>
      </w:r>
      <w:r>
        <w:rPr>
          <w:rFonts w:ascii="方正小标宋_GBK" w:eastAsiaTheme="minorEastAsia" w:hint="eastAsia"/>
          <w:sz w:val="32"/>
        </w:rPr>
        <w:t>184.3</w:t>
      </w:r>
      <w:r>
        <w:rPr>
          <w:rFonts w:ascii="方正小标宋_GBK" w:eastAsiaTheme="minorEastAsia" w:hint="eastAsia"/>
          <w:sz w:val="32"/>
        </w:rPr>
        <w:t>万元，具体情况详见下表：</w:t>
      </w:r>
    </w:p>
    <w:p w:rsidR="00AA2FDE" w:rsidRDefault="00AA2FDE" w:rsidP="00AA2FDE">
      <w:pPr>
        <w:jc w:val="center"/>
        <w:outlineLvl w:val="0"/>
        <w:rPr>
          <w:rFonts w:ascii="方正小标宋_GBK" w:eastAsia="方正小标宋_GBK"/>
          <w:sz w:val="32"/>
        </w:rPr>
      </w:pPr>
      <w:r w:rsidRPr="006D2799">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69"/>
        <w:gridCol w:w="1162"/>
        <w:gridCol w:w="965"/>
        <w:gridCol w:w="1054"/>
        <w:gridCol w:w="964"/>
        <w:gridCol w:w="964"/>
        <w:gridCol w:w="986"/>
        <w:gridCol w:w="964"/>
        <w:gridCol w:w="964"/>
        <w:gridCol w:w="964"/>
        <w:gridCol w:w="964"/>
        <w:gridCol w:w="964"/>
        <w:gridCol w:w="964"/>
        <w:gridCol w:w="909"/>
      </w:tblGrid>
      <w:tr w:rsidR="00AA2FDE" w:rsidRPr="006B7AB5" w:rsidTr="006D0D81">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AA2FDE" w:rsidRPr="006B7AB5" w:rsidRDefault="00AA2FDE" w:rsidP="006D0D81">
            <w:pPr>
              <w:spacing w:line="300" w:lineRule="exact"/>
              <w:jc w:val="left"/>
              <w:rPr>
                <w:rFonts w:ascii="方正小标宋_GBK" w:eastAsia="方正小标宋_GBK"/>
                <w:sz w:val="24"/>
              </w:rPr>
            </w:pPr>
            <w:r w:rsidRPr="006B7AB5">
              <w:rPr>
                <w:rFonts w:ascii="方正小标宋_GBK" w:eastAsia="方正小标宋_GBK"/>
                <w:sz w:val="24"/>
              </w:rPr>
              <w:t>101</w:t>
            </w:r>
            <w:r w:rsidRPr="006B7AB5">
              <w:rPr>
                <w:rFonts w:ascii="方正小标宋_GBK" w:eastAsia="方正小标宋_GBK" w:hint="eastAsia"/>
                <w:sz w:val="24"/>
              </w:rPr>
              <w:t>管委会</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AA2FDE" w:rsidRPr="006B7AB5" w:rsidRDefault="00AA2FDE" w:rsidP="006D0D81">
            <w:pPr>
              <w:spacing w:line="300" w:lineRule="exact"/>
              <w:jc w:val="right"/>
              <w:rPr>
                <w:rFonts w:ascii="方正书宋_GBK" w:eastAsia="方正书宋_GBK"/>
                <w:sz w:val="24"/>
              </w:rPr>
            </w:pPr>
            <w:r w:rsidRPr="006B7AB5">
              <w:rPr>
                <w:rFonts w:ascii="方正书宋_GBK" w:eastAsia="方正书宋_GBK" w:hint="eastAsia"/>
                <w:sz w:val="24"/>
              </w:rPr>
              <w:t>单位：万元</w:t>
            </w:r>
          </w:p>
        </w:tc>
      </w:tr>
      <w:tr w:rsidR="00AA2FDE" w:rsidRPr="006B7AB5" w:rsidTr="006D0D81">
        <w:trPr>
          <w:tblHeader/>
          <w:jc w:val="center"/>
        </w:trPr>
        <w:tc>
          <w:tcPr>
            <w:tcW w:w="1214" w:type="pct"/>
            <w:gridSpan w:val="2"/>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政府采购项目来源</w:t>
            </w:r>
          </w:p>
        </w:tc>
        <w:tc>
          <w:tcPr>
            <w:tcW w:w="314"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采购物品名称</w:t>
            </w:r>
          </w:p>
        </w:tc>
        <w:tc>
          <w:tcPr>
            <w:tcW w:w="343"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政府采购目录序号</w:t>
            </w:r>
          </w:p>
        </w:tc>
        <w:tc>
          <w:tcPr>
            <w:tcW w:w="314"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数量</w:t>
            </w:r>
            <w:r w:rsidRPr="006B7AB5">
              <w:rPr>
                <w:rFonts w:ascii="方正书宋_GBK" w:eastAsia="方正书宋_GBK"/>
                <w:b/>
              </w:rPr>
              <w:t xml:space="preserve">  </w:t>
            </w:r>
            <w:r w:rsidRPr="006B7AB5">
              <w:rPr>
                <w:rFonts w:ascii="方正书宋_GBK" w:eastAsia="方正书宋_GBK" w:hint="eastAsia"/>
                <w:b/>
              </w:rPr>
              <w:t>单位</w:t>
            </w:r>
          </w:p>
        </w:tc>
        <w:tc>
          <w:tcPr>
            <w:tcW w:w="314"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数量</w:t>
            </w:r>
          </w:p>
        </w:tc>
        <w:tc>
          <w:tcPr>
            <w:tcW w:w="321"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单价</w:t>
            </w:r>
          </w:p>
        </w:tc>
        <w:tc>
          <w:tcPr>
            <w:tcW w:w="2180" w:type="pct"/>
            <w:gridSpan w:val="7"/>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政府采购金额</w:t>
            </w:r>
          </w:p>
        </w:tc>
      </w:tr>
      <w:tr w:rsidR="00AA2FDE" w:rsidRPr="006B7AB5" w:rsidTr="006D0D81">
        <w:trPr>
          <w:tblHeader/>
          <w:jc w:val="center"/>
        </w:trPr>
        <w:tc>
          <w:tcPr>
            <w:tcW w:w="836"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项目名称</w:t>
            </w:r>
          </w:p>
        </w:tc>
        <w:tc>
          <w:tcPr>
            <w:tcW w:w="377"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预算资金</w:t>
            </w:r>
          </w:p>
        </w:tc>
        <w:tc>
          <w:tcPr>
            <w:tcW w:w="314" w:type="pct"/>
            <w:vMerge/>
            <w:shd w:val="clear" w:color="auto" w:fill="auto"/>
            <w:vAlign w:val="center"/>
          </w:tcPr>
          <w:p w:rsidR="00AA2FDE" w:rsidRPr="006B7AB5" w:rsidRDefault="00AA2FDE" w:rsidP="006D0D81">
            <w:pPr>
              <w:spacing w:line="300" w:lineRule="exact"/>
              <w:jc w:val="left"/>
              <w:outlineLvl w:val="0"/>
            </w:pPr>
          </w:p>
        </w:tc>
        <w:tc>
          <w:tcPr>
            <w:tcW w:w="343"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21" w:type="pct"/>
            <w:vMerge/>
            <w:shd w:val="clear" w:color="auto" w:fill="auto"/>
            <w:vAlign w:val="center"/>
          </w:tcPr>
          <w:p w:rsidR="00AA2FDE" w:rsidRPr="006B7AB5" w:rsidRDefault="00AA2FDE" w:rsidP="006D0D81">
            <w:pPr>
              <w:spacing w:line="300" w:lineRule="exact"/>
              <w:jc w:val="left"/>
              <w:outlineLvl w:val="0"/>
            </w:pPr>
          </w:p>
        </w:tc>
        <w:tc>
          <w:tcPr>
            <w:tcW w:w="314"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总计</w:t>
            </w:r>
          </w:p>
        </w:tc>
        <w:tc>
          <w:tcPr>
            <w:tcW w:w="1569" w:type="pct"/>
            <w:gridSpan w:val="5"/>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当年部门预算安排资金</w:t>
            </w:r>
          </w:p>
        </w:tc>
        <w:tc>
          <w:tcPr>
            <w:tcW w:w="297" w:type="pct"/>
            <w:vMerge w:val="restar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其他渠道资金</w:t>
            </w:r>
          </w:p>
        </w:tc>
      </w:tr>
      <w:tr w:rsidR="00AA2FDE" w:rsidRPr="006B7AB5" w:rsidTr="006D0D81">
        <w:trPr>
          <w:tblHeader/>
          <w:jc w:val="center"/>
        </w:trPr>
        <w:tc>
          <w:tcPr>
            <w:tcW w:w="836" w:type="pct"/>
            <w:vMerge/>
            <w:shd w:val="clear" w:color="auto" w:fill="auto"/>
            <w:vAlign w:val="center"/>
          </w:tcPr>
          <w:p w:rsidR="00AA2FDE" w:rsidRPr="006B7AB5" w:rsidRDefault="00AA2FDE" w:rsidP="006D0D81">
            <w:pPr>
              <w:spacing w:line="300" w:lineRule="exact"/>
              <w:jc w:val="left"/>
              <w:outlineLvl w:val="0"/>
            </w:pPr>
          </w:p>
        </w:tc>
        <w:tc>
          <w:tcPr>
            <w:tcW w:w="377"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43"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21" w:type="pct"/>
            <w:vMerge/>
            <w:shd w:val="clear" w:color="auto" w:fill="auto"/>
            <w:vAlign w:val="center"/>
          </w:tcPr>
          <w:p w:rsidR="00AA2FDE" w:rsidRPr="006B7AB5" w:rsidRDefault="00AA2FDE" w:rsidP="006D0D81">
            <w:pPr>
              <w:spacing w:line="300" w:lineRule="exact"/>
              <w:jc w:val="left"/>
              <w:outlineLvl w:val="0"/>
            </w:pPr>
          </w:p>
        </w:tc>
        <w:tc>
          <w:tcPr>
            <w:tcW w:w="314" w:type="pct"/>
            <w:vMerge/>
            <w:shd w:val="clear" w:color="auto" w:fill="auto"/>
            <w:vAlign w:val="center"/>
          </w:tcPr>
          <w:p w:rsidR="00AA2FDE" w:rsidRPr="006B7AB5" w:rsidRDefault="00AA2FDE" w:rsidP="006D0D81">
            <w:pPr>
              <w:spacing w:line="300" w:lineRule="exact"/>
              <w:jc w:val="left"/>
              <w:outlineLvl w:val="0"/>
            </w:pPr>
          </w:p>
        </w:tc>
        <w:tc>
          <w:tcPr>
            <w:tcW w:w="314"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合计</w:t>
            </w:r>
          </w:p>
        </w:tc>
        <w:tc>
          <w:tcPr>
            <w:tcW w:w="314"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一般公共预算拨款</w:t>
            </w:r>
          </w:p>
        </w:tc>
        <w:tc>
          <w:tcPr>
            <w:tcW w:w="314"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基金预算拨款</w:t>
            </w:r>
          </w:p>
        </w:tc>
        <w:tc>
          <w:tcPr>
            <w:tcW w:w="314"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财政专户核拨</w:t>
            </w:r>
          </w:p>
        </w:tc>
        <w:tc>
          <w:tcPr>
            <w:tcW w:w="314"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其他来源收入</w:t>
            </w:r>
          </w:p>
        </w:tc>
        <w:tc>
          <w:tcPr>
            <w:tcW w:w="297" w:type="pct"/>
            <w:vMerge/>
            <w:shd w:val="clear" w:color="auto" w:fill="auto"/>
            <w:vAlign w:val="center"/>
          </w:tcPr>
          <w:p w:rsidR="00AA2FDE" w:rsidRPr="006B7AB5" w:rsidRDefault="00AA2FDE" w:rsidP="006D0D81">
            <w:pPr>
              <w:spacing w:line="300" w:lineRule="exact"/>
              <w:jc w:val="left"/>
              <w:outlineLvl w:val="0"/>
            </w:pPr>
          </w:p>
        </w:tc>
      </w:tr>
      <w:tr w:rsidR="00AA2FDE" w:rsidRPr="006B7AB5" w:rsidTr="006D0D81">
        <w:trPr>
          <w:jc w:val="center"/>
        </w:trPr>
        <w:tc>
          <w:tcPr>
            <w:tcW w:w="836"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合　计</w:t>
            </w:r>
          </w:p>
        </w:tc>
        <w:tc>
          <w:tcPr>
            <w:tcW w:w="377"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43"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21"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297" w:type="pct"/>
            <w:shd w:val="clear" w:color="auto" w:fill="auto"/>
            <w:vAlign w:val="center"/>
          </w:tcPr>
          <w:p w:rsidR="00AA2FDE" w:rsidRPr="006B7AB5" w:rsidRDefault="00AA2FDE" w:rsidP="006D0D81">
            <w:pPr>
              <w:spacing w:line="300" w:lineRule="exact"/>
              <w:jc w:val="right"/>
              <w:rPr>
                <w:rFonts w:ascii="方正书宋_GBK" w:eastAsia="方正书宋_GBK"/>
                <w:b/>
              </w:rPr>
            </w:pPr>
          </w:p>
        </w:tc>
      </w:tr>
      <w:tr w:rsidR="00AA2FDE" w:rsidRPr="006B7AB5" w:rsidTr="006D0D81">
        <w:trPr>
          <w:jc w:val="center"/>
        </w:trPr>
        <w:tc>
          <w:tcPr>
            <w:tcW w:w="836" w:type="pct"/>
            <w:shd w:val="clear" w:color="auto" w:fill="auto"/>
            <w:vAlign w:val="center"/>
          </w:tcPr>
          <w:p w:rsidR="00AA2FDE" w:rsidRPr="006B7AB5" w:rsidRDefault="00AA2FDE" w:rsidP="006D0D81">
            <w:pPr>
              <w:spacing w:line="300" w:lineRule="exact"/>
              <w:jc w:val="center"/>
              <w:rPr>
                <w:rFonts w:ascii="方正书宋_GBK" w:eastAsia="方正书宋_GBK"/>
                <w:b/>
              </w:rPr>
            </w:pPr>
            <w:r w:rsidRPr="006B7AB5">
              <w:rPr>
                <w:rFonts w:ascii="方正书宋_GBK" w:eastAsia="方正书宋_GBK" w:hint="eastAsia"/>
                <w:b/>
              </w:rPr>
              <w:t>管委会待分小计</w:t>
            </w:r>
          </w:p>
        </w:tc>
        <w:tc>
          <w:tcPr>
            <w:tcW w:w="377"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43"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21"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r w:rsidRPr="006B7AB5">
              <w:rPr>
                <w:rFonts w:ascii="方正书宋_GBK" w:eastAsia="方正书宋_GBK"/>
                <w:b/>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b/>
              </w:rPr>
            </w:pPr>
          </w:p>
        </w:tc>
        <w:tc>
          <w:tcPr>
            <w:tcW w:w="297" w:type="pct"/>
            <w:shd w:val="clear" w:color="auto" w:fill="auto"/>
            <w:vAlign w:val="center"/>
          </w:tcPr>
          <w:p w:rsidR="00AA2FDE" w:rsidRPr="006B7AB5" w:rsidRDefault="00AA2FDE" w:rsidP="006D0D81">
            <w:pPr>
              <w:spacing w:line="300" w:lineRule="exact"/>
              <w:jc w:val="right"/>
              <w:rPr>
                <w:rFonts w:ascii="方正书宋_GBK" w:eastAsia="方正书宋_GBK"/>
                <w:b/>
              </w:rPr>
            </w:pPr>
          </w:p>
        </w:tc>
      </w:tr>
      <w:tr w:rsidR="00AA2FDE" w:rsidRPr="006B7AB5" w:rsidTr="006D0D81">
        <w:trPr>
          <w:jc w:val="center"/>
        </w:trPr>
        <w:tc>
          <w:tcPr>
            <w:tcW w:w="836" w:type="pct"/>
            <w:shd w:val="clear" w:color="auto" w:fill="auto"/>
            <w:vAlign w:val="center"/>
          </w:tcPr>
          <w:p w:rsidR="00AA2FDE" w:rsidRPr="006B7AB5" w:rsidRDefault="00AA2FDE" w:rsidP="006D0D81">
            <w:pPr>
              <w:spacing w:line="300" w:lineRule="exact"/>
              <w:jc w:val="left"/>
              <w:rPr>
                <w:rFonts w:ascii="方正书宋_GBK" w:eastAsia="方正书宋_GBK"/>
              </w:rPr>
            </w:pPr>
            <w:r w:rsidRPr="006B7AB5">
              <w:rPr>
                <w:rFonts w:ascii="方正书宋_GBK" w:eastAsia="方正书宋_GBK" w:hint="eastAsia"/>
              </w:rPr>
              <w:t>附楼电梯、庭院美化车棚及护栏、新风净化设备、大厦附楼一层大屏分布式控制系统费用</w:t>
            </w:r>
          </w:p>
        </w:tc>
        <w:tc>
          <w:tcPr>
            <w:tcW w:w="377"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184.60</w:t>
            </w: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rPr>
            </w:pPr>
            <w:r w:rsidRPr="006B7AB5">
              <w:rPr>
                <w:rFonts w:ascii="方正书宋_GBK" w:eastAsia="方正书宋_GBK" w:hint="eastAsia"/>
              </w:rPr>
              <w:t>专用设备</w:t>
            </w:r>
          </w:p>
        </w:tc>
        <w:tc>
          <w:tcPr>
            <w:tcW w:w="343" w:type="pct"/>
            <w:shd w:val="clear" w:color="auto" w:fill="auto"/>
            <w:vAlign w:val="center"/>
          </w:tcPr>
          <w:p w:rsidR="00AA2FDE" w:rsidRPr="006B7AB5" w:rsidRDefault="00AA2FDE" w:rsidP="006D0D81">
            <w:pPr>
              <w:spacing w:line="300" w:lineRule="exact"/>
              <w:jc w:val="left"/>
              <w:rPr>
                <w:rFonts w:ascii="方正书宋_GBK" w:eastAsia="方正书宋_GBK"/>
              </w:rPr>
            </w:pPr>
            <w:r w:rsidRPr="006B7AB5">
              <w:rPr>
                <w:rFonts w:ascii="方正书宋_GBK" w:eastAsia="方正书宋_GBK"/>
              </w:rPr>
              <w:t>A03</w:t>
            </w:r>
          </w:p>
        </w:tc>
        <w:tc>
          <w:tcPr>
            <w:tcW w:w="314" w:type="pct"/>
            <w:shd w:val="clear" w:color="auto" w:fill="auto"/>
            <w:vAlign w:val="center"/>
          </w:tcPr>
          <w:p w:rsidR="00AA2FDE" w:rsidRPr="006B7AB5" w:rsidRDefault="00AA2FDE" w:rsidP="006D0D81">
            <w:pPr>
              <w:spacing w:line="300" w:lineRule="exact"/>
              <w:jc w:val="left"/>
              <w:rPr>
                <w:rFonts w:ascii="方正书宋_GBK" w:eastAsia="方正书宋_GBK"/>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w:t>
            </w:r>
          </w:p>
        </w:tc>
        <w:tc>
          <w:tcPr>
            <w:tcW w:w="321"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r w:rsidRPr="006B7AB5">
              <w:rPr>
                <w:rFonts w:ascii="方正书宋_GBK" w:eastAsia="方正书宋_GBK"/>
              </w:rPr>
              <w:t>184.60</w:t>
            </w: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p>
        </w:tc>
        <w:tc>
          <w:tcPr>
            <w:tcW w:w="314" w:type="pct"/>
            <w:shd w:val="clear" w:color="auto" w:fill="auto"/>
            <w:vAlign w:val="center"/>
          </w:tcPr>
          <w:p w:rsidR="00AA2FDE" w:rsidRPr="006B7AB5" w:rsidRDefault="00AA2FDE" w:rsidP="006D0D81">
            <w:pPr>
              <w:spacing w:line="300" w:lineRule="exact"/>
              <w:jc w:val="right"/>
              <w:rPr>
                <w:rFonts w:ascii="方正书宋_GBK" w:eastAsia="方正书宋_GBK"/>
              </w:rPr>
            </w:pPr>
          </w:p>
        </w:tc>
        <w:tc>
          <w:tcPr>
            <w:tcW w:w="297" w:type="pct"/>
            <w:shd w:val="clear" w:color="auto" w:fill="auto"/>
            <w:vAlign w:val="center"/>
          </w:tcPr>
          <w:p w:rsidR="00AA2FDE" w:rsidRPr="006B7AB5" w:rsidRDefault="00AA2FDE" w:rsidP="006D0D81">
            <w:pPr>
              <w:spacing w:line="300" w:lineRule="exact"/>
              <w:jc w:val="right"/>
              <w:rPr>
                <w:rFonts w:ascii="方正书宋_GBK" w:eastAsia="方正书宋_GBK"/>
              </w:rPr>
            </w:pPr>
          </w:p>
        </w:tc>
      </w:tr>
    </w:tbl>
    <w:p w:rsidR="00AA2FDE" w:rsidRDefault="00AA2FDE" w:rsidP="00AA2FDE">
      <w:pPr>
        <w:spacing w:line="300" w:lineRule="exact"/>
        <w:jc w:val="left"/>
        <w:outlineLvl w:val="0"/>
        <w:sectPr w:rsidR="00AA2FDE" w:rsidSect="006209E3">
          <w:headerReference w:type="even" r:id="rId12"/>
          <w:headerReference w:type="default" r:id="rId13"/>
          <w:footerReference w:type="even" r:id="rId14"/>
          <w:footerReference w:type="default" r:id="rId15"/>
          <w:headerReference w:type="first" r:id="rId16"/>
          <w:footerReference w:type="first" r:id="rId17"/>
          <w:pgSz w:w="16839" w:h="11907" w:orient="landscape"/>
          <w:pgMar w:top="1361" w:right="1020" w:bottom="1361" w:left="1020" w:header="851" w:footer="992" w:gutter="0"/>
          <w:cols w:space="425"/>
          <w:docGrid w:type="lines" w:linePitch="312"/>
        </w:sectPr>
      </w:pPr>
    </w:p>
    <w:p w:rsidR="00AA2FDE" w:rsidRDefault="00AA2FDE" w:rsidP="00AA2FDE">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AA2FDE" w:rsidRPr="00F37204" w:rsidTr="006D0D81">
        <w:trPr>
          <w:trHeight w:val="705"/>
        </w:trPr>
        <w:tc>
          <w:tcPr>
            <w:tcW w:w="13680" w:type="dxa"/>
            <w:gridSpan w:val="3"/>
            <w:tcBorders>
              <w:top w:val="nil"/>
              <w:left w:val="nil"/>
              <w:bottom w:val="nil"/>
              <w:right w:val="nil"/>
            </w:tcBorders>
            <w:vAlign w:val="center"/>
          </w:tcPr>
          <w:p w:rsidR="00AA2FDE" w:rsidRPr="00F37204" w:rsidRDefault="00AA2FDE" w:rsidP="006D0D81">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AA2FDE" w:rsidRPr="00F37204" w:rsidTr="006D0D81">
        <w:trPr>
          <w:trHeight w:val="510"/>
        </w:trPr>
        <w:tc>
          <w:tcPr>
            <w:tcW w:w="7488" w:type="dxa"/>
            <w:gridSpan w:val="2"/>
            <w:tcBorders>
              <w:top w:val="nil"/>
              <w:left w:val="nil"/>
              <w:bottom w:val="nil"/>
              <w:right w:val="nil"/>
            </w:tcBorders>
            <w:vAlign w:val="center"/>
          </w:tcPr>
          <w:p w:rsidR="00AA2FDE" w:rsidRPr="00F37204" w:rsidRDefault="00AA2FDE" w:rsidP="006D0D81">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管委会</w:t>
            </w:r>
          </w:p>
        </w:tc>
        <w:tc>
          <w:tcPr>
            <w:tcW w:w="6192" w:type="dxa"/>
            <w:tcBorders>
              <w:top w:val="nil"/>
              <w:left w:val="nil"/>
              <w:bottom w:val="nil"/>
              <w:right w:val="nil"/>
            </w:tcBorders>
            <w:vAlign w:val="center"/>
          </w:tcPr>
          <w:p w:rsidR="00AA2FDE" w:rsidRPr="00F37204" w:rsidRDefault="00AA2FDE" w:rsidP="006D0D81">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AA2FDE" w:rsidRPr="00F37204" w:rsidTr="006D0D81">
        <w:trPr>
          <w:trHeight w:val="516"/>
        </w:trPr>
        <w:tc>
          <w:tcPr>
            <w:tcW w:w="4788" w:type="dxa"/>
            <w:tcBorders>
              <w:top w:val="single" w:sz="4" w:space="0" w:color="auto"/>
              <w:left w:val="single" w:sz="4" w:space="0" w:color="auto"/>
              <w:bottom w:val="single" w:sz="4" w:space="0" w:color="auto"/>
              <w:right w:val="single" w:sz="4" w:space="0" w:color="auto"/>
            </w:tcBorders>
            <w:vAlign w:val="center"/>
          </w:tcPr>
          <w:p w:rsidR="00AA2FDE" w:rsidRPr="00F37204" w:rsidRDefault="00AA2FDE" w:rsidP="006D0D81">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AA2FDE" w:rsidRPr="00F37204" w:rsidRDefault="00AA2FDE" w:rsidP="006D0D81">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AA2FDE" w:rsidRPr="00F37204" w:rsidRDefault="00AA2FDE" w:rsidP="006D0D81">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AA2FDE" w:rsidRPr="00F37204" w:rsidTr="006D0D81">
        <w:trPr>
          <w:trHeight w:val="582"/>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widowControl/>
              <w:jc w:val="center"/>
              <w:rPr>
                <w:rFonts w:ascii="仿宋_GB2312" w:eastAsia="仿宋_GB2312" w:cs="宋体"/>
                <w:kern w:val="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jc w:val="right"/>
              <w:rPr>
                <w:rFonts w:ascii="宋体" w:hAnsi="宋体" w:cs="宋体"/>
                <w:color w:val="000000"/>
                <w:sz w:val="22"/>
                <w:szCs w:val="22"/>
              </w:rPr>
            </w:pPr>
            <w:r>
              <w:rPr>
                <w:rFonts w:hint="eastAsia"/>
                <w:color w:val="000000"/>
                <w:sz w:val="22"/>
                <w:szCs w:val="22"/>
              </w:rPr>
              <w:t>310.5840</w:t>
            </w:r>
          </w:p>
        </w:tc>
      </w:tr>
      <w:tr w:rsidR="00AA2FDE" w:rsidRPr="00F37204" w:rsidTr="006D0D81">
        <w:trPr>
          <w:trHeight w:val="520"/>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444"/>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524"/>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jc w:val="right"/>
              <w:rPr>
                <w:rFonts w:ascii="宋体" w:hAnsi="宋体" w:cs="宋体"/>
                <w:color w:val="000000"/>
                <w:sz w:val="22"/>
                <w:szCs w:val="22"/>
              </w:rPr>
            </w:pPr>
            <w:r>
              <w:rPr>
                <w:rFonts w:hint="eastAsia"/>
                <w:color w:val="000000"/>
                <w:sz w:val="22"/>
                <w:szCs w:val="22"/>
              </w:rPr>
              <w:t>310.5840</w:t>
            </w:r>
          </w:p>
        </w:tc>
      </w:tr>
      <w:tr w:rsidR="00AA2FDE" w:rsidRPr="00F37204" w:rsidTr="006D0D81">
        <w:trPr>
          <w:trHeight w:val="462"/>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527"/>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07"/>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88"/>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561"/>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45"/>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45"/>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45"/>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r w:rsidR="00AA2FDE" w:rsidRPr="00F37204" w:rsidTr="006D0D81">
        <w:trPr>
          <w:trHeight w:val="645"/>
        </w:trPr>
        <w:tc>
          <w:tcPr>
            <w:tcW w:w="4788" w:type="dxa"/>
            <w:tcBorders>
              <w:top w:val="nil"/>
              <w:left w:val="single" w:sz="4" w:space="0" w:color="auto"/>
              <w:bottom w:val="single" w:sz="4" w:space="0" w:color="auto"/>
              <w:right w:val="single" w:sz="4" w:space="0" w:color="auto"/>
            </w:tcBorders>
            <w:vAlign w:val="center"/>
          </w:tcPr>
          <w:p w:rsidR="00AA2FDE" w:rsidRPr="00F37204" w:rsidRDefault="00AA2FDE" w:rsidP="006D0D81">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AA2FDE" w:rsidRPr="00F37204" w:rsidRDefault="00AA2FDE" w:rsidP="006D0D81">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AA2FDE" w:rsidRDefault="00AA2FDE" w:rsidP="006D0D81">
            <w:pPr>
              <w:rPr>
                <w:rFonts w:ascii="宋体" w:hAnsi="宋体" w:cs="宋体"/>
                <w:sz w:val="20"/>
                <w:szCs w:val="20"/>
              </w:rPr>
            </w:pPr>
            <w:r>
              <w:rPr>
                <w:rFonts w:hint="eastAsia"/>
                <w:sz w:val="20"/>
                <w:szCs w:val="20"/>
              </w:rPr>
              <w:t xml:space="preserve">　</w:t>
            </w:r>
          </w:p>
        </w:tc>
      </w:tr>
    </w:tbl>
    <w:p w:rsidR="00AA2FDE" w:rsidRPr="00196418" w:rsidRDefault="00AA2FDE" w:rsidP="00AA2FDE">
      <w:pPr>
        <w:spacing w:line="560" w:lineRule="exact"/>
        <w:ind w:firstLineChars="200" w:firstLine="640"/>
        <w:rPr>
          <w:rFonts w:ascii="仿宋_GB2312" w:eastAsia="仿宋_GB2312"/>
          <w:sz w:val="32"/>
          <w:szCs w:val="32"/>
        </w:rPr>
      </w:pPr>
      <w:r w:rsidRPr="00196418">
        <w:rPr>
          <w:rFonts w:ascii="仿宋_GB2312" w:eastAsia="仿宋_GB2312" w:hint="eastAsia"/>
          <w:sz w:val="32"/>
          <w:szCs w:val="32"/>
        </w:rPr>
        <w:t>2017年我</w:t>
      </w:r>
      <w:r>
        <w:rPr>
          <w:rFonts w:ascii="仿宋_GB2312" w:eastAsia="仿宋_GB2312" w:hint="eastAsia"/>
          <w:sz w:val="32"/>
          <w:szCs w:val="32"/>
        </w:rPr>
        <w:t>部门</w:t>
      </w:r>
      <w:r w:rsidRPr="00196418">
        <w:rPr>
          <w:rFonts w:ascii="仿宋_GB2312" w:eastAsia="仿宋_GB2312" w:hint="eastAsia"/>
          <w:sz w:val="32"/>
          <w:szCs w:val="32"/>
        </w:rPr>
        <w:t>无</w:t>
      </w:r>
      <w:r>
        <w:rPr>
          <w:rFonts w:ascii="仿宋_GB2312" w:eastAsia="仿宋_GB2312" w:hint="eastAsia"/>
          <w:sz w:val="32"/>
          <w:szCs w:val="32"/>
        </w:rPr>
        <w:t>拟</w:t>
      </w:r>
      <w:r w:rsidRPr="00196418">
        <w:rPr>
          <w:rFonts w:ascii="仿宋_GB2312" w:eastAsia="仿宋_GB2312" w:hint="eastAsia"/>
          <w:sz w:val="32"/>
          <w:szCs w:val="32"/>
        </w:rPr>
        <w:t>购置情况</w:t>
      </w:r>
    </w:p>
    <w:p w:rsidR="00AA2FDE" w:rsidRDefault="00AA2FDE" w:rsidP="00AA2FDE">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AA2FDE" w:rsidRPr="005A649C" w:rsidRDefault="00AA2FDE" w:rsidP="00AA2FD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AA2FDE" w:rsidRPr="005A649C" w:rsidRDefault="00AA2FDE" w:rsidP="00AA2FD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AA2FDE" w:rsidRPr="005A649C" w:rsidRDefault="00AA2FDE" w:rsidP="00AA2FD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AA2FDE" w:rsidRDefault="00AA2FDE" w:rsidP="00AA2FDE">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AA2FDE" w:rsidRPr="005A649C" w:rsidRDefault="00AA2FDE" w:rsidP="00AA2FD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w:t>
      </w:r>
      <w:r>
        <w:rPr>
          <w:rFonts w:ascii="仿宋_GB2312" w:eastAsia="仿宋_GB2312" w:hint="eastAsia"/>
          <w:sz w:val="32"/>
          <w:szCs w:val="32"/>
        </w:rPr>
        <w:t>年部门预算无国有资本经营预算财政拨款收支，因此相关表格数据为零。</w:t>
      </w:r>
    </w:p>
    <w:p w:rsidR="00A61805" w:rsidRPr="00AA2FDE" w:rsidRDefault="00A61805"/>
    <w:sectPr w:rsidR="00A61805" w:rsidRPr="00AA2FDE" w:rsidSect="00AA2FDE">
      <w:headerReference w:type="even" r:id="rId18"/>
      <w:headerReference w:type="default" r:id="rId19"/>
      <w:footerReference w:type="even" r:id="rId20"/>
      <w:footerReference w:type="default" r:id="rId21"/>
      <w:headerReference w:type="first" r:id="rId22"/>
      <w:footerReference w:type="first" r:id="rId2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D6" w:rsidRDefault="00C41CD6" w:rsidP="00AA2FDE">
      <w:r>
        <w:separator/>
      </w:r>
    </w:p>
  </w:endnote>
  <w:endnote w:type="continuationSeparator" w:id="1">
    <w:p w:rsidR="00C41CD6" w:rsidRDefault="00C41CD6" w:rsidP="00AA2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9" w:rsidRDefault="000143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9" w:rsidRDefault="000143C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D6" w:rsidRDefault="00C41CD6" w:rsidP="00AA2FDE">
      <w:r>
        <w:separator/>
      </w:r>
    </w:p>
  </w:footnote>
  <w:footnote w:type="continuationSeparator" w:id="1">
    <w:p w:rsidR="00C41CD6" w:rsidRDefault="00C41CD6" w:rsidP="00AA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9" w:rsidRDefault="000143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rsidP="00DF5F6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9" w:rsidRDefault="000143C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rsidP="00C41A1C">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rsidP="00AA2FDE">
    <w:pPr>
      <w:pStyle w:val="a3"/>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DE" w:rsidRDefault="00AA2F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FDE"/>
    <w:rsid w:val="000143C9"/>
    <w:rsid w:val="004F2943"/>
    <w:rsid w:val="0088775C"/>
    <w:rsid w:val="008D10DE"/>
    <w:rsid w:val="008F29A2"/>
    <w:rsid w:val="00986ADE"/>
    <w:rsid w:val="00A61805"/>
    <w:rsid w:val="00AA2FDE"/>
    <w:rsid w:val="00AF186E"/>
    <w:rsid w:val="00BD7B3D"/>
    <w:rsid w:val="00C16558"/>
    <w:rsid w:val="00C41CD6"/>
    <w:rsid w:val="00DF5F67"/>
    <w:rsid w:val="00E90C21"/>
    <w:rsid w:val="00F80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2F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2FDE"/>
    <w:rPr>
      <w:sz w:val="18"/>
      <w:szCs w:val="18"/>
    </w:rPr>
  </w:style>
  <w:style w:type="paragraph" w:styleId="a4">
    <w:name w:val="footer"/>
    <w:basedOn w:val="a"/>
    <w:link w:val="Char0"/>
    <w:uiPriority w:val="99"/>
    <w:unhideWhenUsed/>
    <w:rsid w:val="00AA2F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2F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2017-04-16T01:56:00Z</dcterms:created>
  <dcterms:modified xsi:type="dcterms:W3CDTF">2017-11-10T01:47:00Z</dcterms:modified>
</cp:coreProperties>
</file>