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tabs>
          <w:tab w:val="left" w:pos="3960"/>
        </w:tabs>
        <w:spacing w:line="560" w:lineRule="exact"/>
        <w:ind w:left="3140"/>
        <w:rPr>
          <w:rFonts w:hint="eastAsia" w:ascii="黑体" w:hAnsi="黑体" w:eastAsia="黑体" w:cs="黑体"/>
          <w:sz w:val="32"/>
          <w:szCs w:val="32"/>
        </w:rPr>
      </w:pPr>
      <w:bookmarkStart w:id="0" w:name="page2"/>
      <w:bookmarkEnd w:id="0"/>
    </w:p>
    <w:p>
      <w:pPr>
        <w:tabs>
          <w:tab w:val="left" w:pos="3960"/>
        </w:tabs>
        <w:spacing w:line="560" w:lineRule="exact"/>
        <w:ind w:left="3140"/>
        <w:rPr>
          <w:rFonts w:ascii="黑体" w:hAnsi="黑体" w:eastAsia="黑体" w:cs="黑体"/>
          <w:sz w:val="32"/>
          <w:szCs w:val="32"/>
        </w:rPr>
      </w:pPr>
    </w:p>
    <w:p>
      <w:pPr>
        <w:tabs>
          <w:tab w:val="left" w:pos="3960"/>
        </w:tabs>
        <w:spacing w:line="560" w:lineRule="exact"/>
        <w:ind w:left="3140"/>
        <w:rPr>
          <w:rFonts w:ascii="黑体" w:hAnsi="黑体" w:eastAsia="黑体" w:cs="黑体"/>
          <w:sz w:val="32"/>
          <w:szCs w:val="32"/>
        </w:rPr>
      </w:pPr>
    </w:p>
    <w:p>
      <w:pPr>
        <w:tabs>
          <w:tab w:val="left" w:pos="3960"/>
        </w:tabs>
        <w:spacing w:line="560" w:lineRule="exact"/>
        <w:ind w:left="3140"/>
        <w:rPr>
          <w:rFonts w:ascii="黑体" w:hAnsi="黑体" w:eastAsia="黑体" w:cs="黑体"/>
          <w:sz w:val="32"/>
          <w:szCs w:val="32"/>
        </w:rPr>
      </w:pPr>
    </w:p>
    <w:p>
      <w:pPr>
        <w:tabs>
          <w:tab w:val="left" w:pos="3960"/>
        </w:tabs>
        <w:spacing w:line="560" w:lineRule="exact"/>
        <w:ind w:left="3140"/>
        <w:rPr>
          <w:rFonts w:ascii="黑体" w:hAnsi="黑体" w:eastAsia="黑体" w:cs="黑体"/>
          <w:sz w:val="32"/>
          <w:szCs w:val="32"/>
        </w:rPr>
      </w:pPr>
    </w:p>
    <w:p>
      <w:pPr>
        <w:tabs>
          <w:tab w:val="left" w:pos="3960"/>
        </w:tabs>
        <w:spacing w:line="560" w:lineRule="exact"/>
        <w:ind w:left="3140"/>
        <w:rPr>
          <w:rFonts w:ascii="黑体" w:hAnsi="黑体" w:eastAsia="黑体" w:cs="黑体"/>
          <w:sz w:val="32"/>
          <w:szCs w:val="32"/>
        </w:rPr>
      </w:pPr>
    </w:p>
    <w:p>
      <w:pPr>
        <w:tabs>
          <w:tab w:val="left" w:pos="3960"/>
        </w:tabs>
        <w:spacing w:line="560" w:lineRule="exact"/>
        <w:ind w:left="3140"/>
        <w:rPr>
          <w:rFonts w:ascii="黑体" w:hAnsi="黑体" w:eastAsia="黑体" w:cs="黑体"/>
          <w:sz w:val="32"/>
          <w:szCs w:val="32"/>
        </w:rPr>
      </w:pPr>
    </w:p>
    <w:p>
      <w:pPr>
        <w:tabs>
          <w:tab w:val="left" w:pos="3960"/>
        </w:tabs>
        <w:spacing w:line="560" w:lineRule="exact"/>
        <w:ind w:left="3140"/>
        <w:rPr>
          <w:rFonts w:ascii="黑体" w:hAnsi="黑体" w:eastAsia="黑体" w:cs="黑体"/>
          <w:sz w:val="32"/>
          <w:szCs w:val="32"/>
        </w:rPr>
      </w:pPr>
    </w:p>
    <w:p>
      <w:pPr>
        <w:tabs>
          <w:tab w:val="left" w:pos="3960"/>
        </w:tabs>
        <w:spacing w:line="1400" w:lineRule="exact"/>
        <w:jc w:val="center"/>
        <w:rPr>
          <w:rFonts w:ascii="方正小标宋简体" w:hAnsi="方正小标宋简体" w:eastAsia="方正小标宋简体" w:cs="方正小标宋简体"/>
          <w:sz w:val="112"/>
          <w:szCs w:val="112"/>
        </w:rPr>
      </w:pPr>
      <w:r>
        <w:rPr>
          <w:rFonts w:hint="eastAsia" w:ascii="方正小标宋简体" w:hAnsi="方正小标宋简体" w:eastAsia="方正小标宋简体" w:cs="方正小标宋简体"/>
          <w:sz w:val="112"/>
          <w:szCs w:val="112"/>
        </w:rPr>
        <w:t>2016年度部门决算公开</w:t>
      </w:r>
    </w:p>
    <w:p>
      <w:pPr>
        <w:tabs>
          <w:tab w:val="left" w:pos="3960"/>
        </w:tabs>
        <w:spacing w:line="1400" w:lineRule="exact"/>
        <w:jc w:val="center"/>
        <w:rPr>
          <w:rFonts w:ascii="方正小标宋简体" w:hAnsi="方正小标宋简体" w:eastAsia="方正小标宋简体" w:cs="方正小标宋简体"/>
          <w:sz w:val="112"/>
          <w:szCs w:val="112"/>
        </w:rPr>
      </w:pPr>
    </w:p>
    <w:p>
      <w:pPr>
        <w:tabs>
          <w:tab w:val="left" w:pos="3960"/>
        </w:tabs>
        <w:spacing w:line="560" w:lineRule="exact"/>
        <w:jc w:val="both"/>
        <w:rPr>
          <w:rFonts w:ascii="方正小标宋简体" w:hAnsi="方正小标宋简体" w:eastAsia="方正小标宋简体" w:cs="方正小标宋简体"/>
          <w:sz w:val="52"/>
          <w:szCs w:val="52"/>
        </w:rPr>
      </w:pPr>
    </w:p>
    <w:p>
      <w:pPr>
        <w:tabs>
          <w:tab w:val="left" w:pos="3960"/>
        </w:tabs>
        <w:spacing w:line="560" w:lineRule="exact"/>
        <w:ind w:left="3140"/>
        <w:rPr>
          <w:rFonts w:ascii="方正小标宋简体" w:hAnsi="方正小标宋简体" w:eastAsia="方正小标宋简体" w:cs="方正小标宋简体"/>
          <w:sz w:val="52"/>
          <w:szCs w:val="52"/>
        </w:rPr>
      </w:pPr>
    </w:p>
    <w:p>
      <w:pPr>
        <w:tabs>
          <w:tab w:val="left" w:pos="3960"/>
        </w:tabs>
        <w:spacing w:line="560" w:lineRule="exact"/>
        <w:ind w:left="3140"/>
        <w:rPr>
          <w:rFonts w:ascii="黑体" w:hAnsi="黑体" w:eastAsia="黑体" w:cs="黑体"/>
          <w:sz w:val="32"/>
          <w:szCs w:val="32"/>
        </w:rPr>
      </w:pPr>
    </w:p>
    <w:p>
      <w:pPr>
        <w:tabs>
          <w:tab w:val="left" w:pos="3960"/>
        </w:tabs>
        <w:spacing w:line="560" w:lineRule="exact"/>
        <w:ind w:left="3140"/>
        <w:rPr>
          <w:rFonts w:ascii="黑体" w:hAnsi="黑体" w:eastAsia="黑体" w:cs="黑体"/>
          <w:sz w:val="32"/>
          <w:szCs w:val="32"/>
        </w:rPr>
      </w:pPr>
    </w:p>
    <w:p>
      <w:pPr>
        <w:tabs>
          <w:tab w:val="left" w:pos="3960"/>
        </w:tabs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tabs>
          <w:tab w:val="left" w:pos="3960"/>
        </w:tabs>
        <w:spacing w:line="560" w:lineRule="exact"/>
        <w:ind w:left="3140"/>
        <w:rPr>
          <w:rFonts w:ascii="黑体" w:hAnsi="黑体" w:eastAsia="黑体" w:cs="黑体"/>
          <w:sz w:val="32"/>
          <w:szCs w:val="32"/>
        </w:rPr>
      </w:pPr>
    </w:p>
    <w:p>
      <w:pPr>
        <w:tabs>
          <w:tab w:val="left" w:pos="3960"/>
        </w:tabs>
        <w:spacing w:line="560" w:lineRule="exact"/>
        <w:ind w:left="3140"/>
        <w:rPr>
          <w:rFonts w:ascii="黑体" w:hAnsi="黑体" w:eastAsia="黑体" w:cs="黑体"/>
          <w:sz w:val="32"/>
          <w:szCs w:val="32"/>
        </w:rPr>
      </w:pPr>
    </w:p>
    <w:p>
      <w:pPr>
        <w:tabs>
          <w:tab w:val="left" w:pos="3960"/>
        </w:tabs>
        <w:spacing w:line="560" w:lineRule="exact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唐山高新技术产业开发区老庄子镇人民政府</w:t>
      </w:r>
    </w:p>
    <w:p>
      <w:pPr>
        <w:tabs>
          <w:tab w:val="left" w:pos="3960"/>
        </w:tabs>
        <w:spacing w:line="56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2017年7月</w:t>
      </w:r>
    </w:p>
    <w:p>
      <w:pPr>
        <w:tabs>
          <w:tab w:val="left" w:pos="3960"/>
        </w:tabs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tabs>
          <w:tab w:val="left" w:pos="3960"/>
        </w:tabs>
        <w:spacing w:line="540" w:lineRule="exact"/>
        <w:ind w:left="31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目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>录</w:t>
      </w:r>
    </w:p>
    <w:p>
      <w:pPr>
        <w:tabs>
          <w:tab w:val="left" w:pos="1580"/>
        </w:tabs>
        <w:spacing w:line="540" w:lineRule="exact"/>
        <w:rPr>
          <w:rFonts w:hint="eastAsia" w:asciiTheme="minorEastAsia" w:hAnsiTheme="minorEastAsia" w:eastAsiaTheme="minorEastAsia" w:cstheme="minorEastAsia"/>
          <w:sz w:val="32"/>
          <w:szCs w:val="32"/>
        </w:rPr>
      </w:pPr>
      <w:bookmarkStart w:id="3" w:name="_GoBack"/>
    </w:p>
    <w:p>
      <w:pPr>
        <w:tabs>
          <w:tab w:val="left" w:pos="1580"/>
        </w:tabs>
        <w:spacing w:line="540" w:lineRule="exact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第一部分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ab/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高新区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老庄子镇政府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概况</w:t>
      </w:r>
    </w:p>
    <w:p>
      <w:pPr>
        <w:spacing w:line="54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一、主要职能</w:t>
      </w:r>
    </w:p>
    <w:p>
      <w:pPr>
        <w:spacing w:line="54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二、机构设置</w:t>
      </w:r>
    </w:p>
    <w:p>
      <w:pPr>
        <w:tabs>
          <w:tab w:val="left" w:pos="1580"/>
        </w:tabs>
        <w:spacing w:line="540" w:lineRule="exact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第二部分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ab/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2016年度高新区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老庄子镇人民政府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部门决算表</w:t>
      </w:r>
    </w:p>
    <w:p>
      <w:pPr>
        <w:spacing w:line="54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一、收入支出决算总表</w:t>
      </w:r>
    </w:p>
    <w:p>
      <w:pPr>
        <w:spacing w:line="54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二、收入决算表</w:t>
      </w:r>
    </w:p>
    <w:p>
      <w:pPr>
        <w:tabs>
          <w:tab w:val="left" w:pos="6419"/>
        </w:tabs>
        <w:spacing w:line="54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三、支出决算表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ab/>
      </w:r>
    </w:p>
    <w:p>
      <w:pPr>
        <w:spacing w:line="54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四、财政拨款收入支出决算总表</w:t>
      </w:r>
    </w:p>
    <w:p>
      <w:pPr>
        <w:spacing w:line="54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五、一般公共预算财政拨款支出决算表</w:t>
      </w:r>
    </w:p>
    <w:p>
      <w:pPr>
        <w:spacing w:line="54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六、一般公共预算财政拨款基本支出决算表</w:t>
      </w:r>
    </w:p>
    <w:p>
      <w:pPr>
        <w:spacing w:line="54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七、政府性基金预算财政拨款收入支出决算表</w:t>
      </w:r>
    </w:p>
    <w:p>
      <w:pPr>
        <w:spacing w:line="540" w:lineRule="exact"/>
        <w:ind w:left="640" w:leftChars="320" w:right="168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八、国有资本经营预算财政拨款支出决算表</w:t>
      </w:r>
    </w:p>
    <w:p>
      <w:pPr>
        <w:spacing w:line="540" w:lineRule="exact"/>
        <w:ind w:left="640" w:leftChars="320" w:right="168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九、“三公”经费及相关信息统计表</w:t>
      </w:r>
    </w:p>
    <w:p>
      <w:pPr>
        <w:spacing w:line="540" w:lineRule="exact"/>
        <w:ind w:right="1680"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十、政府采购情况表</w:t>
      </w:r>
    </w:p>
    <w:p>
      <w:pPr>
        <w:tabs>
          <w:tab w:val="left" w:pos="1580"/>
        </w:tabs>
        <w:spacing w:line="540" w:lineRule="exact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第三部分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ab/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2016年度高新区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老庄子镇人民政府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决算情况说明</w:t>
      </w:r>
    </w:p>
    <w:p>
      <w:pPr>
        <w:spacing w:line="540" w:lineRule="exact"/>
        <w:ind w:right="640"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一、2016年度收入支出总表情况说明</w:t>
      </w:r>
    </w:p>
    <w:p>
      <w:pPr>
        <w:spacing w:line="54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、2016年度预算执行情况分析</w:t>
      </w:r>
    </w:p>
    <w:p>
      <w:pPr>
        <w:spacing w:line="540" w:lineRule="exact"/>
        <w:ind w:left="640" w:right="14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三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、机关运行经费情况</w:t>
      </w:r>
    </w:p>
    <w:p>
      <w:pPr>
        <w:autoSpaceDE w:val="0"/>
        <w:autoSpaceDN w:val="0"/>
        <w:adjustRightInd w:val="0"/>
        <w:ind w:firstLine="602" w:firstLineChars="200"/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四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、</w:t>
      </w:r>
      <w:r>
        <w:rPr>
          <w:rFonts w:hint="eastAsia" w:asciiTheme="minorEastAsia" w:hAnsiTheme="minorEastAsia" w:eastAsiaTheme="minorEastAsia" w:cstheme="minorEastAsia"/>
          <w:b/>
          <w:kern w:val="0"/>
          <w:sz w:val="32"/>
          <w:szCs w:val="32"/>
        </w:rPr>
        <w:t>财政拨款“三公”经费决算情况</w:t>
      </w:r>
    </w:p>
    <w:p>
      <w:pPr>
        <w:spacing w:line="540" w:lineRule="exact"/>
        <w:ind w:left="1280" w:leftChars="320" w:right="140" w:hanging="640" w:hangingChars="200"/>
        <w:rPr>
          <w:rFonts w:hint="eastAsia" w:asciiTheme="minorEastAsia" w:hAnsiTheme="minorEastAsia" w:eastAsiaTheme="minorEastAsia" w:cstheme="minorEastAsia"/>
          <w:b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五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、</w:t>
      </w:r>
      <w:r>
        <w:rPr>
          <w:rFonts w:hint="eastAsia" w:asciiTheme="minorEastAsia" w:hAnsiTheme="minorEastAsia" w:eastAsiaTheme="minorEastAsia" w:cstheme="minorEastAsia"/>
          <w:b/>
          <w:kern w:val="0"/>
          <w:sz w:val="32"/>
          <w:szCs w:val="32"/>
        </w:rPr>
        <w:t>政府采购预算执行情况</w:t>
      </w:r>
    </w:p>
    <w:p>
      <w:pPr>
        <w:autoSpaceDE w:val="0"/>
        <w:autoSpaceDN w:val="0"/>
        <w:adjustRightInd w:val="0"/>
        <w:ind w:firstLine="602" w:firstLineChars="200"/>
        <w:jc w:val="left"/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六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、</w:t>
      </w:r>
      <w:r>
        <w:rPr>
          <w:rFonts w:hint="eastAsia" w:asciiTheme="minorEastAsia" w:hAnsiTheme="minorEastAsia" w:eastAsiaTheme="minorEastAsia" w:cstheme="minorEastAsia"/>
          <w:b/>
          <w:kern w:val="0"/>
          <w:sz w:val="32"/>
          <w:szCs w:val="32"/>
        </w:rPr>
        <w:t>国有资产信息</w:t>
      </w:r>
    </w:p>
    <w:p>
      <w:pPr>
        <w:spacing w:line="540" w:lineRule="exact"/>
        <w:ind w:left="1280" w:leftChars="320" w:right="140" w:hanging="640" w:hanging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tabs>
          <w:tab w:val="left" w:pos="2220"/>
        </w:tabs>
        <w:spacing w:line="540" w:lineRule="exact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第四部分  名词解释</w:t>
      </w:r>
    </w:p>
    <w:p>
      <w:pPr>
        <w:tabs>
          <w:tab w:val="left" w:pos="2220"/>
        </w:tabs>
        <w:spacing w:line="540" w:lineRule="exact"/>
        <w:ind w:left="640"/>
        <w:rPr>
          <w:rFonts w:hint="eastAsia" w:asciiTheme="minorEastAsia" w:hAnsiTheme="minorEastAsia" w:eastAsiaTheme="minorEastAsia" w:cstheme="minorEastAsia"/>
          <w:sz w:val="32"/>
          <w:szCs w:val="32"/>
        </w:rPr>
        <w:sectPr>
          <w:pgSz w:w="11900" w:h="16838"/>
          <w:pgMar w:top="1440" w:right="1520" w:bottom="722" w:left="1540" w:header="0" w:footer="0" w:gutter="0"/>
          <w:cols w:equalWidth="0" w:num="1">
            <w:col w:w="8840"/>
          </w:cols>
          <w:docGrid w:linePitch="360" w:charSpace="0"/>
        </w:sect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高新区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eastAsia="zh-CN"/>
        </w:rPr>
        <w:t>老庄子镇人民政府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2016年部门决算公开说明</w:t>
      </w:r>
    </w:p>
    <w:p>
      <w:pPr>
        <w:autoSpaceDE w:val="0"/>
        <w:autoSpaceDN w:val="0"/>
        <w:adjustRightInd w:val="0"/>
        <w:spacing w:line="560" w:lineRule="exact"/>
        <w:rPr>
          <w:rFonts w:hint="eastAsia" w:asciiTheme="minorEastAsia" w:hAnsiTheme="minorEastAsia" w:eastAsiaTheme="minorEastAsia" w:cstheme="minorEastAsia"/>
          <w:b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Theme="minorEastAsia" w:hAnsiTheme="minorEastAsia" w:eastAsiaTheme="minorEastAsia" w:cstheme="minorEastAsia"/>
          <w:b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第一部分  部门职责、机构设置等基本情况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我镇下设以下部门：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综合办公室：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组织办公室：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2"/>
          <w:szCs w:val="32"/>
        </w:rPr>
        <w:t>负责全镇的人事工作及工资保险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财政所：预算、决算，各项资金的发放等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经管站：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2"/>
          <w:szCs w:val="32"/>
        </w:rPr>
        <w:t>农村资金账目双代管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支重办：</w:t>
      </w:r>
      <w:r>
        <w:rPr>
          <w:rFonts w:hint="eastAsia" w:asciiTheme="minorEastAsia" w:hAnsiTheme="minorEastAsia" w:eastAsiaTheme="minorEastAsia" w:cstheme="minorEastAsia"/>
          <w:bCs/>
          <w:color w:val="000000"/>
          <w:kern w:val="0"/>
          <w:sz w:val="32"/>
          <w:szCs w:val="32"/>
        </w:rPr>
        <w:t>负责重点工程的拆迁补偿及绿化工作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社保站：</w:t>
      </w:r>
      <w:r>
        <w:rPr>
          <w:rFonts w:hint="eastAsia" w:asciiTheme="minorEastAsia" w:hAnsiTheme="minorEastAsia" w:eastAsiaTheme="minorEastAsia" w:cstheme="minorEastAsia"/>
          <w:bCs/>
          <w:color w:val="000000"/>
          <w:kern w:val="0"/>
          <w:sz w:val="32"/>
          <w:szCs w:val="32"/>
        </w:rPr>
        <w:t>负责城乡居民养老保险的收缴和发放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安监站：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全镇的安全生产督导检查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信访办：</w:t>
      </w:r>
      <w:r>
        <w:rPr>
          <w:rFonts w:hint="eastAsia" w:asciiTheme="minorEastAsia" w:hAnsiTheme="minorEastAsia" w:eastAsiaTheme="minorEastAsia" w:cstheme="minorEastAsia"/>
          <w:bCs/>
          <w:color w:val="000000"/>
          <w:kern w:val="0"/>
          <w:sz w:val="32"/>
          <w:szCs w:val="32"/>
        </w:rPr>
        <w:t>接待和受理人民群众的来信来访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提升办：农村环境卫生治理以及新农村建设等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农业办公室：</w:t>
      </w:r>
      <w:r>
        <w:rPr>
          <w:rFonts w:hint="eastAsia" w:asciiTheme="minorEastAsia" w:hAnsiTheme="minorEastAsia" w:eastAsiaTheme="minorEastAsia" w:cstheme="minorEastAsia"/>
          <w:bCs/>
          <w:color w:val="000000"/>
          <w:kern w:val="0"/>
          <w:sz w:val="32"/>
          <w:szCs w:val="32"/>
        </w:rPr>
        <w:t>贯彻执行国家有关农村、农业方面的政策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2"/>
          <w:szCs w:val="32"/>
        </w:rPr>
        <w:t>经管站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2"/>
          <w:szCs w:val="32"/>
        </w:rPr>
        <w:t>民政：发放低保资金及救灾物资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第三部分 收支总体情况</w:t>
      </w:r>
    </w:p>
    <w:p>
      <w:pPr>
        <w:autoSpaceDE w:val="0"/>
        <w:autoSpaceDN w:val="0"/>
        <w:adjustRightInd w:val="0"/>
        <w:ind w:firstLine="602" w:firstLineChars="200"/>
        <w:jc w:val="left"/>
        <w:rPr>
          <w:rFonts w:hint="eastAsia" w:asciiTheme="minorEastAsia" w:hAnsiTheme="minorEastAsia" w:eastAsiaTheme="minorEastAsia" w:cstheme="minorEastAsia"/>
          <w:b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kern w:val="0"/>
          <w:sz w:val="32"/>
          <w:szCs w:val="32"/>
          <w:lang w:eastAsia="zh-CN"/>
        </w:rPr>
        <w:t>（一）、</w:t>
      </w:r>
      <w:r>
        <w:rPr>
          <w:rFonts w:hint="eastAsia" w:asciiTheme="minorEastAsia" w:hAnsiTheme="minorEastAsia" w:eastAsiaTheme="minorEastAsia" w:cstheme="minorEastAsia"/>
          <w:b/>
          <w:kern w:val="0"/>
          <w:sz w:val="32"/>
          <w:szCs w:val="32"/>
        </w:rPr>
        <w:t>收支总体情况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2016年我镇财政拨款收入2060.5万元，年初结转和结余130万元，收入合计2190.5万元。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2016年我镇支出2097.5万元，年末结转和结余93万元，支出合计2190.5万元。</w:t>
      </w:r>
    </w:p>
    <w:p>
      <w:pPr>
        <w:autoSpaceDE w:val="0"/>
        <w:autoSpaceDN w:val="0"/>
        <w:adjustRightInd w:val="0"/>
        <w:ind w:firstLine="602" w:firstLineChars="200"/>
        <w:jc w:val="left"/>
        <w:rPr>
          <w:rFonts w:hint="eastAsia" w:asciiTheme="minorEastAsia" w:hAnsiTheme="minorEastAsia" w:eastAsiaTheme="minorEastAsia" w:cstheme="minorEastAsia"/>
          <w:b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kern w:val="0"/>
          <w:sz w:val="32"/>
          <w:szCs w:val="32"/>
          <w:lang w:eastAsia="zh-CN"/>
        </w:rPr>
        <w:t>（二）、</w:t>
      </w:r>
      <w:r>
        <w:rPr>
          <w:rFonts w:hint="eastAsia" w:asciiTheme="minorEastAsia" w:hAnsiTheme="minorEastAsia" w:eastAsiaTheme="minorEastAsia" w:cstheme="minorEastAsia"/>
          <w:b/>
          <w:kern w:val="0"/>
          <w:sz w:val="32"/>
          <w:szCs w:val="32"/>
        </w:rPr>
        <w:t>预算执行情况分析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hint="eastAsia" w:asciiTheme="minorEastAsia" w:hAnsiTheme="minorEastAsia" w:eastAsiaTheme="minorEastAsia" w:cstheme="minorEastAsia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  <w:shd w:val="clear" w:color="auto" w:fill="FFFFFF"/>
        </w:rPr>
        <w:t>我镇2016年度一般公共预算财政拨款上年结转和结余130万元，本年收入2035.2万元，本年支出2097.5万元，年末结转和结余93万元。我镇2016年度部门综合收支与上年决算数对比增加了156万元，增减原因一是上年结余所致。二是我镇工作人员的数量有所增加。</w:t>
      </w:r>
    </w:p>
    <w:p>
      <w:pPr>
        <w:autoSpaceDE w:val="0"/>
        <w:autoSpaceDN w:val="0"/>
        <w:adjustRightInd w:val="0"/>
        <w:ind w:firstLine="602" w:firstLineChars="200"/>
        <w:jc w:val="left"/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kern w:val="0"/>
          <w:sz w:val="32"/>
          <w:szCs w:val="32"/>
          <w:lang w:eastAsia="zh-CN"/>
        </w:rPr>
        <w:t>（三）、</w:t>
      </w:r>
      <w:r>
        <w:rPr>
          <w:rFonts w:hint="eastAsia" w:asciiTheme="minorEastAsia" w:hAnsiTheme="minorEastAsia" w:eastAsiaTheme="minorEastAsia" w:cstheme="minorEastAsia"/>
          <w:b/>
          <w:kern w:val="0"/>
          <w:sz w:val="32"/>
          <w:szCs w:val="32"/>
        </w:rPr>
        <w:t>机关运行经费情况，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公用经费支出情况：办公费：6.7万元；培训费：3.4万元；差旅费：11.8万元；会议费：1.3万元；福利费：2.3万元；工会费：10.9万元；办公用房水电费：14.7万元；办公用房取暖费：56.2万元；公务用车运行维护费：12.3万元；其他费用：9.7万元。</w:t>
      </w:r>
    </w:p>
    <w:p>
      <w:pPr>
        <w:autoSpaceDE w:val="0"/>
        <w:autoSpaceDN w:val="0"/>
        <w:adjustRightInd w:val="0"/>
        <w:ind w:firstLine="602" w:firstLineChars="200"/>
        <w:jc w:val="left"/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kern w:val="0"/>
          <w:sz w:val="32"/>
          <w:szCs w:val="32"/>
          <w:lang w:eastAsia="zh-CN"/>
        </w:rPr>
        <w:t>（四）、</w:t>
      </w:r>
      <w:r>
        <w:rPr>
          <w:rFonts w:hint="eastAsia" w:asciiTheme="minorEastAsia" w:hAnsiTheme="minorEastAsia" w:eastAsiaTheme="minorEastAsia" w:cstheme="minorEastAsia"/>
          <w:b/>
          <w:kern w:val="0"/>
          <w:sz w:val="32"/>
          <w:szCs w:val="32"/>
        </w:rPr>
        <w:t>财政拨款“三公”经费决算情况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shd w:val="clear" w:color="auto" w:fill="FFFFFF"/>
        </w:rPr>
        <w:t>2016年我镇“三公”经费支出12.3万元，仅有公务用车运行维护费支出12.3万元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，</w:t>
      </w:r>
      <w:r>
        <w:rPr>
          <w:rFonts w:hint="eastAsia" w:asciiTheme="minorEastAsia" w:hAnsiTheme="minorEastAsia" w:eastAsiaTheme="minorEastAsia" w:cstheme="minorEastAsia"/>
          <w:sz w:val="32"/>
          <w:szCs w:val="32"/>
          <w:shd w:val="clear" w:color="auto" w:fill="FFFFFF"/>
        </w:rPr>
        <w:t>较2015年13.5万元压减1.3万元。下降主要原因是各部门认真贯彻落实厉行节约的各项规定，坚持有保有压，强化日常行政财务监管，严格控制和降低行政运行成本。目前我镇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公务用车数量为4辆。因公处境费支出：0元；公务接待费支出：0元。</w:t>
      </w:r>
    </w:p>
    <w:p>
      <w:pPr>
        <w:autoSpaceDE w:val="0"/>
        <w:autoSpaceDN w:val="0"/>
        <w:adjustRightInd w:val="0"/>
        <w:ind w:firstLine="602" w:firstLineChars="200"/>
        <w:jc w:val="left"/>
        <w:rPr>
          <w:rFonts w:hint="eastAsia" w:asciiTheme="minorEastAsia" w:hAnsiTheme="minorEastAsia" w:eastAsiaTheme="minorEastAsia" w:cstheme="minorEastAsia"/>
          <w:b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kern w:val="0"/>
          <w:sz w:val="32"/>
          <w:szCs w:val="32"/>
          <w:lang w:eastAsia="zh-CN"/>
        </w:rPr>
        <w:t>（五）、</w:t>
      </w:r>
      <w:r>
        <w:rPr>
          <w:rFonts w:hint="eastAsia" w:asciiTheme="minorEastAsia" w:hAnsiTheme="minorEastAsia" w:eastAsiaTheme="minorEastAsia" w:cstheme="minorEastAsia"/>
          <w:b/>
          <w:kern w:val="0"/>
          <w:sz w:val="32"/>
          <w:szCs w:val="32"/>
        </w:rPr>
        <w:t>政府采购预算执行情况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2016年我镇政府采购预算计划金额为36.3万元，实际采购金额为32.5万元。该款项用于我镇后冯各庄村文化活动广场建设。</w:t>
      </w:r>
    </w:p>
    <w:p>
      <w:pPr>
        <w:autoSpaceDE w:val="0"/>
        <w:autoSpaceDN w:val="0"/>
        <w:adjustRightInd w:val="0"/>
        <w:ind w:firstLine="602" w:firstLineChars="200"/>
        <w:jc w:val="left"/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kern w:val="0"/>
          <w:sz w:val="32"/>
          <w:szCs w:val="32"/>
          <w:lang w:eastAsia="zh-CN"/>
        </w:rPr>
        <w:t>（六）、</w:t>
      </w:r>
      <w:r>
        <w:rPr>
          <w:rFonts w:hint="eastAsia" w:asciiTheme="minorEastAsia" w:hAnsiTheme="minorEastAsia" w:eastAsiaTheme="minorEastAsia" w:cstheme="minorEastAsia"/>
          <w:b/>
          <w:kern w:val="0"/>
          <w:sz w:val="32"/>
          <w:szCs w:val="32"/>
        </w:rPr>
        <w:t>国有资产信息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2016年末我镇国有资产总额395.7万元，其中流动资产93万元，固定资产302.7万元，包括办公用房250万元，车辆8.3万元，其他固定资产44.5万元。</w:t>
      </w:r>
    </w:p>
    <w:p>
      <w:pPr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第四部分、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名词解释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 xml:space="preserve">    基本支出：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为保障机构正常运转，完成日常工作任务，而发生的人员支出和公用支出。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 xml:space="preserve"> 项目支出：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为完成特定行政任务和事业发展目标而发生的费用。    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机关运行经费：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为保障行政单位运行用于购买货物和服务的各项资金，包括办公及印刷费、邮电费、差旅费、会议费、福利费、日常维修费、专用材料及一般设备购置费、办公用房水电费、办公用房取暖费、办公用房物业管理费、公务用车运行维护费及其他费用。</w:t>
      </w:r>
    </w:p>
    <w:bookmarkEnd w:id="3"/>
    <w:p>
      <w:pPr>
        <w:ind w:firstLine="640"/>
        <w:rPr>
          <w:rFonts w:hint="eastAsia" w:ascii="宋体" w:hAnsi="宋体" w:eastAsia="宋体" w:cs="宋体"/>
          <w:sz w:val="32"/>
          <w:szCs w:val="32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b/>
          <w:bCs/>
          <w:kern w:val="0"/>
          <w:sz w:val="30"/>
          <w:szCs w:val="30"/>
          <w:lang w:eastAsia="zh-CN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0" w:h="16838"/>
          <w:pgMar w:top="2098" w:right="1474" w:bottom="1984" w:left="1587" w:header="850" w:footer="992" w:gutter="0"/>
          <w:pgNumType w:start="1"/>
          <w:cols w:space="0" w:num="1"/>
          <w:rtlGutter w:val="0"/>
          <w:docGrid w:linePitch="360" w:charSpace="0"/>
        </w:sectPr>
      </w:pPr>
      <w:bookmarkStart w:id="1" w:name="page4"/>
      <w:bookmarkEnd w:id="1"/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bookmarkStart w:id="2" w:name="page5"/>
      <w:bookmarkEnd w:id="2"/>
    </w:p>
    <w:sectPr>
      <w:type w:val="continuous"/>
      <w:pgSz w:w="11900" w:h="16838"/>
      <w:pgMar w:top="1440" w:right="1520" w:bottom="722" w:left="10280" w:header="0" w:footer="0" w:gutter="0"/>
      <w:cols w:equalWidth="0" w:num="1">
        <w:col w:w="100"/>
      </w:cols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cript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0030101010101"/>
    <w:charset w:val="86"/>
    <w:family w:val="script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swiss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E-BX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/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4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  <w:p>
    <w:pPr/>
  </w:p>
  <w:p>
    <w:pPr/>
  </w:p>
  <w:p>
    <w:pPr/>
  </w:p>
  <w:p>
    <w:pPr/>
  </w:p>
  <w:p>
    <w:pPr/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drawingGridHorizontalSpacing w:val="100"/>
  <w:displayHorizontalDrawingGridEvery w:val="2"/>
  <w:characterSpacingControl w:val="doNotCompress"/>
  <w:hdrShapeDefaults>
    <o:shapelayout v:ext="edit">
      <o:idmap v:ext="edit" data="3,4"/>
    </o:shapelayout>
  </w:hdrShapeDefaults>
  <w:compat>
    <w:useFELayout/>
    <w:compatSetting w:name="compatibilityMode" w:uri="http://schemas.microsoft.com/office/word" w:val="12"/>
  </w:compat>
  <w:rsids>
    <w:rsidRoot w:val="00150A62"/>
    <w:rsid w:val="00150A62"/>
    <w:rsid w:val="003E0E6E"/>
    <w:rsid w:val="00467AD3"/>
    <w:rsid w:val="00490683"/>
    <w:rsid w:val="0072454B"/>
    <w:rsid w:val="007B0104"/>
    <w:rsid w:val="00A37986"/>
    <w:rsid w:val="00A51F29"/>
    <w:rsid w:val="00A679A4"/>
    <w:rsid w:val="00B50A48"/>
    <w:rsid w:val="00E35C01"/>
    <w:rsid w:val="00F60BD5"/>
    <w:rsid w:val="00FE55B6"/>
    <w:rsid w:val="05CF114A"/>
    <w:rsid w:val="393E7B81"/>
    <w:rsid w:val="50EB2AA1"/>
    <w:rsid w:val="57944F56"/>
    <w:rsid w:val="579B6F40"/>
    <w:rsid w:val="5C522548"/>
    <w:rsid w:val="614C7302"/>
    <w:rsid w:val="66733F96"/>
    <w:rsid w:val="6A7F4EA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Theme="minorEastAsia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cs="Arial" w:eastAsiaTheme="minorEastAsia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6"/>
      <w:szCs w:val="16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customStyle="1" w:styleId="7">
    <w:name w:val="修订1"/>
    <w:hidden/>
    <w:semiHidden/>
    <w:uiPriority w:val="99"/>
    <w:rPr>
      <w:rFonts w:ascii="Calibri" w:hAnsi="Calibri" w:cs="Arial" w:eastAsiaTheme="minorEastAsia"/>
      <w:lang w:val="en-US" w:eastAsia="zh-CN" w:bidi="ar-SA"/>
    </w:rPr>
  </w:style>
  <w:style w:type="character" w:customStyle="1" w:styleId="8">
    <w:name w:val="批注框文本 Char"/>
    <w:basedOn w:val="5"/>
    <w:link w:val="2"/>
    <w:semiHidden/>
    <w:uiPriority w:val="99"/>
    <w:rPr>
      <w:sz w:val="16"/>
      <w:szCs w:val="16"/>
    </w:rPr>
  </w:style>
  <w:style w:type="paragraph" w:customStyle="1" w:styleId="9">
    <w:name w:val="p0"/>
    <w:basedOn w:val="1"/>
    <w:qFormat/>
    <w:uiPriority w:val="0"/>
    <w:pPr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10">
    <w:name w:val="p25"/>
    <w:basedOn w:val="1"/>
    <w:qFormat/>
    <w:uiPriority w:val="0"/>
    <w:pPr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67DCCB-5B60-403E-B39A-7C68CD30F4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2813</Words>
  <Characters>622</Characters>
  <Lines>5</Lines>
  <Paragraphs>6</Paragraphs>
  <ScaleCrop>false</ScaleCrop>
  <LinksUpToDate>false</LinksUpToDate>
  <CharactersWithSpaces>3429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2017-11-10T06:09:00Z</dcterms:created>
  <dc:creator>dreamsummit</dc:creator>
  <cp:lastModifiedBy>Administrator</cp:lastModifiedBy>
  <cp:lastPrinted>2017-11-10T06:25:00Z</cp:lastPrinted>
  <dcterms:modified xsi:type="dcterms:W3CDTF">2017-11-10T13:51:01Z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