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eastAsia="方正小标宋简体"/>
          <w:sz w:val="40"/>
          <w:szCs w:val="40"/>
        </w:rPr>
      </w:pPr>
      <w:r>
        <w:rPr>
          <w:rFonts w:hint="eastAsia" w:ascii="方正小标宋简体" w:eastAsia="方正小标宋简体"/>
          <w:sz w:val="40"/>
          <w:szCs w:val="40"/>
        </w:rPr>
        <w:t>目录</w:t>
      </w:r>
    </w:p>
    <w:p>
      <w:pPr>
        <w:spacing w:line="560" w:lineRule="exact"/>
        <w:jc w:val="left"/>
        <w:rPr>
          <w:rFonts w:ascii="方正小标宋简体" w:eastAsia="方正小标宋简体"/>
          <w:sz w:val="40"/>
          <w:szCs w:val="40"/>
        </w:rPr>
      </w:pPr>
    </w:p>
    <w:p>
      <w:pPr>
        <w:spacing w:line="560" w:lineRule="exact"/>
        <w:ind w:firstLine="720" w:firstLineChars="200"/>
        <w:jc w:val="left"/>
        <w:rPr>
          <w:rFonts w:eastAsia="仿宋_GB2312"/>
          <w:sz w:val="36"/>
          <w:szCs w:val="36"/>
        </w:rPr>
      </w:pPr>
      <w:r>
        <w:rPr>
          <w:rFonts w:eastAsia="仿宋_GB2312"/>
          <w:sz w:val="36"/>
          <w:szCs w:val="36"/>
        </w:rPr>
        <w:t>1、</w:t>
      </w:r>
      <w:r>
        <w:rPr>
          <w:rFonts w:eastAsia="仿宋_GB2312"/>
          <w:b/>
          <w:sz w:val="36"/>
          <w:szCs w:val="36"/>
        </w:rPr>
        <w:t>部门职责、机构设置等基本情况</w:t>
      </w:r>
    </w:p>
    <w:p>
      <w:pPr>
        <w:spacing w:line="560" w:lineRule="exact"/>
        <w:ind w:firstLine="720" w:firstLineChars="200"/>
        <w:jc w:val="left"/>
        <w:rPr>
          <w:rFonts w:eastAsia="仿宋_GB2312"/>
          <w:sz w:val="36"/>
          <w:szCs w:val="36"/>
        </w:rPr>
      </w:pPr>
      <w:r>
        <w:rPr>
          <w:rFonts w:eastAsia="仿宋_GB2312"/>
          <w:sz w:val="36"/>
          <w:szCs w:val="36"/>
        </w:rPr>
        <w:t>2、</w:t>
      </w:r>
      <w:r>
        <w:rPr>
          <w:rFonts w:hint="eastAsia" w:eastAsia="仿宋_GB2312"/>
          <w:b/>
          <w:sz w:val="36"/>
          <w:szCs w:val="36"/>
        </w:rPr>
        <w:t>部门预算总体情况及预算收支增减变化情况说明</w:t>
      </w:r>
    </w:p>
    <w:p>
      <w:pPr>
        <w:spacing w:line="560" w:lineRule="exact"/>
        <w:ind w:firstLine="720" w:firstLineChars="200"/>
        <w:jc w:val="left"/>
        <w:rPr>
          <w:rFonts w:eastAsia="仿宋_GB2312"/>
          <w:sz w:val="36"/>
          <w:szCs w:val="36"/>
        </w:rPr>
      </w:pPr>
      <w:r>
        <w:rPr>
          <w:rFonts w:eastAsia="仿宋_GB2312"/>
          <w:sz w:val="36"/>
          <w:szCs w:val="36"/>
        </w:rPr>
        <w:t>3、</w:t>
      </w:r>
      <w:r>
        <w:rPr>
          <w:rFonts w:eastAsia="仿宋_GB2312"/>
          <w:b/>
          <w:sz w:val="36"/>
          <w:szCs w:val="36"/>
        </w:rPr>
        <w:t>机关运行经费情况说明</w:t>
      </w:r>
    </w:p>
    <w:p>
      <w:pPr>
        <w:spacing w:line="560" w:lineRule="exact"/>
        <w:ind w:firstLine="720" w:firstLineChars="200"/>
        <w:jc w:val="left"/>
        <w:rPr>
          <w:rFonts w:eastAsia="仿宋_GB2312"/>
          <w:sz w:val="36"/>
          <w:szCs w:val="36"/>
        </w:rPr>
      </w:pPr>
      <w:r>
        <w:rPr>
          <w:rFonts w:eastAsia="仿宋_GB2312"/>
          <w:sz w:val="36"/>
          <w:szCs w:val="36"/>
        </w:rPr>
        <w:t>4、</w:t>
      </w:r>
      <w:r>
        <w:rPr>
          <w:rFonts w:eastAsia="仿宋_GB2312"/>
          <w:b/>
          <w:sz w:val="36"/>
          <w:szCs w:val="36"/>
        </w:rPr>
        <w:t>“三公”经费情况及增减变化说明</w:t>
      </w:r>
    </w:p>
    <w:p>
      <w:pPr>
        <w:spacing w:line="560" w:lineRule="exact"/>
        <w:ind w:firstLine="720" w:firstLineChars="200"/>
        <w:rPr>
          <w:rFonts w:eastAsia="仿宋_GB2312"/>
          <w:b/>
          <w:sz w:val="36"/>
          <w:szCs w:val="36"/>
        </w:rPr>
      </w:pPr>
      <w:r>
        <w:rPr>
          <w:rFonts w:eastAsia="仿宋_GB2312"/>
          <w:sz w:val="36"/>
          <w:szCs w:val="36"/>
        </w:rPr>
        <w:t>5、</w:t>
      </w:r>
      <w:r>
        <w:rPr>
          <w:rFonts w:eastAsia="仿宋_GB2312"/>
          <w:b/>
          <w:sz w:val="36"/>
          <w:szCs w:val="36"/>
        </w:rPr>
        <w:t>绩效目标</w:t>
      </w:r>
    </w:p>
    <w:p>
      <w:pPr>
        <w:spacing w:line="560" w:lineRule="exact"/>
        <w:ind w:firstLine="720" w:firstLineChars="200"/>
        <w:jc w:val="left"/>
        <w:rPr>
          <w:rFonts w:eastAsia="仿宋_GB2312"/>
          <w:sz w:val="36"/>
          <w:szCs w:val="36"/>
        </w:rPr>
      </w:pPr>
      <w:r>
        <w:rPr>
          <w:rFonts w:eastAsia="仿宋_GB2312"/>
          <w:sz w:val="36"/>
          <w:szCs w:val="36"/>
        </w:rPr>
        <w:t>6、</w:t>
      </w:r>
      <w:r>
        <w:rPr>
          <w:rFonts w:eastAsia="仿宋_GB2312"/>
          <w:b/>
          <w:sz w:val="36"/>
          <w:szCs w:val="36"/>
        </w:rPr>
        <w:t>政府采购预算情况</w:t>
      </w:r>
    </w:p>
    <w:p>
      <w:pPr>
        <w:spacing w:line="560" w:lineRule="exact"/>
        <w:ind w:firstLine="720" w:firstLineChars="200"/>
        <w:jc w:val="left"/>
        <w:rPr>
          <w:rFonts w:eastAsia="仿宋_GB2312"/>
          <w:sz w:val="36"/>
          <w:szCs w:val="36"/>
        </w:rPr>
      </w:pPr>
      <w:r>
        <w:rPr>
          <w:rFonts w:eastAsia="仿宋_GB2312"/>
          <w:sz w:val="36"/>
          <w:szCs w:val="36"/>
        </w:rPr>
        <w:t>7、</w:t>
      </w:r>
      <w:r>
        <w:rPr>
          <w:rFonts w:eastAsia="仿宋_GB2312"/>
          <w:b/>
          <w:sz w:val="36"/>
          <w:szCs w:val="36"/>
        </w:rPr>
        <w:t>国有资产预算情况</w:t>
      </w:r>
    </w:p>
    <w:p>
      <w:pPr>
        <w:spacing w:line="560" w:lineRule="exact"/>
        <w:ind w:firstLine="720" w:firstLineChars="200"/>
        <w:rPr>
          <w:rFonts w:eastAsia="仿宋_GB2312"/>
          <w:sz w:val="36"/>
          <w:szCs w:val="36"/>
        </w:rPr>
      </w:pPr>
      <w:r>
        <w:rPr>
          <w:rFonts w:eastAsia="仿宋_GB2312"/>
          <w:sz w:val="36"/>
          <w:szCs w:val="36"/>
        </w:rPr>
        <w:t>8、</w:t>
      </w:r>
      <w:r>
        <w:rPr>
          <w:rFonts w:eastAsia="仿宋_GB2312"/>
          <w:b/>
          <w:sz w:val="36"/>
          <w:szCs w:val="36"/>
        </w:rPr>
        <w:t>名词解释</w:t>
      </w:r>
    </w:p>
    <w:p>
      <w:pPr>
        <w:spacing w:line="560" w:lineRule="exact"/>
        <w:ind w:firstLine="720" w:firstLineChars="200"/>
        <w:rPr>
          <w:rFonts w:eastAsia="仿宋_GB2312"/>
          <w:sz w:val="36"/>
          <w:szCs w:val="36"/>
        </w:rPr>
      </w:pPr>
      <w:r>
        <w:rPr>
          <w:rFonts w:eastAsia="仿宋_GB2312"/>
          <w:sz w:val="36"/>
          <w:szCs w:val="36"/>
        </w:rPr>
        <w:t>9、</w:t>
      </w:r>
      <w:r>
        <w:rPr>
          <w:rFonts w:eastAsia="仿宋_GB2312"/>
          <w:b/>
          <w:sz w:val="36"/>
          <w:szCs w:val="36"/>
        </w:rPr>
        <w:t>其他情况说明</w:t>
      </w:r>
    </w:p>
    <w:p>
      <w:pPr>
        <w:jc w:val="center"/>
        <w:rPr>
          <w:rFonts w:ascii="方正小标宋简体" w:eastAsia="方正小标宋简体"/>
          <w:sz w:val="40"/>
          <w:szCs w:val="40"/>
        </w:rPr>
      </w:pPr>
    </w:p>
    <w:p>
      <w:pPr>
        <w:jc w:val="center"/>
        <w:rPr>
          <w:rFonts w:ascii="方正小标宋简体" w:eastAsia="方正小标宋简体"/>
          <w:sz w:val="40"/>
          <w:szCs w:val="40"/>
        </w:rPr>
      </w:pPr>
    </w:p>
    <w:p>
      <w:pPr>
        <w:jc w:val="center"/>
        <w:rPr>
          <w:rFonts w:ascii="方正小标宋简体" w:eastAsia="方正小标宋简体"/>
          <w:sz w:val="40"/>
          <w:szCs w:val="40"/>
        </w:rPr>
      </w:pPr>
    </w:p>
    <w:p>
      <w:pPr>
        <w:jc w:val="center"/>
        <w:rPr>
          <w:rFonts w:ascii="方正小标宋简体" w:eastAsia="方正小标宋简体"/>
          <w:sz w:val="40"/>
          <w:szCs w:val="40"/>
        </w:rPr>
      </w:pPr>
    </w:p>
    <w:p>
      <w:pPr>
        <w:jc w:val="center"/>
        <w:rPr>
          <w:rFonts w:ascii="方正小标宋简体" w:eastAsia="方正小标宋简体"/>
          <w:sz w:val="40"/>
          <w:szCs w:val="40"/>
        </w:rPr>
      </w:pPr>
      <w:r>
        <w:rPr>
          <w:rFonts w:hint="eastAsia" w:ascii="方正小标宋简体" w:eastAsia="方正小标宋简体"/>
          <w:sz w:val="40"/>
          <w:szCs w:val="40"/>
        </w:rPr>
        <w:t>办公室部门预算情况说明</w:t>
      </w:r>
    </w:p>
    <w:p>
      <w:pPr>
        <w:ind w:firstLine="643" w:firstLineChars="200"/>
        <w:rPr>
          <w:rFonts w:ascii="宋体"/>
          <w:b/>
          <w:sz w:val="32"/>
          <w:szCs w:val="32"/>
        </w:rPr>
      </w:pPr>
      <w:r>
        <w:rPr>
          <w:rFonts w:hint="eastAsia" w:ascii="宋体" w:hAnsi="宋体"/>
          <w:b/>
          <w:sz w:val="32"/>
          <w:szCs w:val="32"/>
        </w:rPr>
        <w:t>一、部门职责、机构设置等基本情况</w:t>
      </w:r>
    </w:p>
    <w:p>
      <w:pPr>
        <w:ind w:firstLine="640" w:firstLineChars="200"/>
        <w:rPr>
          <w:rFonts w:ascii="仿宋_GB2312" w:eastAsia="仿宋_GB2312"/>
          <w:sz w:val="32"/>
          <w:szCs w:val="32"/>
        </w:rPr>
      </w:pPr>
      <w:r>
        <w:rPr>
          <w:rFonts w:hint="eastAsia" w:ascii="仿宋_GB2312" w:eastAsia="仿宋_GB2312"/>
          <w:sz w:val="32"/>
          <w:szCs w:val="32"/>
        </w:rPr>
        <w:t>办公室是党工委、管委会各项工作的轴心和枢纽，起着承上启下、综合协调、参谋助手、督促检查和服务保障等重要作用，主要部门及职能有：</w:t>
      </w:r>
    </w:p>
    <w:p>
      <w:pPr>
        <w:ind w:firstLine="640" w:firstLineChars="200"/>
        <w:rPr>
          <w:rFonts w:ascii="仿宋_GB2312" w:eastAsia="仿宋_GB2312"/>
          <w:sz w:val="32"/>
          <w:szCs w:val="32"/>
        </w:rPr>
      </w:pPr>
      <w:r>
        <w:rPr>
          <w:rFonts w:hint="eastAsia" w:ascii="仿宋_GB2312" w:eastAsia="仿宋_GB2312"/>
          <w:sz w:val="32"/>
          <w:szCs w:val="32"/>
        </w:rPr>
        <w:t>综合处：起草各类文稿、文件；负责高新区党工委、管委会常务会议、主任办公会议、工作会议、碰头会议等日程议题安排、会议记录、纪要、文件、周计划印发等工作。</w:t>
      </w:r>
    </w:p>
    <w:p>
      <w:pPr>
        <w:ind w:firstLine="640" w:firstLineChars="200"/>
        <w:rPr>
          <w:rFonts w:ascii="仿宋_GB2312" w:eastAsia="仿宋_GB2312"/>
          <w:sz w:val="32"/>
          <w:szCs w:val="32"/>
        </w:rPr>
      </w:pPr>
      <w:r>
        <w:rPr>
          <w:rFonts w:hint="eastAsia" w:ascii="仿宋_GB2312" w:eastAsia="仿宋_GB2312"/>
          <w:sz w:val="32"/>
          <w:szCs w:val="32"/>
        </w:rPr>
        <w:t>秘书处：负责重大外事活动的安排，日常外宾接待、重要领导来区活动安排及协调对口接待工作；负责与各县（市）区、开发区的联络工作；负责文件的收发、登记、呈阅、分转、督办、核准、复印；负责协调各职能部门工作；负责印章、介绍信的妥善保存与使用。</w:t>
      </w:r>
    </w:p>
    <w:p>
      <w:pPr>
        <w:ind w:firstLine="640" w:firstLineChars="200"/>
        <w:rPr>
          <w:rFonts w:ascii="仿宋_GB2312" w:eastAsia="仿宋_GB2312"/>
          <w:sz w:val="32"/>
          <w:szCs w:val="32"/>
        </w:rPr>
      </w:pPr>
      <w:r>
        <w:rPr>
          <w:rFonts w:hint="eastAsia" w:ascii="仿宋_GB2312" w:eastAsia="仿宋_GB2312"/>
          <w:sz w:val="32"/>
          <w:szCs w:val="32"/>
        </w:rPr>
        <w:t>财务室：负责报账、记账等财务工作。</w:t>
      </w:r>
    </w:p>
    <w:p>
      <w:pPr>
        <w:ind w:firstLine="640" w:firstLineChars="200"/>
        <w:rPr>
          <w:rFonts w:ascii="仿宋_GB2312" w:eastAsia="仿宋_GB2312"/>
          <w:sz w:val="32"/>
          <w:szCs w:val="32"/>
        </w:rPr>
      </w:pPr>
      <w:r>
        <w:rPr>
          <w:rFonts w:hint="eastAsia" w:ascii="仿宋_GB2312" w:eastAsia="仿宋_GB2312"/>
          <w:sz w:val="32"/>
          <w:szCs w:val="32"/>
        </w:rPr>
        <w:t>新闻中心：负责《唐山高新区报》的撰稿、编审和发送。</w:t>
      </w:r>
    </w:p>
    <w:p>
      <w:pPr>
        <w:ind w:firstLine="640" w:firstLineChars="200"/>
        <w:rPr>
          <w:rFonts w:ascii="仿宋_GB2312" w:eastAsia="仿宋_GB2312"/>
          <w:sz w:val="32"/>
          <w:szCs w:val="32"/>
        </w:rPr>
      </w:pPr>
      <w:r>
        <w:rPr>
          <w:rFonts w:hint="eastAsia" w:ascii="仿宋_GB2312" w:eastAsia="仿宋_GB2312"/>
          <w:sz w:val="32"/>
          <w:szCs w:val="32"/>
        </w:rPr>
        <w:t>机要局：负责机要通讯、值班及机要文件、信函、电报的收发、登记、传递、保存和催办。</w:t>
      </w:r>
    </w:p>
    <w:p>
      <w:pPr>
        <w:ind w:firstLine="640" w:firstLineChars="200"/>
        <w:rPr>
          <w:rFonts w:ascii="仿宋_GB2312" w:eastAsia="仿宋_GB2312"/>
          <w:sz w:val="32"/>
          <w:szCs w:val="32"/>
        </w:rPr>
      </w:pPr>
      <w:r>
        <w:rPr>
          <w:rFonts w:hint="eastAsia" w:ascii="仿宋_GB2312" w:eastAsia="仿宋_GB2312"/>
          <w:sz w:val="32"/>
          <w:szCs w:val="32"/>
        </w:rPr>
        <w:t>保密档案室：负责保密工作的实施与开展；负责档案工作的管理。</w:t>
      </w:r>
    </w:p>
    <w:p>
      <w:pPr>
        <w:ind w:firstLine="640" w:firstLineChars="200"/>
        <w:rPr>
          <w:rFonts w:ascii="仿宋_GB2312" w:eastAsia="仿宋_GB2312"/>
          <w:sz w:val="32"/>
          <w:szCs w:val="32"/>
        </w:rPr>
      </w:pPr>
      <w:r>
        <w:rPr>
          <w:rFonts w:hint="eastAsia" w:ascii="仿宋_GB2312" w:eastAsia="仿宋_GB2312"/>
          <w:sz w:val="32"/>
          <w:szCs w:val="32"/>
        </w:rPr>
        <w:t>信息中心：负责对内、外宣传推介工作，编制对外宣传品，建立并巩固国内外新闻网络，建立并完善居于网站。</w:t>
      </w:r>
    </w:p>
    <w:p>
      <w:pPr>
        <w:ind w:firstLine="640" w:firstLineChars="200"/>
        <w:rPr>
          <w:rFonts w:ascii="仿宋_GB2312" w:eastAsia="仿宋_GB2312"/>
          <w:sz w:val="32"/>
          <w:szCs w:val="32"/>
        </w:rPr>
      </w:pPr>
      <w:r>
        <w:rPr>
          <w:rFonts w:hint="eastAsia" w:ascii="仿宋_GB2312" w:eastAsia="仿宋_GB2312"/>
          <w:sz w:val="32"/>
          <w:szCs w:val="32"/>
        </w:rPr>
        <w:t>团工委：负责全区工会、共青团、妇联工作。</w:t>
      </w:r>
    </w:p>
    <w:p>
      <w:pPr>
        <w:ind w:firstLine="640" w:firstLineChars="200"/>
        <w:rPr>
          <w:rFonts w:ascii="仿宋_GB2312" w:eastAsia="仿宋_GB2312"/>
          <w:sz w:val="32"/>
          <w:szCs w:val="32"/>
        </w:rPr>
      </w:pPr>
      <w:r>
        <w:rPr>
          <w:rFonts w:hint="eastAsia" w:ascii="仿宋_GB2312" w:eastAsia="仿宋_GB2312"/>
          <w:sz w:val="32"/>
          <w:szCs w:val="32"/>
        </w:rPr>
        <w:t>党群处：负责基层组织建设、发展党员、出国政审、机关党建、精神文明建设、统战工作。</w:t>
      </w:r>
    </w:p>
    <w:p>
      <w:pPr>
        <w:rPr>
          <w:rFonts w:hint="eastAsia" w:ascii="仿宋_GB2312" w:eastAsia="仿宋_GB2312"/>
          <w:sz w:val="32"/>
          <w:szCs w:val="32"/>
        </w:rPr>
      </w:pPr>
      <w:r>
        <w:rPr>
          <w:rFonts w:hint="eastAsia" w:ascii="仿宋_GB2312" w:eastAsia="仿宋_GB2312"/>
          <w:sz w:val="32"/>
          <w:szCs w:val="32"/>
        </w:rPr>
        <w:t>督查室：督查督办各类案件。</w:t>
      </w:r>
    </w:p>
    <w:p>
      <w:pPr>
        <w:rPr>
          <w:rFonts w:hint="eastAsia" w:ascii="仿宋_GB2312" w:eastAsia="仿宋_GB2312"/>
          <w:sz w:val="32"/>
          <w:szCs w:val="32"/>
          <w:lang w:eastAsia="zh-CN"/>
        </w:rPr>
      </w:pPr>
      <w:r>
        <w:rPr>
          <w:rFonts w:hint="eastAsia" w:ascii="仿宋_GB2312" w:eastAsia="仿宋_GB2312"/>
          <w:sz w:val="32"/>
          <w:szCs w:val="32"/>
          <w:lang w:eastAsia="zh-CN"/>
        </w:rPr>
        <w:t>部门级别：副县级</w:t>
      </w:r>
    </w:p>
    <w:p>
      <w:pPr>
        <w:rPr>
          <w:rFonts w:hint="eastAsia" w:ascii="仿宋_GB2312" w:eastAsia="仿宋_GB2312"/>
          <w:sz w:val="32"/>
          <w:szCs w:val="32"/>
          <w:lang w:eastAsia="zh-CN"/>
        </w:rPr>
      </w:pPr>
      <w:r>
        <w:rPr>
          <w:rFonts w:hint="eastAsia" w:ascii="仿宋_GB2312" w:eastAsia="仿宋_GB2312"/>
          <w:sz w:val="32"/>
          <w:szCs w:val="32"/>
          <w:lang w:eastAsia="zh-CN"/>
        </w:rPr>
        <w:t>性质：行政</w:t>
      </w:r>
    </w:p>
    <w:p>
      <w:pPr>
        <w:rPr>
          <w:rFonts w:hint="eastAsia" w:ascii="仿宋_GB2312" w:eastAsia="仿宋_GB2312"/>
          <w:sz w:val="32"/>
          <w:szCs w:val="32"/>
          <w:lang w:eastAsia="zh-CN"/>
        </w:rPr>
      </w:pPr>
      <w:r>
        <w:rPr>
          <w:rFonts w:hint="eastAsia" w:ascii="仿宋_GB2312" w:eastAsia="仿宋_GB2312"/>
          <w:sz w:val="32"/>
          <w:szCs w:val="32"/>
          <w:lang w:eastAsia="zh-CN"/>
        </w:rPr>
        <w:t>经费形式：财政拨款</w:t>
      </w:r>
    </w:p>
    <w:p>
      <w:pPr>
        <w:ind w:firstLine="643" w:firstLineChars="200"/>
        <w:rPr>
          <w:rFonts w:ascii="宋体" w:hAnsi="宋体"/>
          <w:b/>
          <w:sz w:val="32"/>
          <w:szCs w:val="32"/>
        </w:rPr>
      </w:pPr>
      <w:r>
        <w:rPr>
          <w:rFonts w:hint="eastAsia" w:ascii="宋体" w:hAnsi="宋体"/>
          <w:b/>
          <w:sz w:val="32"/>
          <w:szCs w:val="32"/>
        </w:rPr>
        <w:t>二、部门预算总体情况及预算收支增减变化情况说明</w:t>
      </w:r>
    </w:p>
    <w:p>
      <w:pPr>
        <w:ind w:firstLine="563" w:firstLineChars="176"/>
        <w:rPr>
          <w:rFonts w:ascii="仿宋_GB2312" w:eastAsia="仿宋_GB2312"/>
          <w:sz w:val="32"/>
          <w:szCs w:val="32"/>
        </w:rPr>
      </w:pPr>
      <w:r>
        <w:rPr>
          <w:rFonts w:hint="eastAsia" w:ascii="仿宋_GB2312" w:eastAsia="仿宋_GB2312"/>
          <w:sz w:val="32"/>
          <w:szCs w:val="32"/>
        </w:rPr>
        <w:t>收入情况：</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年管委会办公室预算收入为</w:t>
      </w:r>
      <w:r>
        <w:rPr>
          <w:rFonts w:hint="eastAsia" w:ascii="仿宋_GB2312" w:eastAsia="仿宋_GB2312"/>
          <w:sz w:val="32"/>
          <w:szCs w:val="32"/>
          <w:lang w:val="en-US" w:eastAsia="zh-CN"/>
        </w:rPr>
        <w:t>3654.01</w:t>
      </w:r>
      <w:r>
        <w:rPr>
          <w:rFonts w:hint="eastAsia" w:ascii="仿宋_GB2312" w:eastAsia="仿宋_GB2312"/>
          <w:sz w:val="32"/>
          <w:szCs w:val="32"/>
        </w:rPr>
        <w:t>万元。</w:t>
      </w:r>
    </w:p>
    <w:p>
      <w:pPr>
        <w:ind w:firstLine="563" w:firstLineChars="176"/>
        <w:rPr>
          <w:rFonts w:ascii="仿宋_GB2312" w:eastAsia="仿宋_GB2312"/>
          <w:sz w:val="32"/>
          <w:szCs w:val="32"/>
        </w:rPr>
      </w:pPr>
      <w:r>
        <w:rPr>
          <w:rFonts w:hint="eastAsia" w:ascii="仿宋_GB2312" w:eastAsia="仿宋_GB2312"/>
          <w:sz w:val="32"/>
          <w:szCs w:val="32"/>
        </w:rPr>
        <w:t>支出情况：人员经费为</w:t>
      </w:r>
      <w:r>
        <w:rPr>
          <w:rFonts w:hint="eastAsia" w:ascii="仿宋_GB2312" w:eastAsia="仿宋_GB2312"/>
          <w:sz w:val="32"/>
          <w:szCs w:val="32"/>
          <w:lang w:val="en-US" w:eastAsia="zh-CN"/>
        </w:rPr>
        <w:t>725.1</w:t>
      </w:r>
      <w:r>
        <w:rPr>
          <w:rFonts w:hint="eastAsia" w:ascii="仿宋_GB2312" w:eastAsia="仿宋_GB2312"/>
          <w:sz w:val="32"/>
          <w:szCs w:val="32"/>
        </w:rPr>
        <w:t>万元，正常公用为</w:t>
      </w:r>
      <w:r>
        <w:rPr>
          <w:rFonts w:hint="eastAsia" w:ascii="仿宋_GB2312" w:eastAsia="仿宋_GB2312"/>
          <w:sz w:val="32"/>
          <w:szCs w:val="32"/>
          <w:lang w:val="en-US" w:eastAsia="zh-CN"/>
        </w:rPr>
        <w:t>594.04</w:t>
      </w:r>
      <w:r>
        <w:rPr>
          <w:rFonts w:hint="eastAsia" w:ascii="仿宋_GB2312" w:eastAsia="仿宋_GB2312"/>
          <w:sz w:val="32"/>
          <w:szCs w:val="32"/>
        </w:rPr>
        <w:t>万元，专项项目支出为</w:t>
      </w:r>
      <w:r>
        <w:rPr>
          <w:rFonts w:hint="eastAsia" w:ascii="仿宋_GB2312" w:eastAsia="仿宋_GB2312"/>
          <w:sz w:val="32"/>
          <w:szCs w:val="32"/>
          <w:lang w:val="en-US" w:eastAsia="zh-CN"/>
        </w:rPr>
        <w:t>2334.87</w:t>
      </w:r>
      <w:r>
        <w:rPr>
          <w:rFonts w:hint="eastAsia" w:ascii="仿宋_GB2312" w:eastAsia="仿宋_GB2312"/>
          <w:sz w:val="32"/>
          <w:szCs w:val="32"/>
        </w:rPr>
        <w:t>万元，合计</w:t>
      </w:r>
      <w:r>
        <w:rPr>
          <w:rFonts w:hint="eastAsia" w:ascii="仿宋_GB2312" w:eastAsia="仿宋_GB2312"/>
          <w:sz w:val="32"/>
          <w:szCs w:val="32"/>
          <w:lang w:val="en-US" w:eastAsia="zh-CN"/>
        </w:rPr>
        <w:t>3654.01</w:t>
      </w:r>
      <w:r>
        <w:rPr>
          <w:rFonts w:hint="eastAsia" w:ascii="仿宋_GB2312" w:eastAsia="仿宋_GB2312"/>
          <w:sz w:val="32"/>
          <w:szCs w:val="32"/>
        </w:rPr>
        <w:t>万元。</w:t>
      </w:r>
    </w:p>
    <w:p>
      <w:pPr>
        <w:ind w:firstLine="563" w:firstLineChars="176"/>
        <w:rPr>
          <w:rFonts w:ascii="仿宋_GB2312" w:eastAsia="仿宋_GB2312"/>
          <w:sz w:val="32"/>
          <w:szCs w:val="32"/>
        </w:rPr>
      </w:pPr>
      <w:r>
        <w:rPr>
          <w:rFonts w:hint="eastAsia" w:ascii="仿宋_GB2312" w:hAnsi="宋体" w:eastAsia="仿宋_GB2312"/>
          <w:sz w:val="32"/>
          <w:szCs w:val="32"/>
        </w:rPr>
        <w:t>与201</w:t>
      </w:r>
      <w:r>
        <w:rPr>
          <w:rFonts w:hint="eastAsia" w:ascii="仿宋_GB2312" w:hAnsi="宋体" w:eastAsia="仿宋_GB2312"/>
          <w:sz w:val="32"/>
          <w:szCs w:val="32"/>
          <w:lang w:val="en-US" w:eastAsia="zh-CN"/>
        </w:rPr>
        <w:t>8</w:t>
      </w:r>
      <w:r>
        <w:rPr>
          <w:rFonts w:hint="eastAsia" w:ascii="仿宋_GB2312" w:hAnsi="宋体" w:eastAsia="仿宋_GB2312"/>
          <w:sz w:val="32"/>
          <w:szCs w:val="32"/>
        </w:rPr>
        <w:t>年相比增加</w:t>
      </w:r>
      <w:r>
        <w:rPr>
          <w:rFonts w:hint="eastAsia" w:ascii="仿宋_GB2312" w:hAnsi="宋体" w:eastAsia="仿宋_GB2312"/>
          <w:sz w:val="32"/>
          <w:szCs w:val="32"/>
          <w:lang w:val="en-US" w:eastAsia="zh-CN"/>
        </w:rPr>
        <w:t>50.61</w:t>
      </w:r>
      <w:r>
        <w:rPr>
          <w:rFonts w:hint="eastAsia" w:ascii="仿宋_GB2312" w:hAnsi="宋体" w:eastAsia="仿宋_GB2312"/>
          <w:sz w:val="32"/>
          <w:szCs w:val="32"/>
        </w:rPr>
        <w:t>%，原因：</w:t>
      </w:r>
      <w:r>
        <w:rPr>
          <w:rFonts w:hint="eastAsia" w:ascii="仿宋_GB2312" w:hAnsi="宋体" w:eastAsia="仿宋_GB2312"/>
          <w:sz w:val="32"/>
          <w:szCs w:val="32"/>
          <w:lang w:eastAsia="zh-CN"/>
        </w:rPr>
        <w:t>构建电子政务建设及防火墙设备，专项维修资金增加</w:t>
      </w:r>
      <w:r>
        <w:rPr>
          <w:rFonts w:hint="eastAsia" w:ascii="仿宋_GB2312" w:hAnsi="宋体" w:eastAsia="仿宋_GB2312"/>
          <w:sz w:val="32"/>
          <w:szCs w:val="32"/>
        </w:rPr>
        <w:t>。</w:t>
      </w:r>
    </w:p>
    <w:p>
      <w:pPr>
        <w:ind w:firstLine="643" w:firstLineChars="200"/>
        <w:rPr>
          <w:rFonts w:ascii="仿宋_GB2312" w:eastAsia="仿宋_GB2312"/>
          <w:sz w:val="32"/>
          <w:szCs w:val="32"/>
        </w:rPr>
      </w:pPr>
      <w:r>
        <w:rPr>
          <w:rFonts w:hint="eastAsia" w:ascii="宋体" w:hAnsi="宋体"/>
          <w:b/>
          <w:sz w:val="32"/>
          <w:szCs w:val="32"/>
        </w:rPr>
        <w:t>三、机关运行经费情况说明</w:t>
      </w:r>
    </w:p>
    <w:p>
      <w:pPr>
        <w:ind w:firstLine="640" w:firstLineChars="20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年办公室机关运行经费其中行政运行</w:t>
      </w:r>
      <w:r>
        <w:rPr>
          <w:rFonts w:hint="eastAsia" w:ascii="仿宋_GB2312" w:eastAsia="仿宋_GB2312"/>
          <w:sz w:val="32"/>
          <w:szCs w:val="32"/>
          <w:lang w:val="en-US" w:eastAsia="zh-CN"/>
        </w:rPr>
        <w:t>594.04</w:t>
      </w:r>
      <w:r>
        <w:rPr>
          <w:rFonts w:hint="eastAsia" w:ascii="仿宋_GB2312" w:eastAsia="仿宋_GB2312"/>
          <w:sz w:val="32"/>
          <w:szCs w:val="32"/>
        </w:rPr>
        <w:t>万元。其中办公费</w:t>
      </w:r>
      <w:r>
        <w:rPr>
          <w:rFonts w:hint="eastAsia" w:ascii="仿宋_GB2312" w:eastAsia="仿宋_GB2312"/>
          <w:sz w:val="32"/>
          <w:szCs w:val="32"/>
          <w:lang w:val="en-US" w:eastAsia="zh-CN"/>
        </w:rPr>
        <w:t>20</w:t>
      </w:r>
      <w:r>
        <w:rPr>
          <w:rFonts w:hint="eastAsia" w:ascii="仿宋_GB2312" w:eastAsia="仿宋_GB2312"/>
          <w:sz w:val="32"/>
          <w:szCs w:val="32"/>
        </w:rPr>
        <w:t>万元，水费</w:t>
      </w:r>
      <w:r>
        <w:rPr>
          <w:rFonts w:ascii="仿宋_GB2312" w:eastAsia="仿宋_GB2312"/>
          <w:sz w:val="32"/>
          <w:szCs w:val="32"/>
        </w:rPr>
        <w:t>90</w:t>
      </w:r>
      <w:r>
        <w:rPr>
          <w:rFonts w:hint="eastAsia" w:ascii="仿宋_GB2312" w:eastAsia="仿宋_GB2312"/>
          <w:sz w:val="32"/>
          <w:szCs w:val="32"/>
        </w:rPr>
        <w:t>万元，电费</w:t>
      </w:r>
      <w:r>
        <w:rPr>
          <w:rFonts w:ascii="仿宋_GB2312" w:eastAsia="仿宋_GB2312"/>
          <w:sz w:val="32"/>
          <w:szCs w:val="32"/>
        </w:rPr>
        <w:t>190</w:t>
      </w:r>
      <w:r>
        <w:rPr>
          <w:rFonts w:hint="eastAsia" w:ascii="仿宋_GB2312" w:eastAsia="仿宋_GB2312"/>
          <w:sz w:val="32"/>
          <w:szCs w:val="32"/>
        </w:rPr>
        <w:t>万元，邮电费</w:t>
      </w:r>
      <w:r>
        <w:rPr>
          <w:rFonts w:hint="eastAsia" w:ascii="仿宋_GB2312" w:eastAsia="仿宋_GB2312"/>
          <w:sz w:val="32"/>
          <w:szCs w:val="32"/>
          <w:lang w:val="en-US" w:eastAsia="zh-CN"/>
        </w:rPr>
        <w:t>5</w:t>
      </w:r>
      <w:r>
        <w:rPr>
          <w:rFonts w:hint="eastAsia" w:ascii="仿宋_GB2312" w:eastAsia="仿宋_GB2312"/>
          <w:sz w:val="32"/>
          <w:szCs w:val="32"/>
        </w:rPr>
        <w:t>万元，办公取暖费</w:t>
      </w:r>
      <w:r>
        <w:rPr>
          <w:rFonts w:ascii="仿宋_GB2312" w:eastAsia="仿宋_GB2312"/>
          <w:sz w:val="32"/>
          <w:szCs w:val="32"/>
        </w:rPr>
        <w:t>220</w:t>
      </w:r>
      <w:r>
        <w:rPr>
          <w:rFonts w:hint="eastAsia" w:ascii="仿宋_GB2312" w:eastAsia="仿宋_GB2312"/>
          <w:sz w:val="32"/>
          <w:szCs w:val="32"/>
        </w:rPr>
        <w:t>万元，公务用车运行维护费</w:t>
      </w:r>
      <w:r>
        <w:rPr>
          <w:rFonts w:hint="eastAsia" w:ascii="仿宋_GB2312" w:eastAsia="仿宋_GB2312"/>
          <w:sz w:val="32"/>
          <w:szCs w:val="32"/>
          <w:lang w:val="en-US" w:eastAsia="zh-CN"/>
        </w:rPr>
        <w:t>49</w:t>
      </w:r>
      <w:r>
        <w:rPr>
          <w:rFonts w:hint="eastAsia" w:ascii="仿宋_GB2312" w:eastAsia="仿宋_GB2312"/>
          <w:sz w:val="32"/>
          <w:szCs w:val="32"/>
        </w:rPr>
        <w:t>.5万元，差旅费1.2万元，维修（护）费</w:t>
      </w:r>
      <w:r>
        <w:rPr>
          <w:rFonts w:ascii="仿宋_GB2312" w:eastAsia="仿宋_GB2312"/>
          <w:sz w:val="32"/>
          <w:szCs w:val="32"/>
        </w:rPr>
        <w:t>0.5</w:t>
      </w:r>
      <w:r>
        <w:rPr>
          <w:rFonts w:hint="eastAsia" w:ascii="仿宋_GB2312" w:eastAsia="仿宋_GB2312"/>
          <w:sz w:val="32"/>
          <w:szCs w:val="32"/>
        </w:rPr>
        <w:t>万元，会议费0.</w:t>
      </w:r>
      <w:r>
        <w:rPr>
          <w:rFonts w:hint="eastAsia" w:ascii="仿宋_GB2312" w:eastAsia="仿宋_GB2312"/>
          <w:sz w:val="32"/>
          <w:szCs w:val="32"/>
          <w:lang w:val="en-US" w:eastAsia="zh-CN"/>
        </w:rPr>
        <w:t>5</w:t>
      </w:r>
      <w:r>
        <w:rPr>
          <w:rFonts w:hint="eastAsia" w:ascii="仿宋_GB2312" w:eastAsia="仿宋_GB2312"/>
          <w:sz w:val="32"/>
          <w:szCs w:val="32"/>
        </w:rPr>
        <w:t>万元，培训费</w:t>
      </w:r>
      <w:r>
        <w:rPr>
          <w:rFonts w:hint="eastAsia" w:ascii="仿宋_GB2312" w:eastAsia="仿宋_GB2312"/>
          <w:sz w:val="32"/>
          <w:szCs w:val="32"/>
          <w:lang w:val="en-US" w:eastAsia="zh-CN"/>
        </w:rPr>
        <w:t>1.5</w:t>
      </w:r>
      <w:r>
        <w:rPr>
          <w:rFonts w:hint="eastAsia" w:ascii="仿宋_GB2312" w:eastAsia="仿宋_GB2312"/>
          <w:sz w:val="32"/>
          <w:szCs w:val="32"/>
        </w:rPr>
        <w:t>万元，公务接待3.8万元，印刷费</w:t>
      </w:r>
      <w:r>
        <w:rPr>
          <w:rFonts w:ascii="仿宋_GB2312" w:eastAsia="仿宋_GB2312"/>
          <w:sz w:val="32"/>
          <w:szCs w:val="32"/>
        </w:rPr>
        <w:t>5</w:t>
      </w:r>
      <w:r>
        <w:rPr>
          <w:rFonts w:hint="eastAsia" w:ascii="仿宋_GB2312" w:eastAsia="仿宋_GB2312"/>
          <w:sz w:val="32"/>
          <w:szCs w:val="32"/>
        </w:rPr>
        <w:t>万元，其他</w:t>
      </w:r>
      <w:r>
        <w:rPr>
          <w:rFonts w:ascii="仿宋_GB2312" w:eastAsia="仿宋_GB2312"/>
          <w:sz w:val="32"/>
          <w:szCs w:val="32"/>
        </w:rPr>
        <w:t>0.5</w:t>
      </w:r>
      <w:r>
        <w:rPr>
          <w:rFonts w:hint="eastAsia" w:ascii="仿宋_GB2312" w:eastAsia="仿宋_GB2312"/>
          <w:sz w:val="32"/>
          <w:szCs w:val="32"/>
          <w:lang w:val="en-US" w:eastAsia="zh-CN"/>
        </w:rPr>
        <w:t>1</w:t>
      </w:r>
      <w:r>
        <w:rPr>
          <w:rFonts w:hint="eastAsia" w:ascii="仿宋_GB2312" w:eastAsia="仿宋_GB2312"/>
          <w:sz w:val="32"/>
          <w:szCs w:val="32"/>
        </w:rPr>
        <w:t>万元，工会经费</w:t>
      </w:r>
      <w:r>
        <w:rPr>
          <w:rFonts w:hint="eastAsia" w:ascii="仿宋_GB2312" w:eastAsia="仿宋_GB2312"/>
          <w:sz w:val="32"/>
          <w:szCs w:val="32"/>
          <w:lang w:val="en-US" w:eastAsia="zh-CN"/>
        </w:rPr>
        <w:t>6.53</w:t>
      </w:r>
      <w:r>
        <w:rPr>
          <w:rFonts w:hint="eastAsia" w:ascii="仿宋_GB2312" w:eastAsia="仿宋_GB2312"/>
          <w:sz w:val="32"/>
          <w:szCs w:val="32"/>
        </w:rPr>
        <w:t>万元。与201</w:t>
      </w:r>
      <w:r>
        <w:rPr>
          <w:rFonts w:hint="eastAsia" w:ascii="仿宋_GB2312" w:eastAsia="仿宋_GB2312"/>
          <w:sz w:val="32"/>
          <w:szCs w:val="32"/>
          <w:lang w:val="en-US" w:eastAsia="zh-CN"/>
        </w:rPr>
        <w:t>8</w:t>
      </w:r>
      <w:r>
        <w:rPr>
          <w:rFonts w:hint="eastAsia" w:ascii="仿宋_GB2312" w:eastAsia="仿宋_GB2312"/>
          <w:sz w:val="32"/>
          <w:szCs w:val="32"/>
        </w:rPr>
        <w:t>年相比</w:t>
      </w:r>
      <w:r>
        <w:rPr>
          <w:rFonts w:hint="eastAsia" w:ascii="仿宋_GB2312" w:eastAsia="仿宋_GB2312"/>
          <w:sz w:val="32"/>
          <w:szCs w:val="32"/>
          <w:lang w:eastAsia="zh-CN"/>
        </w:rPr>
        <w:t>减少</w:t>
      </w:r>
      <w:r>
        <w:rPr>
          <w:rFonts w:hint="eastAsia" w:ascii="仿宋_GB2312" w:eastAsia="仿宋_GB2312"/>
          <w:sz w:val="32"/>
          <w:szCs w:val="32"/>
          <w:lang w:val="en-US" w:eastAsia="zh-CN"/>
        </w:rPr>
        <w:t>9.7%</w:t>
      </w:r>
      <w:r>
        <w:rPr>
          <w:rFonts w:hint="eastAsia" w:ascii="仿宋_GB2312" w:eastAsia="仿宋_GB2312"/>
          <w:sz w:val="32"/>
          <w:szCs w:val="32"/>
        </w:rPr>
        <w:t>，</w:t>
      </w:r>
      <w:r>
        <w:rPr>
          <w:rFonts w:hint="eastAsia" w:ascii="仿宋_GB2312" w:eastAsia="仿宋_GB2312"/>
          <w:sz w:val="32"/>
          <w:szCs w:val="32"/>
          <w:lang w:eastAsia="zh-CN"/>
        </w:rPr>
        <w:t>原因：由于公务用车改革，公务用车减少</w:t>
      </w:r>
      <w:r>
        <w:rPr>
          <w:rFonts w:hint="eastAsia" w:ascii="仿宋_GB2312" w:eastAsia="仿宋_GB2312"/>
          <w:sz w:val="32"/>
          <w:szCs w:val="32"/>
        </w:rPr>
        <w:t>。</w:t>
      </w:r>
    </w:p>
    <w:p>
      <w:pPr>
        <w:ind w:firstLine="643" w:firstLineChars="200"/>
        <w:rPr>
          <w:rFonts w:ascii="仿宋_GB2312" w:eastAsia="仿宋_GB2312"/>
          <w:sz w:val="32"/>
          <w:szCs w:val="32"/>
        </w:rPr>
      </w:pPr>
      <w:r>
        <w:rPr>
          <w:rFonts w:hint="eastAsia" w:ascii="宋体" w:hAnsi="宋体"/>
          <w:b/>
          <w:sz w:val="32"/>
          <w:szCs w:val="32"/>
        </w:rPr>
        <w:t>四、“三公”经费情况及增减变化说明</w:t>
      </w:r>
    </w:p>
    <w:p>
      <w:pPr>
        <w:ind w:firstLine="640" w:firstLineChars="200"/>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年我部门“三公”经费预算安排</w:t>
      </w:r>
      <w:r>
        <w:rPr>
          <w:rFonts w:hint="eastAsia" w:ascii="仿宋_GB2312" w:eastAsia="仿宋_GB2312"/>
          <w:sz w:val="32"/>
          <w:szCs w:val="32"/>
          <w:lang w:val="en-US" w:eastAsia="zh-CN"/>
        </w:rPr>
        <w:t>188.3</w:t>
      </w:r>
      <w:r>
        <w:rPr>
          <w:rFonts w:hint="eastAsia" w:ascii="仿宋_GB2312" w:eastAsia="仿宋_GB2312"/>
          <w:sz w:val="32"/>
          <w:szCs w:val="32"/>
        </w:rPr>
        <w:t>万元，较上年预算</w:t>
      </w:r>
      <w:r>
        <w:rPr>
          <w:rFonts w:hint="eastAsia" w:ascii="仿宋_GB2312" w:eastAsia="仿宋_GB2312"/>
          <w:sz w:val="32"/>
          <w:szCs w:val="32"/>
          <w:lang w:eastAsia="zh-CN"/>
        </w:rPr>
        <w:t>增加</w:t>
      </w:r>
      <w:r>
        <w:rPr>
          <w:rFonts w:hint="eastAsia" w:ascii="仿宋_GB2312" w:eastAsia="仿宋_GB2312"/>
          <w:sz w:val="32"/>
          <w:szCs w:val="32"/>
          <w:lang w:val="en-US" w:eastAsia="zh-CN"/>
        </w:rPr>
        <w:t>72</w:t>
      </w:r>
      <w:r>
        <w:rPr>
          <w:rFonts w:hint="eastAsia" w:ascii="仿宋_GB2312" w:eastAsia="仿宋_GB2312"/>
          <w:sz w:val="32"/>
          <w:szCs w:val="32"/>
        </w:rPr>
        <w:t>万元。具体情况如下：</w:t>
      </w:r>
    </w:p>
    <w:p>
      <w:pPr>
        <w:ind w:firstLine="640" w:firstLineChars="200"/>
        <w:rPr>
          <w:rFonts w:ascii="仿宋_GB2312" w:eastAsia="仿宋_GB2312"/>
          <w:sz w:val="32"/>
          <w:szCs w:val="32"/>
        </w:rPr>
      </w:pPr>
      <w:r>
        <w:rPr>
          <w:rFonts w:hint="eastAsia" w:ascii="仿宋_GB2312" w:eastAsia="仿宋_GB2312"/>
          <w:sz w:val="32"/>
          <w:szCs w:val="32"/>
        </w:rPr>
        <w:t>（一）公务用车购置及运行费，共计安排</w:t>
      </w:r>
      <w:r>
        <w:rPr>
          <w:rFonts w:hint="eastAsia" w:ascii="仿宋_GB2312" w:eastAsia="仿宋_GB2312"/>
          <w:sz w:val="32"/>
          <w:szCs w:val="32"/>
          <w:lang w:val="en-US" w:eastAsia="zh-CN"/>
        </w:rPr>
        <w:t>184.5</w:t>
      </w:r>
      <w:r>
        <w:rPr>
          <w:rFonts w:hint="eastAsia" w:ascii="仿宋_GB2312" w:eastAsia="仿宋_GB2312"/>
          <w:sz w:val="32"/>
          <w:szCs w:val="32"/>
        </w:rPr>
        <w:t>万元</w:t>
      </w:r>
      <w:r>
        <w:rPr>
          <w:rFonts w:hint="eastAsia" w:ascii="仿宋_GB2312" w:eastAsia="仿宋_GB2312"/>
          <w:sz w:val="32"/>
          <w:szCs w:val="32"/>
          <w:lang w:eastAsia="zh-CN"/>
        </w:rPr>
        <w:t>，较上年增加</w:t>
      </w:r>
      <w:r>
        <w:rPr>
          <w:rFonts w:hint="eastAsia" w:ascii="仿宋_GB2312" w:eastAsia="仿宋_GB2312"/>
          <w:sz w:val="32"/>
          <w:szCs w:val="32"/>
          <w:lang w:val="en-US" w:eastAsia="zh-CN"/>
        </w:rPr>
        <w:t>72万元</w:t>
      </w:r>
      <w:r>
        <w:rPr>
          <w:rFonts w:hint="eastAsia" w:ascii="仿宋_GB2312" w:eastAsia="仿宋_GB2312"/>
          <w:sz w:val="32"/>
          <w:szCs w:val="32"/>
        </w:rPr>
        <w:t>。</w:t>
      </w:r>
    </w:p>
    <w:p>
      <w:pPr>
        <w:ind w:firstLine="630"/>
        <w:rPr>
          <w:rFonts w:ascii="仿宋_GB2312" w:eastAsia="仿宋_GB2312"/>
          <w:sz w:val="32"/>
          <w:szCs w:val="32"/>
        </w:rPr>
      </w:pPr>
      <w:r>
        <w:rPr>
          <w:rFonts w:hint="eastAsia" w:ascii="仿宋_GB2312" w:eastAsia="仿宋_GB2312"/>
          <w:sz w:val="32"/>
          <w:szCs w:val="32"/>
        </w:rPr>
        <w:t>1.公务用车购置安排</w:t>
      </w:r>
      <w:r>
        <w:rPr>
          <w:rFonts w:hint="eastAsia" w:ascii="仿宋_GB2312" w:eastAsia="仿宋_GB2312"/>
          <w:sz w:val="32"/>
          <w:szCs w:val="32"/>
          <w:lang w:val="en-US" w:eastAsia="zh-CN"/>
        </w:rPr>
        <w:t>135</w:t>
      </w:r>
      <w:r>
        <w:rPr>
          <w:rFonts w:hint="eastAsia" w:ascii="仿宋_GB2312" w:eastAsia="仿宋_GB2312"/>
          <w:sz w:val="32"/>
          <w:szCs w:val="32"/>
        </w:rPr>
        <w:t>万元，</w:t>
      </w:r>
      <w:r>
        <w:rPr>
          <w:rFonts w:hint="eastAsia" w:ascii="仿宋_GB2312" w:eastAsia="仿宋_GB2312"/>
          <w:sz w:val="32"/>
          <w:szCs w:val="32"/>
          <w:lang w:eastAsia="zh-CN"/>
        </w:rPr>
        <w:t>较</w:t>
      </w:r>
      <w:r>
        <w:rPr>
          <w:rFonts w:hint="eastAsia" w:ascii="仿宋_GB2312" w:eastAsia="仿宋_GB2312"/>
          <w:sz w:val="32"/>
          <w:szCs w:val="32"/>
        </w:rPr>
        <w:t>上年</w:t>
      </w:r>
      <w:r>
        <w:rPr>
          <w:rFonts w:hint="eastAsia" w:ascii="仿宋_GB2312" w:eastAsia="仿宋_GB2312"/>
          <w:sz w:val="32"/>
          <w:szCs w:val="32"/>
          <w:lang w:eastAsia="zh-CN"/>
        </w:rPr>
        <w:t>增加</w:t>
      </w:r>
      <w:r>
        <w:rPr>
          <w:rFonts w:hint="eastAsia" w:ascii="仿宋_GB2312" w:eastAsia="仿宋_GB2312"/>
          <w:sz w:val="32"/>
          <w:szCs w:val="32"/>
          <w:lang w:val="en-US" w:eastAsia="zh-CN"/>
        </w:rPr>
        <w:t>135万元。原因：商务车辆已到报废年限，需购置新车</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2.公务用车运行维护经费共计安排</w:t>
      </w:r>
      <w:r>
        <w:rPr>
          <w:rFonts w:hint="eastAsia" w:ascii="仿宋_GB2312" w:eastAsia="仿宋_GB2312"/>
          <w:sz w:val="32"/>
          <w:szCs w:val="32"/>
          <w:lang w:val="en-US" w:eastAsia="zh-CN"/>
        </w:rPr>
        <w:t>49.5</w:t>
      </w:r>
      <w:r>
        <w:rPr>
          <w:rFonts w:hint="eastAsia" w:ascii="仿宋_GB2312" w:eastAsia="仿宋_GB2312"/>
          <w:sz w:val="32"/>
          <w:szCs w:val="32"/>
        </w:rPr>
        <w:t>万元，</w:t>
      </w:r>
      <w:r>
        <w:rPr>
          <w:rFonts w:hint="eastAsia" w:ascii="仿宋_GB2312" w:eastAsia="仿宋_GB2312"/>
          <w:sz w:val="32"/>
          <w:szCs w:val="32"/>
          <w:lang w:eastAsia="zh-CN"/>
        </w:rPr>
        <w:t>较上年减少</w:t>
      </w:r>
      <w:r>
        <w:rPr>
          <w:rFonts w:hint="eastAsia" w:ascii="仿宋_GB2312" w:eastAsia="仿宋_GB2312"/>
          <w:sz w:val="32"/>
          <w:szCs w:val="32"/>
          <w:lang w:val="en-US" w:eastAsia="zh-CN"/>
        </w:rPr>
        <w:t>63万元</w:t>
      </w:r>
      <w:r>
        <w:rPr>
          <w:rFonts w:hint="eastAsia" w:ascii="仿宋_GB2312" w:eastAsia="仿宋_GB2312"/>
          <w:sz w:val="32"/>
          <w:szCs w:val="32"/>
        </w:rPr>
        <w:t>。原因：</w:t>
      </w:r>
      <w:r>
        <w:rPr>
          <w:rFonts w:hint="eastAsia" w:ascii="仿宋_GB2312" w:eastAsia="仿宋_GB2312"/>
          <w:sz w:val="32"/>
          <w:szCs w:val="32"/>
          <w:lang w:eastAsia="zh-CN"/>
        </w:rPr>
        <w:t>车辆较少</w:t>
      </w:r>
      <w:r>
        <w:rPr>
          <w:rFonts w:hint="eastAsia" w:ascii="仿宋_GB2312" w:eastAsia="仿宋_GB2312"/>
          <w:sz w:val="32"/>
          <w:szCs w:val="32"/>
        </w:rPr>
        <w:t>。</w:t>
      </w:r>
    </w:p>
    <w:p>
      <w:pPr>
        <w:ind w:firstLine="630"/>
        <w:rPr>
          <w:rFonts w:ascii="仿宋_GB2312" w:eastAsia="仿宋_GB2312"/>
          <w:sz w:val="32"/>
          <w:szCs w:val="32"/>
        </w:rPr>
      </w:pPr>
      <w:r>
        <w:rPr>
          <w:rFonts w:hint="eastAsia" w:ascii="仿宋_GB2312" w:eastAsia="仿宋_GB2312"/>
          <w:sz w:val="32"/>
          <w:szCs w:val="32"/>
        </w:rPr>
        <w:t>（二）公务接待费。安排3.8万元，与上年持平。原因：我单位一贯严格按照中央八项规定、省政府有关厉行勤俭节约反对铺张浪费的要求，科学合理编制年初预算，严格控制“三公”经费等一般性支出。</w:t>
      </w:r>
    </w:p>
    <w:p>
      <w:pPr>
        <w:ind w:firstLine="630"/>
        <w:rPr>
          <w:rFonts w:hint="eastAsia" w:ascii="仿宋" w:hAnsi="仿宋" w:eastAsia="仿宋" w:cs="仿宋_GB2312"/>
          <w:sz w:val="32"/>
          <w:szCs w:val="32"/>
        </w:rPr>
      </w:pPr>
      <w:r>
        <w:rPr>
          <w:rFonts w:hint="eastAsia" w:ascii="仿宋" w:hAnsi="仿宋" w:eastAsia="仿宋" w:cs="仿宋_GB2312"/>
          <w:sz w:val="32"/>
          <w:szCs w:val="32"/>
        </w:rPr>
        <w:t>（三）因公出国（境）费安排0万元，与上年持平。</w:t>
      </w:r>
    </w:p>
    <w:p>
      <w:pPr>
        <w:ind w:firstLine="643" w:firstLineChars="200"/>
        <w:rPr>
          <w:rFonts w:ascii="仿宋_GB2312" w:eastAsia="仿宋_GB2312"/>
          <w:sz w:val="32"/>
          <w:szCs w:val="32"/>
        </w:rPr>
      </w:pPr>
      <w:r>
        <w:rPr>
          <w:rFonts w:hint="eastAsia" w:ascii="宋体" w:hAnsi="宋体"/>
          <w:b/>
          <w:sz w:val="32"/>
          <w:szCs w:val="32"/>
        </w:rPr>
        <w:t>五、绩效目标</w:t>
      </w:r>
    </w:p>
    <w:p>
      <w:pPr>
        <w:ind w:firstLine="640" w:firstLineChars="200"/>
        <w:rPr>
          <w:rFonts w:hint="eastAsia" w:ascii="仿宋_GB2312" w:eastAsia="仿宋_GB2312"/>
          <w:sz w:val="32"/>
          <w:szCs w:val="32"/>
        </w:rPr>
      </w:pPr>
      <w:r>
        <w:rPr>
          <w:rFonts w:hint="eastAsia" w:ascii="仿宋_GB2312" w:eastAsia="仿宋_GB2312"/>
          <w:sz w:val="32"/>
          <w:szCs w:val="32"/>
        </w:rPr>
        <w:t>建设运行维护好政府应急平台，实现各种实用功能，有效保证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乡镇、各部门应急工作，确保信息报送及时畅通，不出差错和问题。保障管委会大型会议、重大活动的正常、顺利举办；保障机关公文正常运转。确保管委会各项工作正常运转。</w:t>
      </w:r>
    </w:p>
    <w:p>
      <w:pPr>
        <w:ind w:firstLine="640" w:firstLineChars="200"/>
        <w:rPr>
          <w:rFonts w:hint="eastAsia" w:ascii="仿宋_GB2312" w:eastAsia="仿宋_GB2312"/>
          <w:sz w:val="32"/>
          <w:szCs w:val="32"/>
        </w:rPr>
      </w:pPr>
    </w:p>
    <w:p>
      <w:pPr>
        <w:jc w:val="center"/>
        <w:outlineLvl w:val="0"/>
        <w:rPr>
          <w:rFonts w:ascii="方正小标宋_GBK" w:eastAsia="方正小标宋_GBK"/>
          <w:color w:val="FFFFFF"/>
          <w:sz w:val="32"/>
        </w:rPr>
      </w:pPr>
      <w:bookmarkStart w:id="0" w:name="_Toc767352"/>
      <w:r>
        <w:rPr>
          <w:rFonts w:hint="eastAsia" w:ascii="方正小标宋_GBK" w:eastAsia="方正小标宋_GBK"/>
          <w:sz w:val="32"/>
        </w:rPr>
        <w:t>部门职责-工作活动绩效目标</w:t>
      </w:r>
      <w:r>
        <w:rPr>
          <w:rStyle w:val="7"/>
          <w:rFonts w:ascii="方正小标宋_GBK" w:eastAsia="方正小标宋_GBK"/>
          <w:color w:val="FFFFFF"/>
          <w:sz w:val="32"/>
        </w:rPr>
        <w:footnoteReference w:id="0" w:customMarkFollows="1"/>
        <w:sym w:font="Symbol" w:char="F020"/>
      </w:r>
      <w:bookmarkEnd w:id="0"/>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102</w:t>
            </w:r>
            <w:r>
              <w:rPr>
                <w:rFonts w:hint="eastAsia" w:ascii="方正小标宋_GBK" w:eastAsia="方正小标宋_GBK"/>
                <w:sz w:val="24"/>
              </w:rPr>
              <w:t>办公室</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一、系统公务内网建设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65.00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系统公务内网建设与维护。</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保持线路畅通，服务对象满意。</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、公务内网建设与维护</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65.00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cs" w:ascii="方正书宋_GBK" w:eastAsia="方正书宋_GBK"/>
              </w:rPr>
              <w:t>“</w:t>
            </w:r>
            <w:r>
              <w:rPr>
                <w:rFonts w:hint="eastAsia" w:ascii="方正书宋_GBK" w:eastAsia="方正书宋_GBK"/>
              </w:rPr>
              <w:t>公务内网</w:t>
            </w:r>
            <w:r>
              <w:rPr>
                <w:rFonts w:hint="cs" w:ascii="方正书宋_GBK" w:eastAsia="方正书宋_GBK"/>
              </w:rPr>
              <w:t>”</w:t>
            </w:r>
            <w:r>
              <w:rPr>
                <w:rFonts w:hint="eastAsia" w:ascii="方正书宋_GBK" w:eastAsia="方正书宋_GBK"/>
              </w:rPr>
              <w:t>的建设和管理；计算机信息网络建设；组织协调各类信息资源的上网和扩充，保障网络和信息安全。</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数据资源丰富、数据正版、权威可靠，用户满意度高。线路畅通，系统运行稳定。</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内容条目更新速度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c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网络正常运转保障实际</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c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网络信息安全保障情况</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否</w:t>
            </w: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二、应急管理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cs" w:ascii="方正书宋_GBK" w:eastAsia="方正书宋_GBK"/>
              </w:rPr>
            </w:pPr>
            <w:r>
              <w:rPr>
                <w:rFonts w:hint="eastAsia" w:ascii="方正书宋_GBK" w:eastAsia="方正书宋_GBK"/>
              </w:rPr>
              <w:t>政府值班工作，及时报告重要情况，传达和督促落实政府领导指示。协助政府领导做好需由政府组织处理的突发事件应急处置工作。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设运行维护好政府应急平台，实现各种实用功能，有效保证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乡镇、各部门应急工作，确保信息报送及时畅通，不出差错和问题。</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、应急管理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政府值班工作，及时报告重要情况，传达和督促落实政府领导指示。协助政府领导做好需由县政府组织处理的突发事件应急处置工作。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建设运行维护平台数据，为有效保障全县突发事件提供技术保障，确保快速、有效处置突发事件，提高事件应对实效。</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系统全年累计故障时长</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&gt;4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应急预案编制及完善</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应急事件处置情况</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三、档案收集保管与开发利用</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机关团体企事业单位档案工作目标管理认定，做好档案资源建设和保管，。提供档案查阅和利用，推进全县档案信息化工作。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丰富馆藏内容，方便保管和利用，完成档案的托表、修复、复制等抢救保护工作，最大限度地延长档案寿命。实现对档案的数据化备份和保护。</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、档案收集管理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13.00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依据规定对档案进行征集、接收和整理，对相关单位纸质、电子、专题档案进行收集、整理和保存。加强档案库房管理，提高全区档案馆室建设水平</w:t>
            </w:r>
            <w:r>
              <w:rPr>
                <w:rFonts w:ascii="方正书宋_GBK" w:eastAsia="方正书宋_GBK"/>
              </w:rPr>
              <w:t>,</w:t>
            </w:r>
            <w:r>
              <w:rPr>
                <w:rFonts w:hint="eastAsia" w:ascii="方正书宋_GBK" w:eastAsia="方正书宋_GBK"/>
              </w:rPr>
              <w:t>做好重点档案抢救和保护，加强档案信息化，各类数据库建设，数字化加工、转换、备份，信息安全等级保护工作及特殊载体保管。</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应用各种技术手段，对档案资料进行管护和数字化转换，重现档案原貌，最大限度地延长档案寿命。建立专题档案全文数据库，便于开发利用，为社会公众服务。</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档案整理、移交、接收、管理、保存工作完成率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文件接收整理错误情况</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专题档案全文数据库建设工作完成率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四、组织建设和宣传教育</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179.00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领导全区共青团工作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基层团组织和青年组织建设加强，活力明显提升。</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、组织建设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179.00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指导全区青联、学联和少先队工作，对全区青年社团组织进行指导和管理。</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培养青年骨干，打造适应青年特点的文化产品，维护青年队伍稳定</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受到市委团领导肯定性批示数</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2</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团干部教育和培训覆盖率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青年志愿者队伍新增比例</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五、参谋协调运转</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135.00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公文运转、大型会议和活动组织安排、公务接待等。</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保障管委会大型会议、重大活动的正常、顺利举办；保障机关公文正常运转</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、公文运转</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承担管委会领导交办的文件、讲话稿的起草或修改工作。办理公文的上传下达工作。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改进公文办理，规范流程，做到零停留、无差错。公文审核严谨高效，增强县委文件的权威性。加强文稿前期介入，打造精品文稿。</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公文流转差错率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公文流转差错数与公文总数的比例</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打造精品文稿</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文稿见报份数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公文流转速度</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来文、发文办理时限是否符合相关规定要求</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、协调大型会议和活动</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135.00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各种会议的会务工作、日常工作活动的组织安排。</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加强县级层面重要会议活动的统筹协调，精心谋划组织好全县性重大会议活动，县委主要领导参加的重要会议活动，要从严从细谋划安排</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举行会议</w:t>
            </w:r>
            <w:r>
              <w:rPr>
                <w:rFonts w:ascii="方正书宋_GBK" w:eastAsia="方正书宋_GBK"/>
              </w:rPr>
              <w:t>\</w:t>
            </w:r>
            <w:r>
              <w:rPr>
                <w:rFonts w:hint="eastAsia" w:ascii="方正书宋_GBK" w:eastAsia="方正书宋_GBK"/>
              </w:rPr>
              <w:t>活动场次</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重大工作参与率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、公务接待</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负责兄弟县市区党委领导接待服务工作；负责管委会领导同志交办的其他接待任务。</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严格执行中央八项规定，坚持热情周到、简洁简朴。严格执行接待标准、降低接待费规模。</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接待标准</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不出现</w:t>
            </w: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出现一次及以上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接待费控制率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六、督查调研</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围绕管委会总体工作部署开展综合调研，收集和处理信息、反映动态；承担管委会重要工作部署贯彻落实的督导检查，上级领导和领导批示件的传达和催办落实。</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信息真实完整，领导满意，批示率高。</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、督查调研</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重大决策部署贯彻落实的督促检查；领导有关批示件的催办落实；承担领导批示件及办理情况的综汇工作；围绕管委会重大决策的贯彻落实进行调查研究；</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围绕省市和管委会的重大决策部署，围绕县领导重要批示和指示，围绕热点难点问题，明确责任、定出措施，按节点考核、按时间推进。通过调研课题就党和政府关注的问题，提出客观、有价值、有分量、有影响的意见建议，促进决策民主化和科学化。</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政治任务实现率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重大决策部署落实的调研工作</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督查督办按时办结率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七、宣传思想工作</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237.00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规划组织思想政治工作；指导协调宣传思想文化事业和外宣事业发展；加强舆论舆情引导管理；协调互联网宣传和信息内容管理；加强精神文明建设。</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牢牢掌握意识形态工作领导权、管理权、话语权，弘扬主旋律，汇聚正能量，为经济社会发展提供有力的思想保证、精神动力、舆论支持。</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、精神文明建设</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237.00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部署精神文明创建工作，组织指导全县群众性精神文明创建活动。</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全区城乡文明程度显著提升，和谐向善的社会风气逐步形成。</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组织中心组学习次数</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社会主义核心价值观内容普及率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组织开展精神文明创建活动次数</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4</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八、机关密码管理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160.00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党政系统密码通信和密码管理。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涉密</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、密码通信及管理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160.00</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党政系统密码通信和密码管理，党政军领导机关及要害部门的核心机密的传递工作。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涉密</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九、政务服务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政务公开、政府会议管理、督察督办、政务联络等工作。</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突出政务、加强事务、提升服务，力求重点工作出精品，难点工作求突破、基础工作有创新、常规工作见特色。以机关干部作风量化指标为依据，增强了工作综合服务实力。</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、政务公开</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突出政务、加强事务、提升服务，力求重点工作出精品，难点工作求突破、基础工作有创新、常规工作见特色。以机关干部作风量化指标为依据，增强了工作综合服务实力。</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确保各类会议顺利进行，保障政府网络安全运行，严格保障服务流程和视频会议管理制度，切实提高技术保障能力和服务水平。</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承办大型会议次数</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5</w:t>
            </w:r>
            <w:r>
              <w:rPr>
                <w:rFonts w:hint="eastAsia" w:ascii="方正书宋_GBK" w:eastAsia="方正书宋_GBK"/>
              </w:rPr>
              <w:t>次以上</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网络系统升级</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检查信息公开履行职责</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5</w:t>
            </w:r>
            <w:r>
              <w:rPr>
                <w:rFonts w:hint="eastAsia" w:ascii="方正书宋_GBK" w:eastAsia="方正书宋_GBK"/>
              </w:rPr>
              <w:t>次以上</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十、机关工作运转</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1545.87</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负责对管委会办公楼专项维修和物业管理。</w:t>
            </w:r>
          </w:p>
        </w:tc>
        <w:tc>
          <w:tcPr>
            <w:tcW w:w="29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确保管委会各项工作正常运转。</w:t>
            </w:r>
          </w:p>
        </w:tc>
        <w:tc>
          <w:tcPr>
            <w:tcW w:w="1417" w:type="dxa"/>
            <w:shd w:val="clear" w:color="auto" w:fill="auto"/>
            <w:vAlign w:val="center"/>
          </w:tcPr>
          <w:p>
            <w:pPr>
              <w:spacing w:line="300" w:lineRule="exact"/>
              <w:jc w:val="left"/>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hint="eastAsia"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、物业外包工作</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1035.87</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负责管委会办公楼物业外包工作。</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进一步提高生活服务管理水平，让领导满意。</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工作完成情况</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服务群众的满意度</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问题及时处理情况</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1</w:t>
            </w:r>
            <w:r>
              <w:rPr>
                <w:rFonts w:hint="eastAsia" w:ascii="方正书宋_GBK" w:eastAsia="方正书宋_GBK"/>
              </w:rPr>
              <w:t>小时以内</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w:t>
            </w:r>
            <w:r>
              <w:rPr>
                <w:rFonts w:hint="eastAsia" w:ascii="方正书宋_GBK" w:eastAsia="方正书宋_GBK"/>
              </w:rPr>
              <w:t>半天</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&lt;1</w:t>
            </w:r>
            <w:r>
              <w:rPr>
                <w:rFonts w:hint="eastAsia" w:ascii="方正书宋_GBK" w:eastAsia="方正书宋_GBK"/>
              </w:rPr>
              <w:t>天</w:t>
            </w:r>
          </w:p>
        </w:tc>
        <w:tc>
          <w:tcPr>
            <w:tcW w:w="737" w:type="dxa"/>
            <w:shd w:val="clear" w:color="auto" w:fill="auto"/>
            <w:vAlign w:val="center"/>
          </w:tcPr>
          <w:p>
            <w:pPr>
              <w:spacing w:line="300" w:lineRule="exact"/>
              <w:jc w:val="center"/>
              <w:rPr>
                <w:rFonts w:hint="eastAsia" w:ascii="方正书宋_GBK" w:eastAsia="方正书宋_GBK"/>
              </w:rPr>
            </w:pPr>
            <w:r>
              <w:rPr>
                <w:rFonts w:ascii="方正书宋_GBK" w:eastAsia="方正书宋_GBK"/>
              </w:rPr>
              <w:t>&gt;1</w:t>
            </w:r>
            <w:r>
              <w:rPr>
                <w:rFonts w:hint="eastAsia" w:ascii="方正书宋_GBK" w:eastAsia="方正书宋_GBK"/>
              </w:rPr>
              <w:t>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、专项维修</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510.00</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专项维修。</w:t>
            </w:r>
          </w:p>
        </w:tc>
        <w:tc>
          <w:tcPr>
            <w:tcW w:w="2976" w:type="dxa"/>
            <w:vMerge w:val="restart"/>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确保各种设施、设备运转正常</w:t>
            </w: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hint="eastAsia"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2976" w:type="dxa"/>
            <w:vMerge w:val="continue"/>
            <w:shd w:val="clear" w:color="auto" w:fill="auto"/>
            <w:vAlign w:val="center"/>
          </w:tcPr>
          <w:p>
            <w:pPr>
              <w:spacing w:line="300" w:lineRule="exact"/>
              <w:jc w:val="left"/>
              <w:rPr>
                <w:rFonts w:hint="eastAsia" w:ascii="方正书宋_GBK" w:eastAsia="方正书宋_GBK"/>
              </w:rPr>
            </w:pPr>
          </w:p>
        </w:tc>
        <w:tc>
          <w:tcPr>
            <w:tcW w:w="1417"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办公用房修缮改造完成率</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r>
    </w:tbl>
    <w:p>
      <w:pPr>
        <w:rPr>
          <w:rFonts w:ascii="仿宋_GB2312" w:eastAsia="仿宋_GB2312"/>
          <w:sz w:val="32"/>
          <w:szCs w:val="32"/>
        </w:rPr>
      </w:pPr>
    </w:p>
    <w:p>
      <w:pPr>
        <w:rPr>
          <w:rFonts w:ascii="仿宋_GB2312" w:eastAsia="仿宋_GB2312"/>
          <w:sz w:val="32"/>
          <w:szCs w:val="32"/>
        </w:rPr>
      </w:pPr>
    </w:p>
    <w:p>
      <w:pPr>
        <w:ind w:firstLine="643" w:firstLineChars="200"/>
      </w:pPr>
      <w:r>
        <w:rPr>
          <w:rFonts w:hint="eastAsia" w:ascii="宋体" w:hAnsi="宋体"/>
          <w:b/>
          <w:sz w:val="32"/>
          <w:szCs w:val="32"/>
        </w:rPr>
        <w:t>六、政府采购预算情况</w:t>
      </w:r>
    </w:p>
    <w:p>
      <w:pPr>
        <w:ind w:firstLine="640" w:firstLineChars="200"/>
        <w:jc w:val="left"/>
        <w:outlineLvl w:val="0"/>
        <w:rPr>
          <w:rFonts w:hint="eastAsia" w:ascii="方正小标宋_GBK" w:eastAsiaTheme="minorEastAsia"/>
          <w:sz w:val="32"/>
        </w:rPr>
      </w:pPr>
      <w:bookmarkStart w:id="1" w:name="_Toc486490522"/>
      <w:r>
        <w:rPr>
          <w:rFonts w:hint="eastAsia" w:ascii="方正小标宋_GBK" w:eastAsiaTheme="minorEastAsia"/>
          <w:sz w:val="32"/>
        </w:rPr>
        <w:t>201</w:t>
      </w:r>
      <w:r>
        <w:rPr>
          <w:rFonts w:hint="eastAsia" w:ascii="方正小标宋_GBK" w:eastAsiaTheme="minorEastAsia"/>
          <w:sz w:val="32"/>
          <w:lang w:val="en-US" w:eastAsia="zh-CN"/>
        </w:rPr>
        <w:t>9</w:t>
      </w:r>
      <w:r>
        <w:rPr>
          <w:rFonts w:hint="eastAsia" w:ascii="方正小标宋_GBK" w:eastAsiaTheme="minorEastAsia"/>
          <w:sz w:val="32"/>
        </w:rPr>
        <w:t>年我部门有</w:t>
      </w:r>
      <w:r>
        <w:rPr>
          <w:rFonts w:hint="eastAsia" w:ascii="方正小标宋_GBK" w:eastAsiaTheme="minorEastAsia"/>
          <w:sz w:val="32"/>
          <w:lang w:val="en-US" w:eastAsia="zh-CN"/>
        </w:rPr>
        <w:t>6</w:t>
      </w:r>
      <w:r>
        <w:rPr>
          <w:rFonts w:hint="eastAsia" w:ascii="方正小标宋_GBK" w:eastAsiaTheme="minorEastAsia"/>
          <w:sz w:val="32"/>
        </w:rPr>
        <w:t>个项目列入政府采购预算，总金额为</w:t>
      </w:r>
      <w:r>
        <w:rPr>
          <w:rFonts w:hint="eastAsia" w:ascii="方正小标宋_GBK" w:eastAsiaTheme="minorEastAsia"/>
          <w:sz w:val="32"/>
          <w:lang w:val="en-US" w:eastAsia="zh-CN"/>
        </w:rPr>
        <w:t>321.64</w:t>
      </w:r>
      <w:r>
        <w:rPr>
          <w:rFonts w:hint="eastAsia" w:ascii="方正小标宋_GBK" w:eastAsiaTheme="minorEastAsia"/>
          <w:sz w:val="32"/>
        </w:rPr>
        <w:t>万元，具体情况详见下表：</w:t>
      </w:r>
    </w:p>
    <w:p>
      <w:pPr>
        <w:jc w:val="center"/>
        <w:outlineLvl w:val="0"/>
        <w:rPr>
          <w:rFonts w:ascii="方正小标宋_GBK" w:eastAsia="方正小标宋_GBK"/>
          <w:sz w:val="32"/>
        </w:rPr>
      </w:pPr>
      <w:r>
        <w:rPr>
          <w:rFonts w:hint="eastAsia" w:ascii="方正小标宋_GBK" w:eastAsia="方正小标宋_GBK"/>
          <w:sz w:val="32"/>
        </w:rPr>
        <w:t>部门政府采购预算</w:t>
      </w:r>
      <w:bookmarkEnd w:id="1"/>
    </w:p>
    <w:tbl>
      <w:tblPr>
        <w:tblStyle w:val="8"/>
        <w:tblW w:w="1535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9"/>
        <w:gridCol w:w="1162"/>
        <w:gridCol w:w="965"/>
        <w:gridCol w:w="1054"/>
        <w:gridCol w:w="964"/>
        <w:gridCol w:w="964"/>
        <w:gridCol w:w="986"/>
        <w:gridCol w:w="964"/>
        <w:gridCol w:w="964"/>
        <w:gridCol w:w="964"/>
        <w:gridCol w:w="964"/>
        <w:gridCol w:w="964"/>
        <w:gridCol w:w="964"/>
        <w:gridCol w:w="9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664"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102</w:t>
            </w:r>
            <w:r>
              <w:rPr>
                <w:rFonts w:hint="eastAsia" w:ascii="方正小标宋_GBK" w:eastAsia="方正小标宋_GBK"/>
                <w:sz w:val="24"/>
              </w:rPr>
              <w:t>办公室</w:t>
            </w:r>
          </w:p>
        </w:tc>
        <w:tc>
          <w:tcPr>
            <w:tcW w:w="6693"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731" w:type="dxa"/>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65" w:type="dxa"/>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054" w:type="dxa"/>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964"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964"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86" w:type="dxa"/>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693" w:type="dxa"/>
            <w:gridSpan w:val="7"/>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569" w:type="dxa"/>
            <w:vMerge w:val="restar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62"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65" w:type="dxa"/>
            <w:vMerge w:val="continue"/>
            <w:vAlign w:val="center"/>
          </w:tcPr>
          <w:p>
            <w:pPr>
              <w:spacing w:line="300" w:lineRule="exact"/>
              <w:jc w:val="left"/>
              <w:outlineLvl w:val="0"/>
            </w:pPr>
          </w:p>
        </w:tc>
        <w:tc>
          <w:tcPr>
            <w:tcW w:w="1054" w:type="dxa"/>
            <w:vMerge w:val="continue"/>
            <w:vAlign w:val="center"/>
          </w:tcPr>
          <w:p>
            <w:pPr>
              <w:spacing w:line="300" w:lineRule="exact"/>
              <w:jc w:val="left"/>
              <w:outlineLvl w:val="0"/>
            </w:pPr>
          </w:p>
        </w:tc>
        <w:tc>
          <w:tcPr>
            <w:tcW w:w="964" w:type="dxa"/>
            <w:vMerge w:val="continue"/>
            <w:vAlign w:val="center"/>
          </w:tcPr>
          <w:p>
            <w:pPr>
              <w:spacing w:line="300" w:lineRule="exact"/>
              <w:jc w:val="left"/>
              <w:outlineLvl w:val="0"/>
            </w:pPr>
          </w:p>
        </w:tc>
        <w:tc>
          <w:tcPr>
            <w:tcW w:w="964" w:type="dxa"/>
            <w:vMerge w:val="continue"/>
            <w:vAlign w:val="center"/>
          </w:tcPr>
          <w:p>
            <w:pPr>
              <w:spacing w:line="300" w:lineRule="exact"/>
              <w:jc w:val="left"/>
              <w:outlineLvl w:val="0"/>
            </w:pPr>
          </w:p>
        </w:tc>
        <w:tc>
          <w:tcPr>
            <w:tcW w:w="986" w:type="dxa"/>
            <w:vMerge w:val="continue"/>
            <w:vAlign w:val="center"/>
          </w:tcPr>
          <w:p>
            <w:pPr>
              <w:spacing w:line="300" w:lineRule="exact"/>
              <w:jc w:val="left"/>
              <w:outlineLvl w:val="0"/>
            </w:pPr>
          </w:p>
        </w:tc>
        <w:tc>
          <w:tcPr>
            <w:tcW w:w="964" w:type="dxa"/>
            <w:vMerge w:val="restart"/>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820" w:type="dxa"/>
            <w:gridSpan w:val="5"/>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09" w:type="dxa"/>
            <w:vMerge w:val="restart"/>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blHeader/>
          <w:jc w:val="center"/>
        </w:trPr>
        <w:tc>
          <w:tcPr>
            <w:tcW w:w="2569" w:type="dxa"/>
            <w:vMerge w:val="continue"/>
            <w:vAlign w:val="center"/>
          </w:tcPr>
          <w:p>
            <w:pPr>
              <w:spacing w:line="300" w:lineRule="exact"/>
              <w:jc w:val="left"/>
              <w:outlineLvl w:val="0"/>
            </w:pPr>
          </w:p>
        </w:tc>
        <w:tc>
          <w:tcPr>
            <w:tcW w:w="1162" w:type="dxa"/>
            <w:vMerge w:val="continue"/>
            <w:vAlign w:val="center"/>
          </w:tcPr>
          <w:p>
            <w:pPr>
              <w:spacing w:line="300" w:lineRule="exact"/>
              <w:jc w:val="left"/>
              <w:outlineLvl w:val="0"/>
            </w:pPr>
          </w:p>
        </w:tc>
        <w:tc>
          <w:tcPr>
            <w:tcW w:w="965" w:type="dxa"/>
            <w:vMerge w:val="continue"/>
            <w:vAlign w:val="center"/>
          </w:tcPr>
          <w:p>
            <w:pPr>
              <w:spacing w:line="300" w:lineRule="exact"/>
              <w:jc w:val="left"/>
              <w:outlineLvl w:val="0"/>
            </w:pPr>
          </w:p>
        </w:tc>
        <w:tc>
          <w:tcPr>
            <w:tcW w:w="1054" w:type="dxa"/>
            <w:vMerge w:val="continue"/>
            <w:vAlign w:val="center"/>
          </w:tcPr>
          <w:p>
            <w:pPr>
              <w:spacing w:line="300" w:lineRule="exact"/>
              <w:jc w:val="left"/>
              <w:outlineLvl w:val="0"/>
            </w:pPr>
          </w:p>
        </w:tc>
        <w:tc>
          <w:tcPr>
            <w:tcW w:w="964" w:type="dxa"/>
            <w:vMerge w:val="continue"/>
            <w:vAlign w:val="center"/>
          </w:tcPr>
          <w:p>
            <w:pPr>
              <w:spacing w:line="300" w:lineRule="exact"/>
              <w:jc w:val="left"/>
              <w:outlineLvl w:val="0"/>
            </w:pPr>
          </w:p>
        </w:tc>
        <w:tc>
          <w:tcPr>
            <w:tcW w:w="964" w:type="dxa"/>
            <w:vMerge w:val="continue"/>
            <w:vAlign w:val="center"/>
          </w:tcPr>
          <w:p>
            <w:pPr>
              <w:spacing w:line="300" w:lineRule="exact"/>
              <w:jc w:val="left"/>
              <w:outlineLvl w:val="0"/>
            </w:pPr>
          </w:p>
        </w:tc>
        <w:tc>
          <w:tcPr>
            <w:tcW w:w="986" w:type="dxa"/>
            <w:vMerge w:val="continue"/>
            <w:vAlign w:val="center"/>
          </w:tcPr>
          <w:p>
            <w:pPr>
              <w:spacing w:line="300" w:lineRule="exact"/>
              <w:jc w:val="left"/>
              <w:outlineLvl w:val="0"/>
            </w:pPr>
          </w:p>
        </w:tc>
        <w:tc>
          <w:tcPr>
            <w:tcW w:w="964" w:type="dxa"/>
            <w:vMerge w:val="continue"/>
            <w:vAlign w:val="center"/>
          </w:tcPr>
          <w:p>
            <w:pPr>
              <w:spacing w:line="300" w:lineRule="exact"/>
              <w:jc w:val="left"/>
              <w:outlineLvl w:val="0"/>
            </w:pPr>
          </w:p>
        </w:tc>
        <w:tc>
          <w:tcPr>
            <w:tcW w:w="964" w:type="dxa"/>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64" w:type="dxa"/>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64" w:type="dxa"/>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64" w:type="dxa"/>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64" w:type="dxa"/>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09" w:type="dxa"/>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69" w:type="dxa"/>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162" w:type="dxa"/>
            <w:vAlign w:val="center"/>
          </w:tcPr>
          <w:p>
            <w:pPr>
              <w:spacing w:line="300" w:lineRule="exact"/>
              <w:jc w:val="right"/>
              <w:rPr>
                <w:rFonts w:ascii="方正书宋_GBK" w:eastAsia="方正书宋_GBK"/>
                <w:b/>
              </w:rPr>
            </w:pPr>
          </w:p>
        </w:tc>
        <w:tc>
          <w:tcPr>
            <w:tcW w:w="965" w:type="dxa"/>
            <w:vAlign w:val="center"/>
          </w:tcPr>
          <w:p>
            <w:pPr>
              <w:spacing w:line="300" w:lineRule="exact"/>
              <w:jc w:val="left"/>
              <w:rPr>
                <w:rFonts w:ascii="方正书宋_GBK" w:eastAsia="方正书宋_GBK"/>
                <w:b/>
              </w:rPr>
            </w:pPr>
          </w:p>
        </w:tc>
        <w:tc>
          <w:tcPr>
            <w:tcW w:w="1054" w:type="dxa"/>
            <w:vAlign w:val="center"/>
          </w:tcPr>
          <w:p>
            <w:pPr>
              <w:spacing w:line="300" w:lineRule="exact"/>
              <w:jc w:val="left"/>
              <w:rPr>
                <w:rFonts w:ascii="方正书宋_GBK" w:eastAsia="方正书宋_GBK"/>
                <w:b/>
              </w:rPr>
            </w:pPr>
          </w:p>
        </w:tc>
        <w:tc>
          <w:tcPr>
            <w:tcW w:w="964" w:type="dxa"/>
            <w:vAlign w:val="center"/>
          </w:tcPr>
          <w:p>
            <w:pPr>
              <w:spacing w:line="300" w:lineRule="exact"/>
              <w:jc w:val="left"/>
              <w:rPr>
                <w:rFonts w:ascii="方正书宋_GBK" w:eastAsia="方正书宋_GBK"/>
                <w:b/>
              </w:rPr>
            </w:pPr>
          </w:p>
        </w:tc>
        <w:tc>
          <w:tcPr>
            <w:tcW w:w="964" w:type="dxa"/>
            <w:vAlign w:val="center"/>
          </w:tcPr>
          <w:p>
            <w:pPr>
              <w:spacing w:line="300" w:lineRule="exact"/>
              <w:jc w:val="right"/>
              <w:rPr>
                <w:rFonts w:ascii="方正书宋_GBK" w:eastAsia="方正书宋_GBK"/>
                <w:b/>
              </w:rPr>
            </w:pPr>
          </w:p>
        </w:tc>
        <w:tc>
          <w:tcPr>
            <w:tcW w:w="986" w:type="dxa"/>
            <w:vAlign w:val="center"/>
          </w:tcPr>
          <w:p>
            <w:pPr>
              <w:spacing w:line="300" w:lineRule="exact"/>
              <w:jc w:val="right"/>
              <w:rPr>
                <w:rFonts w:ascii="方正书宋_GBK" w:eastAsia="方正书宋_GBK"/>
                <w:b/>
              </w:rPr>
            </w:pPr>
          </w:p>
        </w:tc>
        <w:tc>
          <w:tcPr>
            <w:tcW w:w="964" w:type="dxa"/>
            <w:vAlign w:val="center"/>
          </w:tcPr>
          <w:p>
            <w:pPr>
              <w:spacing w:line="300" w:lineRule="exact"/>
              <w:jc w:val="right"/>
              <w:rPr>
                <w:rFonts w:ascii="方正书宋_GBK" w:eastAsia="方正书宋_GBK"/>
                <w:b/>
              </w:rPr>
            </w:pPr>
          </w:p>
        </w:tc>
        <w:tc>
          <w:tcPr>
            <w:tcW w:w="964" w:type="dxa"/>
            <w:vAlign w:val="center"/>
          </w:tcPr>
          <w:p>
            <w:pPr>
              <w:spacing w:line="300" w:lineRule="exact"/>
              <w:jc w:val="right"/>
              <w:rPr>
                <w:rFonts w:ascii="方正书宋_GBK" w:eastAsia="方正书宋_GBK"/>
                <w:b/>
              </w:rPr>
            </w:pPr>
          </w:p>
        </w:tc>
        <w:tc>
          <w:tcPr>
            <w:tcW w:w="964" w:type="dxa"/>
            <w:vAlign w:val="center"/>
          </w:tcPr>
          <w:p>
            <w:pPr>
              <w:spacing w:line="300" w:lineRule="exact"/>
              <w:jc w:val="right"/>
              <w:rPr>
                <w:rFonts w:ascii="方正书宋_GBK" w:eastAsia="方正书宋_GBK"/>
                <w:b/>
              </w:rPr>
            </w:pPr>
          </w:p>
        </w:tc>
        <w:tc>
          <w:tcPr>
            <w:tcW w:w="964" w:type="dxa"/>
            <w:vAlign w:val="center"/>
          </w:tcPr>
          <w:p>
            <w:pPr>
              <w:spacing w:line="300" w:lineRule="exact"/>
              <w:jc w:val="right"/>
              <w:rPr>
                <w:rFonts w:ascii="方正书宋_GBK" w:eastAsia="方正书宋_GBK"/>
                <w:b/>
              </w:rPr>
            </w:pPr>
          </w:p>
        </w:tc>
        <w:tc>
          <w:tcPr>
            <w:tcW w:w="964" w:type="dxa"/>
            <w:vAlign w:val="center"/>
          </w:tcPr>
          <w:p>
            <w:pPr>
              <w:spacing w:line="300" w:lineRule="exact"/>
              <w:jc w:val="right"/>
              <w:rPr>
                <w:rFonts w:ascii="方正书宋_GBK" w:eastAsia="方正书宋_GBK"/>
                <w:b/>
              </w:rPr>
            </w:pPr>
          </w:p>
        </w:tc>
        <w:tc>
          <w:tcPr>
            <w:tcW w:w="964" w:type="dxa"/>
            <w:vAlign w:val="center"/>
          </w:tcPr>
          <w:p>
            <w:pPr>
              <w:spacing w:line="300" w:lineRule="exact"/>
              <w:jc w:val="right"/>
              <w:rPr>
                <w:rFonts w:ascii="方正书宋_GBK" w:eastAsia="方正书宋_GBK"/>
                <w:b/>
              </w:rPr>
            </w:pPr>
          </w:p>
        </w:tc>
        <w:tc>
          <w:tcPr>
            <w:tcW w:w="909"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69" w:type="dxa"/>
            <w:vAlign w:val="center"/>
          </w:tcPr>
          <w:p>
            <w:pPr>
              <w:spacing w:line="300" w:lineRule="exact"/>
              <w:jc w:val="center"/>
              <w:rPr>
                <w:rFonts w:ascii="方正书宋_GBK" w:eastAsia="方正书宋_GBK"/>
                <w:b/>
              </w:rPr>
            </w:pPr>
            <w:r>
              <w:rPr>
                <w:rFonts w:hint="eastAsia" w:ascii="方正书宋_GBK" w:eastAsia="方正书宋_GBK"/>
                <w:b/>
              </w:rPr>
              <w:t>办公室小计</w:t>
            </w:r>
          </w:p>
        </w:tc>
        <w:tc>
          <w:tcPr>
            <w:tcW w:w="1162" w:type="dxa"/>
            <w:vAlign w:val="center"/>
          </w:tcPr>
          <w:p>
            <w:pPr>
              <w:spacing w:line="300" w:lineRule="exact"/>
              <w:jc w:val="right"/>
              <w:rPr>
                <w:rFonts w:ascii="方正书宋_GBK" w:eastAsia="方正书宋_GBK"/>
                <w:b/>
              </w:rPr>
            </w:pPr>
          </w:p>
        </w:tc>
        <w:tc>
          <w:tcPr>
            <w:tcW w:w="965" w:type="dxa"/>
            <w:vAlign w:val="center"/>
          </w:tcPr>
          <w:p>
            <w:pPr>
              <w:spacing w:line="300" w:lineRule="exact"/>
              <w:jc w:val="left"/>
              <w:rPr>
                <w:rFonts w:ascii="方正书宋_GBK" w:eastAsia="方正书宋_GBK"/>
                <w:b/>
              </w:rPr>
            </w:pPr>
          </w:p>
        </w:tc>
        <w:tc>
          <w:tcPr>
            <w:tcW w:w="1054" w:type="dxa"/>
            <w:vAlign w:val="center"/>
          </w:tcPr>
          <w:p>
            <w:pPr>
              <w:spacing w:line="300" w:lineRule="exact"/>
              <w:jc w:val="left"/>
              <w:rPr>
                <w:rFonts w:ascii="方正书宋_GBK" w:eastAsia="方正书宋_GBK"/>
                <w:b/>
              </w:rPr>
            </w:pPr>
          </w:p>
        </w:tc>
        <w:tc>
          <w:tcPr>
            <w:tcW w:w="964" w:type="dxa"/>
            <w:vAlign w:val="center"/>
          </w:tcPr>
          <w:p>
            <w:pPr>
              <w:spacing w:line="300" w:lineRule="exact"/>
              <w:jc w:val="left"/>
              <w:rPr>
                <w:rFonts w:ascii="方正书宋_GBK" w:eastAsia="方正书宋_GBK"/>
                <w:b/>
              </w:rPr>
            </w:pPr>
          </w:p>
        </w:tc>
        <w:tc>
          <w:tcPr>
            <w:tcW w:w="964" w:type="dxa"/>
            <w:vAlign w:val="center"/>
          </w:tcPr>
          <w:p>
            <w:pPr>
              <w:spacing w:line="300" w:lineRule="exact"/>
              <w:jc w:val="right"/>
              <w:rPr>
                <w:rFonts w:ascii="方正书宋_GBK" w:eastAsia="方正书宋_GBK"/>
                <w:b/>
              </w:rPr>
            </w:pPr>
          </w:p>
        </w:tc>
        <w:tc>
          <w:tcPr>
            <w:tcW w:w="986" w:type="dxa"/>
            <w:vAlign w:val="center"/>
          </w:tcPr>
          <w:p>
            <w:pPr>
              <w:spacing w:line="300" w:lineRule="exact"/>
              <w:jc w:val="right"/>
              <w:rPr>
                <w:rFonts w:ascii="方正书宋_GBK" w:eastAsia="方正书宋_GBK"/>
                <w:b/>
              </w:rPr>
            </w:pPr>
          </w:p>
        </w:tc>
        <w:tc>
          <w:tcPr>
            <w:tcW w:w="964" w:type="dxa"/>
            <w:vAlign w:val="center"/>
          </w:tcPr>
          <w:p>
            <w:pPr>
              <w:spacing w:line="300" w:lineRule="exact"/>
              <w:jc w:val="right"/>
              <w:rPr>
                <w:rFonts w:hint="eastAsia" w:ascii="方正书宋_GBK" w:eastAsia="方正书宋_GBK"/>
                <w:b/>
                <w:lang w:val="en-US" w:eastAsia="zh-CN"/>
              </w:rPr>
            </w:pPr>
            <w:r>
              <w:rPr>
                <w:rFonts w:hint="eastAsia" w:ascii="方正书宋_GBK" w:eastAsia="方正书宋_GBK"/>
                <w:b/>
                <w:lang w:val="en-US" w:eastAsia="zh-CN"/>
              </w:rPr>
              <w:t>321.64</w:t>
            </w:r>
          </w:p>
        </w:tc>
        <w:tc>
          <w:tcPr>
            <w:tcW w:w="964" w:type="dxa"/>
            <w:vAlign w:val="center"/>
          </w:tcPr>
          <w:p>
            <w:pPr>
              <w:spacing w:line="300" w:lineRule="exact"/>
              <w:jc w:val="right"/>
              <w:rPr>
                <w:rFonts w:ascii="方正书宋_GBK" w:eastAsia="方正书宋_GBK"/>
                <w:b/>
              </w:rPr>
            </w:pPr>
            <w:r>
              <w:rPr>
                <w:rFonts w:hint="eastAsia" w:ascii="方正书宋_GBK" w:eastAsia="方正书宋_GBK"/>
                <w:b/>
                <w:lang w:val="en-US" w:eastAsia="zh-CN"/>
              </w:rPr>
              <w:t>321.64</w:t>
            </w:r>
          </w:p>
        </w:tc>
        <w:tc>
          <w:tcPr>
            <w:tcW w:w="964" w:type="dxa"/>
            <w:vAlign w:val="center"/>
          </w:tcPr>
          <w:p>
            <w:pPr>
              <w:spacing w:line="300" w:lineRule="exact"/>
              <w:jc w:val="right"/>
              <w:rPr>
                <w:rFonts w:ascii="方正书宋_GBK" w:eastAsia="方正书宋_GBK"/>
                <w:b/>
              </w:rPr>
            </w:pPr>
            <w:r>
              <w:rPr>
                <w:rFonts w:hint="eastAsia" w:ascii="方正书宋_GBK" w:eastAsia="方正书宋_GBK"/>
                <w:b/>
                <w:lang w:val="en-US" w:eastAsia="zh-CN"/>
              </w:rPr>
              <w:t>321.64</w:t>
            </w:r>
          </w:p>
        </w:tc>
        <w:tc>
          <w:tcPr>
            <w:tcW w:w="964" w:type="dxa"/>
            <w:vAlign w:val="center"/>
          </w:tcPr>
          <w:p>
            <w:pPr>
              <w:spacing w:line="300" w:lineRule="exact"/>
              <w:jc w:val="right"/>
              <w:rPr>
                <w:rFonts w:ascii="方正书宋_GBK" w:eastAsia="方正书宋_GBK"/>
                <w:b/>
              </w:rPr>
            </w:pPr>
          </w:p>
        </w:tc>
        <w:tc>
          <w:tcPr>
            <w:tcW w:w="964" w:type="dxa"/>
            <w:vAlign w:val="center"/>
          </w:tcPr>
          <w:p>
            <w:pPr>
              <w:spacing w:line="300" w:lineRule="exact"/>
              <w:jc w:val="right"/>
              <w:rPr>
                <w:rFonts w:ascii="方正书宋_GBK" w:eastAsia="方正书宋_GBK"/>
                <w:b/>
              </w:rPr>
            </w:pPr>
          </w:p>
        </w:tc>
        <w:tc>
          <w:tcPr>
            <w:tcW w:w="964" w:type="dxa"/>
            <w:vAlign w:val="center"/>
          </w:tcPr>
          <w:p>
            <w:pPr>
              <w:spacing w:line="300" w:lineRule="exact"/>
              <w:jc w:val="right"/>
              <w:rPr>
                <w:rFonts w:ascii="方正书宋_GBK" w:eastAsia="方正书宋_GBK"/>
                <w:b/>
              </w:rPr>
            </w:pPr>
          </w:p>
        </w:tc>
        <w:tc>
          <w:tcPr>
            <w:tcW w:w="909"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69"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信息网络维护费</w:t>
            </w:r>
          </w:p>
        </w:tc>
        <w:tc>
          <w:tcPr>
            <w:tcW w:w="1162" w:type="dxa"/>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65.00</w:t>
            </w:r>
          </w:p>
        </w:tc>
        <w:tc>
          <w:tcPr>
            <w:tcW w:w="965"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计算机网络设备</w:t>
            </w:r>
          </w:p>
        </w:tc>
        <w:tc>
          <w:tcPr>
            <w:tcW w:w="1054" w:type="dxa"/>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A020102</w:t>
            </w:r>
          </w:p>
        </w:tc>
        <w:tc>
          <w:tcPr>
            <w:tcW w:w="964" w:type="dxa"/>
            <w:vAlign w:val="center"/>
          </w:tcPr>
          <w:p>
            <w:pPr>
              <w:spacing w:line="300" w:lineRule="exact"/>
              <w:jc w:val="left"/>
              <w:rPr>
                <w:rFonts w:ascii="方正书宋_GBK" w:eastAsia="方正书宋_GBK"/>
              </w:rPr>
            </w:pPr>
          </w:p>
        </w:tc>
        <w:tc>
          <w:tcPr>
            <w:tcW w:w="964" w:type="dxa"/>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1</w:t>
            </w:r>
          </w:p>
        </w:tc>
        <w:tc>
          <w:tcPr>
            <w:tcW w:w="986" w:type="dxa"/>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8.00</w:t>
            </w:r>
          </w:p>
        </w:tc>
        <w:tc>
          <w:tcPr>
            <w:tcW w:w="964" w:type="dxa"/>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8.00</w:t>
            </w:r>
          </w:p>
        </w:tc>
        <w:tc>
          <w:tcPr>
            <w:tcW w:w="964" w:type="dxa"/>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8.00</w:t>
            </w:r>
          </w:p>
        </w:tc>
        <w:tc>
          <w:tcPr>
            <w:tcW w:w="964" w:type="dxa"/>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8.00</w:t>
            </w:r>
          </w:p>
        </w:tc>
        <w:tc>
          <w:tcPr>
            <w:tcW w:w="964" w:type="dxa"/>
            <w:vAlign w:val="center"/>
          </w:tcPr>
          <w:p>
            <w:pPr>
              <w:spacing w:line="300" w:lineRule="exact"/>
              <w:jc w:val="right"/>
              <w:rPr>
                <w:rFonts w:ascii="方正书宋_GBK" w:eastAsia="方正书宋_GBK"/>
              </w:rPr>
            </w:pPr>
          </w:p>
        </w:tc>
        <w:tc>
          <w:tcPr>
            <w:tcW w:w="964" w:type="dxa"/>
            <w:vAlign w:val="center"/>
          </w:tcPr>
          <w:p>
            <w:pPr>
              <w:spacing w:line="300" w:lineRule="exact"/>
              <w:jc w:val="right"/>
              <w:rPr>
                <w:rFonts w:ascii="方正书宋_GBK" w:eastAsia="方正书宋_GBK"/>
              </w:rPr>
            </w:pPr>
          </w:p>
        </w:tc>
        <w:tc>
          <w:tcPr>
            <w:tcW w:w="964" w:type="dxa"/>
            <w:vAlign w:val="center"/>
          </w:tcPr>
          <w:p>
            <w:pPr>
              <w:spacing w:line="300" w:lineRule="exact"/>
              <w:jc w:val="right"/>
              <w:rPr>
                <w:rFonts w:ascii="方正书宋_GBK" w:eastAsia="方正书宋_GBK"/>
              </w:rPr>
            </w:pPr>
          </w:p>
        </w:tc>
        <w:tc>
          <w:tcPr>
            <w:tcW w:w="909"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569" w:type="dxa"/>
            <w:vAlign w:val="center"/>
          </w:tcPr>
          <w:p>
            <w:pPr>
              <w:spacing w:line="300" w:lineRule="exact"/>
              <w:jc w:val="left"/>
              <w:rPr>
                <w:rFonts w:ascii="方正书宋_GBK" w:eastAsia="方正书宋_GBK"/>
              </w:rPr>
            </w:pPr>
            <w:r>
              <w:rPr>
                <w:rFonts w:hint="eastAsia" w:ascii="方正书宋_GBK" w:eastAsia="方正书宋_GBK"/>
                <w:lang w:eastAsia="zh-CN"/>
              </w:rPr>
              <w:t>信息网络维护费</w:t>
            </w:r>
          </w:p>
        </w:tc>
        <w:tc>
          <w:tcPr>
            <w:tcW w:w="1162"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65.00</w:t>
            </w:r>
          </w:p>
        </w:tc>
        <w:tc>
          <w:tcPr>
            <w:tcW w:w="965"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工程</w:t>
            </w:r>
          </w:p>
        </w:tc>
        <w:tc>
          <w:tcPr>
            <w:tcW w:w="1054" w:type="dxa"/>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B</w:t>
            </w:r>
          </w:p>
        </w:tc>
        <w:tc>
          <w:tcPr>
            <w:tcW w:w="964" w:type="dxa"/>
            <w:vAlign w:val="center"/>
          </w:tcPr>
          <w:p>
            <w:pPr>
              <w:spacing w:line="300" w:lineRule="exact"/>
              <w:jc w:val="left"/>
              <w:rPr>
                <w:rFonts w:ascii="方正书宋_GBK" w:eastAsia="方正书宋_GBK"/>
              </w:rPr>
            </w:pPr>
          </w:p>
        </w:tc>
        <w:tc>
          <w:tcPr>
            <w:tcW w:w="964" w:type="dxa"/>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1</w:t>
            </w:r>
          </w:p>
        </w:tc>
        <w:tc>
          <w:tcPr>
            <w:tcW w:w="986" w:type="dxa"/>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50.00</w:t>
            </w:r>
          </w:p>
        </w:tc>
        <w:tc>
          <w:tcPr>
            <w:tcW w:w="964" w:type="dxa"/>
            <w:vAlign w:val="center"/>
          </w:tcPr>
          <w:p>
            <w:pPr>
              <w:spacing w:line="300" w:lineRule="exact"/>
              <w:jc w:val="both"/>
              <w:rPr>
                <w:rFonts w:ascii="方正书宋_GBK" w:eastAsia="方正书宋_GBK"/>
              </w:rPr>
            </w:pPr>
            <w:r>
              <w:rPr>
                <w:rFonts w:hint="eastAsia" w:ascii="方正书宋_GBK" w:eastAsia="方正书宋_GBK"/>
                <w:lang w:val="en-US" w:eastAsia="zh-CN"/>
              </w:rPr>
              <w:t>50.00</w:t>
            </w:r>
          </w:p>
        </w:tc>
        <w:tc>
          <w:tcPr>
            <w:tcW w:w="964" w:type="dxa"/>
            <w:vAlign w:val="center"/>
          </w:tcPr>
          <w:p>
            <w:pPr>
              <w:spacing w:line="300" w:lineRule="exact"/>
              <w:jc w:val="both"/>
              <w:rPr>
                <w:rFonts w:ascii="方正书宋_GBK" w:eastAsia="方正书宋_GBK"/>
              </w:rPr>
            </w:pPr>
            <w:r>
              <w:rPr>
                <w:rFonts w:hint="eastAsia" w:ascii="方正书宋_GBK" w:eastAsia="方正书宋_GBK"/>
                <w:lang w:val="en-US" w:eastAsia="zh-CN"/>
              </w:rPr>
              <w:t>50.00</w:t>
            </w:r>
          </w:p>
        </w:tc>
        <w:tc>
          <w:tcPr>
            <w:tcW w:w="964" w:type="dxa"/>
            <w:vAlign w:val="center"/>
          </w:tcPr>
          <w:p>
            <w:pPr>
              <w:spacing w:line="300" w:lineRule="exact"/>
              <w:jc w:val="right"/>
              <w:rPr>
                <w:rFonts w:ascii="方正书宋_GBK" w:eastAsia="方正书宋_GBK"/>
              </w:rPr>
            </w:pPr>
            <w:r>
              <w:rPr>
                <w:rFonts w:hint="eastAsia" w:ascii="方正书宋_GBK" w:eastAsia="方正书宋_GBK"/>
                <w:lang w:val="en-US" w:eastAsia="zh-CN"/>
              </w:rPr>
              <w:t>50.00</w:t>
            </w:r>
          </w:p>
        </w:tc>
        <w:tc>
          <w:tcPr>
            <w:tcW w:w="964" w:type="dxa"/>
            <w:vAlign w:val="center"/>
          </w:tcPr>
          <w:p>
            <w:pPr>
              <w:spacing w:line="300" w:lineRule="exact"/>
              <w:jc w:val="right"/>
              <w:rPr>
                <w:rFonts w:ascii="方正书宋_GBK" w:eastAsia="方正书宋_GBK"/>
              </w:rPr>
            </w:pPr>
          </w:p>
        </w:tc>
        <w:tc>
          <w:tcPr>
            <w:tcW w:w="964" w:type="dxa"/>
            <w:vAlign w:val="center"/>
          </w:tcPr>
          <w:p>
            <w:pPr>
              <w:spacing w:line="300" w:lineRule="exact"/>
              <w:jc w:val="right"/>
              <w:rPr>
                <w:rFonts w:ascii="方正书宋_GBK" w:eastAsia="方正书宋_GBK"/>
              </w:rPr>
            </w:pPr>
          </w:p>
        </w:tc>
        <w:tc>
          <w:tcPr>
            <w:tcW w:w="964" w:type="dxa"/>
            <w:vAlign w:val="center"/>
          </w:tcPr>
          <w:p>
            <w:pPr>
              <w:spacing w:line="300" w:lineRule="exact"/>
              <w:jc w:val="right"/>
              <w:rPr>
                <w:rFonts w:ascii="方正书宋_GBK" w:eastAsia="方正书宋_GBK"/>
              </w:rPr>
            </w:pPr>
          </w:p>
        </w:tc>
        <w:tc>
          <w:tcPr>
            <w:tcW w:w="909"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40" w:hRule="atLeast"/>
          <w:jc w:val="center"/>
        </w:trPr>
        <w:tc>
          <w:tcPr>
            <w:tcW w:w="2569"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档案用品购置费</w:t>
            </w:r>
          </w:p>
        </w:tc>
        <w:tc>
          <w:tcPr>
            <w:tcW w:w="1162" w:type="dxa"/>
            <w:vAlign w:val="center"/>
          </w:tcPr>
          <w:p>
            <w:pPr>
              <w:spacing w:line="300" w:lineRule="exact"/>
              <w:jc w:val="both"/>
              <w:rPr>
                <w:rFonts w:hint="eastAsia" w:ascii="方正书宋_GBK" w:eastAsia="方正书宋_GBK"/>
                <w:lang w:val="en-US" w:eastAsia="zh-CN"/>
              </w:rPr>
            </w:pPr>
            <w:r>
              <w:rPr>
                <w:rFonts w:hint="eastAsia" w:ascii="方正书宋_GBK" w:eastAsia="方正书宋_GBK"/>
                <w:lang w:val="en-US" w:eastAsia="zh-CN"/>
              </w:rPr>
              <w:t>13</w:t>
            </w:r>
          </w:p>
        </w:tc>
        <w:tc>
          <w:tcPr>
            <w:tcW w:w="965"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通用设备</w:t>
            </w:r>
          </w:p>
        </w:tc>
        <w:tc>
          <w:tcPr>
            <w:tcW w:w="1054" w:type="dxa"/>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A02</w:t>
            </w:r>
          </w:p>
        </w:tc>
        <w:tc>
          <w:tcPr>
            <w:tcW w:w="964" w:type="dxa"/>
            <w:vAlign w:val="center"/>
          </w:tcPr>
          <w:p>
            <w:pPr>
              <w:spacing w:line="300" w:lineRule="exact"/>
              <w:jc w:val="left"/>
              <w:rPr>
                <w:rFonts w:ascii="方正书宋_GBK" w:eastAsia="方正书宋_GBK"/>
              </w:rPr>
            </w:pPr>
          </w:p>
        </w:tc>
        <w:tc>
          <w:tcPr>
            <w:tcW w:w="964" w:type="dxa"/>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1</w:t>
            </w:r>
          </w:p>
        </w:tc>
        <w:tc>
          <w:tcPr>
            <w:tcW w:w="986" w:type="dxa"/>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2.24</w:t>
            </w:r>
          </w:p>
        </w:tc>
        <w:tc>
          <w:tcPr>
            <w:tcW w:w="964" w:type="dxa"/>
            <w:vAlign w:val="center"/>
          </w:tcPr>
          <w:p>
            <w:pPr>
              <w:spacing w:line="300" w:lineRule="exact"/>
              <w:jc w:val="right"/>
              <w:rPr>
                <w:rFonts w:ascii="方正书宋_GBK" w:eastAsia="方正书宋_GBK"/>
              </w:rPr>
            </w:pPr>
            <w:r>
              <w:rPr>
                <w:rFonts w:hint="eastAsia" w:ascii="方正书宋_GBK" w:eastAsia="方正书宋_GBK"/>
                <w:lang w:val="en-US" w:eastAsia="zh-CN"/>
              </w:rPr>
              <w:t>2.24</w:t>
            </w:r>
          </w:p>
        </w:tc>
        <w:tc>
          <w:tcPr>
            <w:tcW w:w="964" w:type="dxa"/>
            <w:vAlign w:val="center"/>
          </w:tcPr>
          <w:p>
            <w:pPr>
              <w:spacing w:line="300" w:lineRule="exact"/>
              <w:jc w:val="both"/>
              <w:rPr>
                <w:rFonts w:ascii="方正书宋_GBK" w:eastAsia="方正书宋_GBK"/>
              </w:rPr>
            </w:pPr>
            <w:r>
              <w:rPr>
                <w:rFonts w:hint="eastAsia" w:ascii="方正书宋_GBK" w:eastAsia="方正书宋_GBK"/>
                <w:lang w:val="en-US" w:eastAsia="zh-CN"/>
              </w:rPr>
              <w:t>2.24</w:t>
            </w:r>
          </w:p>
        </w:tc>
        <w:tc>
          <w:tcPr>
            <w:tcW w:w="964" w:type="dxa"/>
            <w:vAlign w:val="center"/>
          </w:tcPr>
          <w:p>
            <w:pPr>
              <w:spacing w:line="300" w:lineRule="exact"/>
              <w:jc w:val="center"/>
              <w:rPr>
                <w:rFonts w:ascii="方正书宋_GBK" w:eastAsia="方正书宋_GBK"/>
              </w:rPr>
            </w:pPr>
            <w:r>
              <w:rPr>
                <w:rFonts w:hint="eastAsia" w:ascii="方正书宋_GBK" w:eastAsia="方正书宋_GBK"/>
                <w:lang w:val="en-US" w:eastAsia="zh-CN"/>
              </w:rPr>
              <w:t>2.24</w:t>
            </w:r>
          </w:p>
        </w:tc>
        <w:tc>
          <w:tcPr>
            <w:tcW w:w="964" w:type="dxa"/>
            <w:vAlign w:val="center"/>
          </w:tcPr>
          <w:p>
            <w:pPr>
              <w:spacing w:line="300" w:lineRule="exact"/>
              <w:jc w:val="right"/>
              <w:rPr>
                <w:rFonts w:ascii="方正书宋_GBK" w:eastAsia="方正书宋_GBK"/>
              </w:rPr>
            </w:pPr>
          </w:p>
        </w:tc>
        <w:tc>
          <w:tcPr>
            <w:tcW w:w="964" w:type="dxa"/>
            <w:vAlign w:val="center"/>
          </w:tcPr>
          <w:p>
            <w:pPr>
              <w:spacing w:line="300" w:lineRule="exact"/>
              <w:jc w:val="right"/>
              <w:rPr>
                <w:rFonts w:ascii="方正书宋_GBK" w:eastAsia="方正书宋_GBK"/>
              </w:rPr>
            </w:pPr>
          </w:p>
        </w:tc>
        <w:tc>
          <w:tcPr>
            <w:tcW w:w="964" w:type="dxa"/>
            <w:vAlign w:val="center"/>
          </w:tcPr>
          <w:p>
            <w:pPr>
              <w:spacing w:line="300" w:lineRule="exact"/>
              <w:jc w:val="right"/>
              <w:rPr>
                <w:rFonts w:ascii="方正书宋_GBK" w:eastAsia="方正书宋_GBK"/>
              </w:rPr>
            </w:pPr>
          </w:p>
        </w:tc>
        <w:tc>
          <w:tcPr>
            <w:tcW w:w="909"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69"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车辆购置经费</w:t>
            </w:r>
          </w:p>
        </w:tc>
        <w:tc>
          <w:tcPr>
            <w:tcW w:w="1162" w:type="dxa"/>
            <w:vAlign w:val="center"/>
          </w:tcPr>
          <w:p>
            <w:pPr>
              <w:spacing w:line="300" w:lineRule="exact"/>
              <w:jc w:val="both"/>
              <w:rPr>
                <w:rFonts w:hint="eastAsia" w:ascii="方正书宋_GBK" w:eastAsia="方正书宋_GBK"/>
                <w:lang w:val="en-US" w:eastAsia="zh-CN"/>
              </w:rPr>
            </w:pPr>
            <w:r>
              <w:rPr>
                <w:rFonts w:hint="eastAsia" w:ascii="方正书宋_GBK" w:eastAsia="方正书宋_GBK"/>
                <w:lang w:val="en-US" w:eastAsia="zh-CN"/>
              </w:rPr>
              <w:t>135</w:t>
            </w:r>
          </w:p>
        </w:tc>
        <w:tc>
          <w:tcPr>
            <w:tcW w:w="965"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公务用车购置</w:t>
            </w:r>
          </w:p>
        </w:tc>
        <w:tc>
          <w:tcPr>
            <w:tcW w:w="1054" w:type="dxa"/>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A02030503</w:t>
            </w:r>
          </w:p>
        </w:tc>
        <w:tc>
          <w:tcPr>
            <w:tcW w:w="964" w:type="dxa"/>
            <w:vAlign w:val="center"/>
          </w:tcPr>
          <w:p>
            <w:pPr>
              <w:spacing w:line="300" w:lineRule="exact"/>
              <w:jc w:val="left"/>
              <w:rPr>
                <w:rFonts w:ascii="方正书宋_GBK" w:eastAsia="方正书宋_GBK"/>
              </w:rPr>
            </w:pPr>
          </w:p>
        </w:tc>
        <w:tc>
          <w:tcPr>
            <w:tcW w:w="964" w:type="dxa"/>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3</w:t>
            </w:r>
          </w:p>
        </w:tc>
        <w:tc>
          <w:tcPr>
            <w:tcW w:w="986" w:type="dxa"/>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45.00</w:t>
            </w:r>
          </w:p>
        </w:tc>
        <w:tc>
          <w:tcPr>
            <w:tcW w:w="964" w:type="dxa"/>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135.00</w:t>
            </w:r>
          </w:p>
        </w:tc>
        <w:tc>
          <w:tcPr>
            <w:tcW w:w="964" w:type="dxa"/>
            <w:vAlign w:val="center"/>
          </w:tcPr>
          <w:p>
            <w:pPr>
              <w:spacing w:line="300" w:lineRule="exact"/>
              <w:jc w:val="both"/>
              <w:rPr>
                <w:rFonts w:hint="eastAsia" w:ascii="方正书宋_GBK" w:eastAsia="方正书宋_GBK"/>
                <w:lang w:val="en-US" w:eastAsia="zh-CN"/>
              </w:rPr>
            </w:pPr>
            <w:r>
              <w:rPr>
                <w:rFonts w:hint="eastAsia" w:ascii="方正书宋_GBK" w:eastAsia="方正书宋_GBK"/>
                <w:lang w:val="en-US" w:eastAsia="zh-CN"/>
              </w:rPr>
              <w:t>135.00</w:t>
            </w:r>
          </w:p>
        </w:tc>
        <w:tc>
          <w:tcPr>
            <w:tcW w:w="964"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135.00</w:t>
            </w:r>
          </w:p>
        </w:tc>
        <w:tc>
          <w:tcPr>
            <w:tcW w:w="964" w:type="dxa"/>
            <w:vAlign w:val="center"/>
          </w:tcPr>
          <w:p>
            <w:pPr>
              <w:spacing w:line="300" w:lineRule="exact"/>
              <w:jc w:val="right"/>
              <w:rPr>
                <w:rFonts w:ascii="方正书宋_GBK" w:eastAsia="方正书宋_GBK"/>
              </w:rPr>
            </w:pPr>
          </w:p>
        </w:tc>
        <w:tc>
          <w:tcPr>
            <w:tcW w:w="964" w:type="dxa"/>
            <w:vAlign w:val="center"/>
          </w:tcPr>
          <w:p>
            <w:pPr>
              <w:spacing w:line="300" w:lineRule="exact"/>
              <w:jc w:val="right"/>
              <w:rPr>
                <w:rFonts w:ascii="方正书宋_GBK" w:eastAsia="方正书宋_GBK"/>
              </w:rPr>
            </w:pPr>
          </w:p>
        </w:tc>
        <w:tc>
          <w:tcPr>
            <w:tcW w:w="964" w:type="dxa"/>
            <w:vAlign w:val="center"/>
          </w:tcPr>
          <w:p>
            <w:pPr>
              <w:spacing w:line="300" w:lineRule="exact"/>
              <w:jc w:val="right"/>
              <w:rPr>
                <w:rFonts w:ascii="方正书宋_GBK" w:eastAsia="方正书宋_GBK"/>
              </w:rPr>
            </w:pPr>
          </w:p>
        </w:tc>
        <w:tc>
          <w:tcPr>
            <w:tcW w:w="909"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69"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密码经费</w:t>
            </w:r>
          </w:p>
        </w:tc>
        <w:tc>
          <w:tcPr>
            <w:tcW w:w="1162" w:type="dxa"/>
            <w:vAlign w:val="center"/>
          </w:tcPr>
          <w:p>
            <w:pPr>
              <w:spacing w:line="300" w:lineRule="exact"/>
              <w:jc w:val="both"/>
              <w:rPr>
                <w:rFonts w:hint="eastAsia" w:ascii="方正书宋_GBK" w:eastAsia="方正书宋_GBK"/>
                <w:lang w:val="en-US" w:eastAsia="zh-CN"/>
              </w:rPr>
            </w:pPr>
            <w:r>
              <w:rPr>
                <w:rFonts w:hint="eastAsia" w:ascii="方正书宋_GBK" w:eastAsia="方正书宋_GBK"/>
                <w:lang w:val="en-US" w:eastAsia="zh-CN"/>
              </w:rPr>
              <w:t>160</w:t>
            </w:r>
          </w:p>
        </w:tc>
        <w:tc>
          <w:tcPr>
            <w:tcW w:w="965"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通用设备</w:t>
            </w:r>
          </w:p>
        </w:tc>
        <w:tc>
          <w:tcPr>
            <w:tcW w:w="1054" w:type="dxa"/>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A02</w:t>
            </w:r>
          </w:p>
        </w:tc>
        <w:tc>
          <w:tcPr>
            <w:tcW w:w="964" w:type="dxa"/>
            <w:vAlign w:val="center"/>
          </w:tcPr>
          <w:p>
            <w:pPr>
              <w:spacing w:line="300" w:lineRule="exact"/>
              <w:jc w:val="left"/>
              <w:rPr>
                <w:rFonts w:ascii="方正书宋_GBK" w:eastAsia="方正书宋_GBK"/>
              </w:rPr>
            </w:pPr>
          </w:p>
        </w:tc>
        <w:tc>
          <w:tcPr>
            <w:tcW w:w="964" w:type="dxa"/>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1</w:t>
            </w:r>
          </w:p>
        </w:tc>
        <w:tc>
          <w:tcPr>
            <w:tcW w:w="986" w:type="dxa"/>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76.4</w:t>
            </w:r>
          </w:p>
        </w:tc>
        <w:tc>
          <w:tcPr>
            <w:tcW w:w="964" w:type="dxa"/>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76.4</w:t>
            </w:r>
          </w:p>
        </w:tc>
        <w:tc>
          <w:tcPr>
            <w:tcW w:w="964" w:type="dxa"/>
            <w:vAlign w:val="center"/>
          </w:tcPr>
          <w:p>
            <w:pPr>
              <w:spacing w:line="300" w:lineRule="exact"/>
              <w:jc w:val="both"/>
              <w:rPr>
                <w:rFonts w:hint="eastAsia" w:ascii="方正书宋_GBK" w:eastAsia="方正书宋_GBK"/>
                <w:lang w:val="en-US" w:eastAsia="zh-CN"/>
              </w:rPr>
            </w:pPr>
            <w:r>
              <w:rPr>
                <w:rFonts w:hint="eastAsia" w:ascii="方正书宋_GBK" w:eastAsia="方正书宋_GBK"/>
                <w:lang w:val="en-US" w:eastAsia="zh-CN"/>
              </w:rPr>
              <w:t>76.4</w:t>
            </w:r>
          </w:p>
        </w:tc>
        <w:tc>
          <w:tcPr>
            <w:tcW w:w="964"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76.4</w:t>
            </w:r>
          </w:p>
        </w:tc>
        <w:tc>
          <w:tcPr>
            <w:tcW w:w="964" w:type="dxa"/>
            <w:vAlign w:val="center"/>
          </w:tcPr>
          <w:p>
            <w:pPr>
              <w:spacing w:line="300" w:lineRule="exact"/>
              <w:jc w:val="right"/>
              <w:rPr>
                <w:rFonts w:ascii="方正书宋_GBK" w:eastAsia="方正书宋_GBK"/>
              </w:rPr>
            </w:pPr>
          </w:p>
        </w:tc>
        <w:tc>
          <w:tcPr>
            <w:tcW w:w="964" w:type="dxa"/>
            <w:vAlign w:val="center"/>
          </w:tcPr>
          <w:p>
            <w:pPr>
              <w:spacing w:line="300" w:lineRule="exact"/>
              <w:jc w:val="right"/>
              <w:rPr>
                <w:rFonts w:ascii="方正书宋_GBK" w:eastAsia="方正书宋_GBK"/>
              </w:rPr>
            </w:pPr>
          </w:p>
        </w:tc>
        <w:tc>
          <w:tcPr>
            <w:tcW w:w="964" w:type="dxa"/>
            <w:vAlign w:val="center"/>
          </w:tcPr>
          <w:p>
            <w:pPr>
              <w:spacing w:line="300" w:lineRule="exact"/>
              <w:jc w:val="right"/>
              <w:rPr>
                <w:rFonts w:ascii="方正书宋_GBK" w:eastAsia="方正书宋_GBK"/>
              </w:rPr>
            </w:pPr>
          </w:p>
        </w:tc>
        <w:tc>
          <w:tcPr>
            <w:tcW w:w="909"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569"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密码经费</w:t>
            </w:r>
          </w:p>
        </w:tc>
        <w:tc>
          <w:tcPr>
            <w:tcW w:w="1162" w:type="dxa"/>
            <w:vAlign w:val="center"/>
          </w:tcPr>
          <w:p>
            <w:pPr>
              <w:spacing w:line="300" w:lineRule="exact"/>
              <w:jc w:val="both"/>
              <w:rPr>
                <w:rFonts w:hint="eastAsia" w:ascii="方正书宋_GBK" w:eastAsia="方正书宋_GBK"/>
                <w:lang w:val="en-US" w:eastAsia="zh-CN"/>
              </w:rPr>
            </w:pPr>
            <w:r>
              <w:rPr>
                <w:rFonts w:hint="eastAsia" w:ascii="方正书宋_GBK" w:eastAsia="方正书宋_GBK"/>
                <w:lang w:val="en-US" w:eastAsia="zh-CN"/>
              </w:rPr>
              <w:t>160</w:t>
            </w:r>
          </w:p>
        </w:tc>
        <w:tc>
          <w:tcPr>
            <w:tcW w:w="965"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工程</w:t>
            </w:r>
          </w:p>
        </w:tc>
        <w:tc>
          <w:tcPr>
            <w:tcW w:w="1054" w:type="dxa"/>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B</w:t>
            </w:r>
          </w:p>
        </w:tc>
        <w:tc>
          <w:tcPr>
            <w:tcW w:w="964" w:type="dxa"/>
            <w:vAlign w:val="center"/>
          </w:tcPr>
          <w:p>
            <w:pPr>
              <w:spacing w:line="300" w:lineRule="exact"/>
              <w:jc w:val="left"/>
              <w:rPr>
                <w:rFonts w:ascii="方正书宋_GBK" w:eastAsia="方正书宋_GBK"/>
              </w:rPr>
            </w:pPr>
          </w:p>
        </w:tc>
        <w:tc>
          <w:tcPr>
            <w:tcW w:w="964" w:type="dxa"/>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1</w:t>
            </w:r>
          </w:p>
        </w:tc>
        <w:tc>
          <w:tcPr>
            <w:tcW w:w="986" w:type="dxa"/>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50.00</w:t>
            </w:r>
          </w:p>
        </w:tc>
        <w:tc>
          <w:tcPr>
            <w:tcW w:w="964" w:type="dxa"/>
            <w:vAlign w:val="center"/>
          </w:tcPr>
          <w:p>
            <w:pPr>
              <w:spacing w:line="300" w:lineRule="exact"/>
              <w:jc w:val="right"/>
              <w:rPr>
                <w:rFonts w:hint="eastAsia" w:ascii="方正书宋_GBK" w:eastAsia="方正书宋_GBK"/>
                <w:lang w:val="en-US" w:eastAsia="zh-CN"/>
              </w:rPr>
            </w:pPr>
            <w:r>
              <w:rPr>
                <w:rFonts w:hint="eastAsia" w:ascii="方正书宋_GBK" w:eastAsia="方正书宋_GBK"/>
                <w:lang w:val="en-US" w:eastAsia="zh-CN"/>
              </w:rPr>
              <w:t>50.00</w:t>
            </w:r>
          </w:p>
        </w:tc>
        <w:tc>
          <w:tcPr>
            <w:tcW w:w="964" w:type="dxa"/>
            <w:vAlign w:val="center"/>
          </w:tcPr>
          <w:p>
            <w:pPr>
              <w:spacing w:line="300" w:lineRule="exact"/>
              <w:jc w:val="both"/>
              <w:rPr>
                <w:rFonts w:hint="eastAsia" w:ascii="方正书宋_GBK" w:eastAsia="方正书宋_GBK"/>
                <w:lang w:val="en-US" w:eastAsia="zh-CN"/>
              </w:rPr>
            </w:pPr>
            <w:r>
              <w:rPr>
                <w:rFonts w:hint="eastAsia" w:ascii="方正书宋_GBK" w:eastAsia="方正书宋_GBK"/>
                <w:lang w:val="en-US" w:eastAsia="zh-CN"/>
              </w:rPr>
              <w:t>50.00</w:t>
            </w:r>
          </w:p>
        </w:tc>
        <w:tc>
          <w:tcPr>
            <w:tcW w:w="964"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50.00</w:t>
            </w:r>
          </w:p>
        </w:tc>
        <w:tc>
          <w:tcPr>
            <w:tcW w:w="964" w:type="dxa"/>
            <w:vAlign w:val="center"/>
          </w:tcPr>
          <w:p>
            <w:pPr>
              <w:spacing w:line="300" w:lineRule="exact"/>
              <w:jc w:val="right"/>
              <w:rPr>
                <w:rFonts w:ascii="方正书宋_GBK" w:eastAsia="方正书宋_GBK"/>
              </w:rPr>
            </w:pPr>
          </w:p>
        </w:tc>
        <w:tc>
          <w:tcPr>
            <w:tcW w:w="964" w:type="dxa"/>
            <w:vAlign w:val="center"/>
          </w:tcPr>
          <w:p>
            <w:pPr>
              <w:spacing w:line="300" w:lineRule="exact"/>
              <w:jc w:val="right"/>
              <w:rPr>
                <w:rFonts w:ascii="方正书宋_GBK" w:eastAsia="方正书宋_GBK"/>
              </w:rPr>
            </w:pPr>
          </w:p>
        </w:tc>
        <w:tc>
          <w:tcPr>
            <w:tcW w:w="964" w:type="dxa"/>
            <w:vAlign w:val="center"/>
          </w:tcPr>
          <w:p>
            <w:pPr>
              <w:spacing w:line="300" w:lineRule="exact"/>
              <w:jc w:val="right"/>
              <w:rPr>
                <w:rFonts w:ascii="方正书宋_GBK" w:eastAsia="方正书宋_GBK"/>
              </w:rPr>
            </w:pPr>
          </w:p>
        </w:tc>
        <w:tc>
          <w:tcPr>
            <w:tcW w:w="909" w:type="dxa"/>
            <w:vAlign w:val="center"/>
          </w:tcPr>
          <w:p>
            <w:pPr>
              <w:spacing w:line="300" w:lineRule="exact"/>
              <w:jc w:val="right"/>
              <w:rPr>
                <w:rFonts w:ascii="方正书宋_GBK" w:eastAsia="方正书宋_GBK"/>
              </w:rPr>
            </w:pPr>
          </w:p>
        </w:tc>
      </w:tr>
    </w:tbl>
    <w:p>
      <w:pPr>
        <w:rPr>
          <w:rFonts w:hint="eastAsia" w:ascii="宋体" w:hAnsi="宋体"/>
          <w:b/>
          <w:sz w:val="32"/>
          <w:szCs w:val="32"/>
        </w:rPr>
      </w:pPr>
    </w:p>
    <w:p>
      <w:pPr>
        <w:rPr>
          <w:rFonts w:hint="eastAsia" w:ascii="宋体" w:hAnsi="宋体"/>
          <w:b/>
          <w:sz w:val="32"/>
          <w:szCs w:val="32"/>
        </w:rPr>
      </w:pPr>
      <w:bookmarkStart w:id="2" w:name="_GoBack"/>
      <w:bookmarkEnd w:id="2"/>
    </w:p>
    <w:p>
      <w:r>
        <w:rPr>
          <w:rFonts w:hint="eastAsia" w:ascii="宋体" w:hAnsi="宋体"/>
          <w:b/>
          <w:sz w:val="32"/>
          <w:szCs w:val="32"/>
        </w:rPr>
        <w:t>七、国有资产预算情况</w:t>
      </w:r>
    </w:p>
    <w:tbl>
      <w:tblPr>
        <w:tblStyle w:val="8"/>
        <w:tblW w:w="13680" w:type="dxa"/>
        <w:tblInd w:w="0" w:type="dxa"/>
        <w:tblLayout w:type="fixed"/>
        <w:tblCellMar>
          <w:top w:w="0" w:type="dxa"/>
          <w:left w:w="108" w:type="dxa"/>
          <w:bottom w:w="0" w:type="dxa"/>
          <w:right w:w="108" w:type="dxa"/>
        </w:tblCellMar>
      </w:tblPr>
      <w:tblGrid>
        <w:gridCol w:w="4788"/>
        <w:gridCol w:w="2700"/>
        <w:gridCol w:w="6192"/>
      </w:tblGrid>
      <w:tr>
        <w:tblPrEx>
          <w:tblLayout w:type="fixed"/>
          <w:tblCellMar>
            <w:top w:w="0" w:type="dxa"/>
            <w:left w:w="108" w:type="dxa"/>
            <w:bottom w:w="0" w:type="dxa"/>
            <w:right w:w="108" w:type="dxa"/>
          </w:tblCellMar>
        </w:tblPrEx>
        <w:trPr>
          <w:trHeight w:val="705" w:hRule="atLeast"/>
        </w:trPr>
        <w:tc>
          <w:tcPr>
            <w:tcW w:w="13680" w:type="dxa"/>
            <w:gridSpan w:val="3"/>
            <w:tcBorders>
              <w:top w:val="nil"/>
              <w:left w:val="nil"/>
              <w:bottom w:val="nil"/>
              <w:right w:val="nil"/>
            </w:tcBorders>
            <w:vAlign w:val="center"/>
          </w:tcPr>
          <w:p>
            <w:pPr>
              <w:widowControl/>
              <w:jc w:val="center"/>
              <w:rPr>
                <w:rFonts w:ascii="仿宋_GB2312" w:hAnsi="仿宋" w:eastAsia="仿宋_GB2312" w:cs="宋体"/>
                <w:b/>
                <w:bCs/>
                <w:kern w:val="0"/>
                <w:sz w:val="32"/>
                <w:szCs w:val="30"/>
              </w:rPr>
            </w:pPr>
            <w:r>
              <w:rPr>
                <w:rFonts w:hint="eastAsia" w:ascii="仿宋_GB2312" w:hAnsi="宋体" w:eastAsia="仿宋_GB2312" w:cs="宋体"/>
                <w:b/>
                <w:bCs/>
                <w:kern w:val="0"/>
                <w:sz w:val="32"/>
                <w:szCs w:val="30"/>
              </w:rPr>
              <w:t>固定资产占用情况表</w:t>
            </w:r>
          </w:p>
        </w:tc>
      </w:tr>
      <w:tr>
        <w:tblPrEx>
          <w:tblLayout w:type="fixed"/>
          <w:tblCellMar>
            <w:top w:w="0" w:type="dxa"/>
            <w:left w:w="108" w:type="dxa"/>
            <w:bottom w:w="0" w:type="dxa"/>
            <w:right w:w="108" w:type="dxa"/>
          </w:tblCellMar>
        </w:tblPrEx>
        <w:trPr>
          <w:trHeight w:val="510" w:hRule="atLeast"/>
        </w:trPr>
        <w:tc>
          <w:tcPr>
            <w:tcW w:w="7488" w:type="dxa"/>
            <w:gridSpan w:val="2"/>
            <w:tcBorders>
              <w:top w:val="nil"/>
              <w:left w:val="nil"/>
              <w:bottom w:val="nil"/>
              <w:right w:val="nil"/>
            </w:tcBorders>
            <w:vAlign w:val="center"/>
          </w:tcPr>
          <w:p>
            <w:pPr>
              <w:widowControl/>
              <w:jc w:val="left"/>
              <w:rPr>
                <w:rFonts w:ascii="仿宋_GB2312" w:hAnsi="宋体" w:eastAsia="仿宋_GB2312" w:cs="宋体"/>
                <w:kern w:val="0"/>
                <w:sz w:val="32"/>
                <w:szCs w:val="30"/>
              </w:rPr>
            </w:pPr>
            <w:r>
              <w:rPr>
                <w:rFonts w:hint="eastAsia" w:ascii="仿宋_GB2312" w:hAnsi="宋体" w:eastAsia="仿宋_GB2312" w:cs="宋体"/>
                <w:kern w:val="0"/>
                <w:sz w:val="32"/>
                <w:szCs w:val="30"/>
              </w:rPr>
              <w:t>编制部门：办公室</w:t>
            </w:r>
          </w:p>
        </w:tc>
        <w:tc>
          <w:tcPr>
            <w:tcW w:w="6192" w:type="dxa"/>
            <w:tcBorders>
              <w:top w:val="nil"/>
              <w:left w:val="nil"/>
              <w:bottom w:val="nil"/>
              <w:right w:val="nil"/>
            </w:tcBorders>
            <w:vAlign w:val="center"/>
          </w:tcPr>
          <w:p>
            <w:pPr>
              <w:widowControl/>
              <w:jc w:val="left"/>
              <w:rPr>
                <w:rFonts w:ascii="仿宋_GB2312" w:eastAsia="仿宋_GB2312" w:cs="宋体"/>
                <w:kern w:val="0"/>
                <w:sz w:val="32"/>
                <w:szCs w:val="30"/>
              </w:rPr>
            </w:pPr>
            <w:r>
              <w:rPr>
                <w:rFonts w:hint="eastAsia" w:ascii="仿宋_GB2312" w:hAnsi="宋体" w:eastAsia="仿宋_GB2312" w:cs="宋体"/>
                <w:kern w:val="0"/>
                <w:sz w:val="32"/>
                <w:szCs w:val="30"/>
              </w:rPr>
              <w:t>截止时间：</w:t>
            </w:r>
            <w:r>
              <w:rPr>
                <w:rFonts w:ascii="仿宋_GB2312" w:hAnsi="宋体" w:eastAsia="仿宋_GB2312" w:cs="宋体"/>
                <w:kern w:val="0"/>
                <w:sz w:val="32"/>
                <w:szCs w:val="30"/>
              </w:rPr>
              <w:t>201</w:t>
            </w:r>
            <w:r>
              <w:rPr>
                <w:rFonts w:hint="eastAsia" w:ascii="仿宋_GB2312" w:hAnsi="宋体" w:eastAsia="仿宋_GB2312" w:cs="宋体"/>
                <w:kern w:val="0"/>
                <w:sz w:val="32"/>
                <w:szCs w:val="30"/>
                <w:lang w:val="en-US" w:eastAsia="zh-CN"/>
              </w:rPr>
              <w:t>8</w:t>
            </w:r>
            <w:r>
              <w:rPr>
                <w:rFonts w:hint="eastAsia" w:ascii="仿宋_GB2312" w:hAnsi="宋体" w:eastAsia="仿宋_GB2312" w:cs="宋体"/>
                <w:kern w:val="0"/>
                <w:sz w:val="32"/>
                <w:szCs w:val="30"/>
              </w:rPr>
              <w:t>年</w:t>
            </w:r>
            <w:r>
              <w:rPr>
                <w:rFonts w:ascii="仿宋_GB2312" w:hAnsi="宋体" w:eastAsia="仿宋_GB2312" w:cs="宋体"/>
                <w:kern w:val="0"/>
                <w:sz w:val="32"/>
                <w:szCs w:val="30"/>
              </w:rPr>
              <w:t>12</w:t>
            </w:r>
            <w:r>
              <w:rPr>
                <w:rFonts w:hint="eastAsia" w:ascii="仿宋_GB2312" w:hAnsi="宋体" w:eastAsia="仿宋_GB2312" w:cs="宋体"/>
                <w:kern w:val="0"/>
                <w:sz w:val="32"/>
                <w:szCs w:val="30"/>
              </w:rPr>
              <w:t>月</w:t>
            </w:r>
            <w:r>
              <w:rPr>
                <w:rFonts w:ascii="仿宋_GB2312" w:hAnsi="宋体" w:eastAsia="仿宋_GB2312" w:cs="宋体"/>
                <w:kern w:val="0"/>
                <w:sz w:val="32"/>
                <w:szCs w:val="30"/>
              </w:rPr>
              <w:t>31</w:t>
            </w:r>
            <w:r>
              <w:rPr>
                <w:rFonts w:hint="eastAsia" w:ascii="仿宋_GB2312" w:hAnsi="宋体" w:eastAsia="仿宋_GB2312" w:cs="宋体"/>
                <w:kern w:val="0"/>
                <w:sz w:val="32"/>
                <w:szCs w:val="30"/>
              </w:rPr>
              <w:t>日</w:t>
            </w:r>
            <w:r>
              <w:rPr>
                <w:rFonts w:ascii="仿宋_GB2312" w:hAnsi="宋体" w:eastAsia="仿宋_GB2312" w:cs="宋体"/>
                <w:kern w:val="0"/>
                <w:sz w:val="32"/>
                <w:szCs w:val="30"/>
              </w:rPr>
              <w:t xml:space="preserve">  </w:t>
            </w:r>
          </w:p>
        </w:tc>
      </w:tr>
      <w:tr>
        <w:tblPrEx>
          <w:tblLayout w:type="fixed"/>
          <w:tblCellMar>
            <w:top w:w="0" w:type="dxa"/>
            <w:left w:w="108" w:type="dxa"/>
            <w:bottom w:w="0" w:type="dxa"/>
            <w:right w:w="108" w:type="dxa"/>
          </w:tblCellMar>
        </w:tblPrEx>
        <w:trPr>
          <w:trHeight w:val="645" w:hRule="atLeast"/>
        </w:trPr>
        <w:tc>
          <w:tcPr>
            <w:tcW w:w="47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b/>
                <w:bCs/>
                <w:kern w:val="0"/>
                <w:sz w:val="32"/>
                <w:szCs w:val="30"/>
              </w:rPr>
            </w:pPr>
            <w:r>
              <w:rPr>
                <w:rFonts w:hint="eastAsia" w:ascii="仿宋_GB2312" w:hAnsi="宋体" w:eastAsia="仿宋_GB2312" w:cs="宋体"/>
                <w:b/>
                <w:bCs/>
                <w:kern w:val="0"/>
                <w:sz w:val="32"/>
                <w:szCs w:val="30"/>
              </w:rPr>
              <w:t>项</w:t>
            </w:r>
            <w:r>
              <w:rPr>
                <w:rFonts w:ascii="仿宋_GB2312" w:hAnsi="宋体" w:eastAsia="仿宋_GB2312" w:cs="宋体"/>
                <w:b/>
                <w:bCs/>
                <w:kern w:val="0"/>
                <w:sz w:val="32"/>
                <w:szCs w:val="30"/>
              </w:rPr>
              <w:t xml:space="preserve">   </w:t>
            </w:r>
            <w:r>
              <w:rPr>
                <w:rFonts w:hint="eastAsia" w:ascii="仿宋_GB2312" w:hAnsi="宋体" w:eastAsia="仿宋_GB2312" w:cs="宋体"/>
                <w:b/>
                <w:bCs/>
                <w:kern w:val="0"/>
                <w:sz w:val="32"/>
                <w:szCs w:val="30"/>
              </w:rPr>
              <w:t>目</w:t>
            </w:r>
          </w:p>
        </w:tc>
        <w:tc>
          <w:tcPr>
            <w:tcW w:w="270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
                <w:bCs/>
                <w:kern w:val="0"/>
                <w:sz w:val="32"/>
                <w:szCs w:val="30"/>
              </w:rPr>
            </w:pPr>
            <w:r>
              <w:rPr>
                <w:rFonts w:hint="eastAsia" w:ascii="仿宋_GB2312" w:hAnsi="宋体" w:eastAsia="仿宋_GB2312" w:cs="宋体"/>
                <w:b/>
                <w:bCs/>
                <w:kern w:val="0"/>
                <w:sz w:val="32"/>
                <w:szCs w:val="30"/>
              </w:rPr>
              <w:t>数量</w:t>
            </w:r>
          </w:p>
        </w:tc>
        <w:tc>
          <w:tcPr>
            <w:tcW w:w="6192"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b/>
                <w:bCs/>
                <w:kern w:val="0"/>
                <w:sz w:val="32"/>
                <w:szCs w:val="30"/>
              </w:rPr>
            </w:pPr>
            <w:r>
              <w:rPr>
                <w:rFonts w:hint="eastAsia" w:ascii="仿宋_GB2312" w:hAnsi="宋体" w:eastAsia="仿宋_GB2312" w:cs="宋体"/>
                <w:b/>
                <w:bCs/>
                <w:kern w:val="0"/>
                <w:sz w:val="32"/>
                <w:szCs w:val="30"/>
              </w:rPr>
              <w:t>价值（金额单位：万元）</w:t>
            </w:r>
          </w:p>
        </w:tc>
      </w:tr>
      <w:tr>
        <w:tblPrEx>
          <w:tblLayout w:type="fixed"/>
          <w:tblCellMar>
            <w:top w:w="0" w:type="dxa"/>
            <w:left w:w="108" w:type="dxa"/>
            <w:bottom w:w="0" w:type="dxa"/>
            <w:right w:w="108" w:type="dxa"/>
          </w:tblCellMar>
        </w:tblPrEx>
        <w:trPr>
          <w:trHeight w:val="90"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　　　　　　合计　　　</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sz w:val="22"/>
                <w:szCs w:val="22"/>
                <w:lang w:val="en-US" w:eastAsia="zh-CN"/>
              </w:rPr>
            </w:pPr>
            <w:r>
              <w:rPr>
                <w:rFonts w:hint="eastAsia"/>
                <w:lang w:val="en-US" w:eastAsia="zh-CN"/>
              </w:rPr>
              <w:t>1108.84</w:t>
            </w:r>
          </w:p>
        </w:tc>
      </w:tr>
      <w:tr>
        <w:tblPrEx>
          <w:tblLayout w:type="fixed"/>
        </w:tblPrEx>
        <w:trPr>
          <w:trHeight w:val="540"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一、土地房屋及构筑物</w:t>
            </w:r>
          </w:p>
        </w:tc>
        <w:tc>
          <w:tcPr>
            <w:tcW w:w="2700" w:type="dxa"/>
            <w:tcBorders>
              <w:top w:val="nil"/>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PrEx>
        <w:trPr>
          <w:trHeight w:val="49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　　其中：房屋</w:t>
            </w:r>
          </w:p>
        </w:tc>
        <w:tc>
          <w:tcPr>
            <w:tcW w:w="2700"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52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二、通用设备</w:t>
            </w:r>
          </w:p>
        </w:tc>
        <w:tc>
          <w:tcPr>
            <w:tcW w:w="2700"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1108.84</w:t>
            </w:r>
          </w:p>
        </w:tc>
      </w:tr>
      <w:tr>
        <w:tblPrEx>
          <w:tblLayout w:type="fixed"/>
          <w:tblCellMar>
            <w:top w:w="0" w:type="dxa"/>
            <w:left w:w="108" w:type="dxa"/>
            <w:bottom w:w="0" w:type="dxa"/>
            <w:right w:w="108" w:type="dxa"/>
          </w:tblCellMar>
        </w:tblPrEx>
        <w:trPr>
          <w:trHeight w:val="480"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　　其中：汽车</w:t>
            </w:r>
          </w:p>
        </w:tc>
        <w:tc>
          <w:tcPr>
            <w:tcW w:w="2700"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52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三、专用设备</w:t>
            </w:r>
          </w:p>
        </w:tc>
        <w:tc>
          <w:tcPr>
            <w:tcW w:w="2700"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570"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四、文物与陈列品</w:t>
            </w:r>
          </w:p>
        </w:tc>
        <w:tc>
          <w:tcPr>
            <w:tcW w:w="2700"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PrEx>
        <w:trPr>
          <w:trHeight w:val="519"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　　其中：文物</w:t>
            </w:r>
          </w:p>
        </w:tc>
        <w:tc>
          <w:tcPr>
            <w:tcW w:w="2700"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PrEx>
        <w:trPr>
          <w:trHeight w:val="489"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　　陈列品</w:t>
            </w:r>
          </w:p>
        </w:tc>
        <w:tc>
          <w:tcPr>
            <w:tcW w:w="2700"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五、图书档案</w:t>
            </w:r>
          </w:p>
        </w:tc>
        <w:tc>
          <w:tcPr>
            <w:tcW w:w="2700"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　　其中：图书资料</w:t>
            </w:r>
          </w:p>
        </w:tc>
        <w:tc>
          <w:tcPr>
            <w:tcW w:w="2700"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六、家具、用具、装具及动植物</w:t>
            </w:r>
          </w:p>
        </w:tc>
        <w:tc>
          <w:tcPr>
            <w:tcW w:w="2700"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r>
        <w:tblPrEx>
          <w:tblLayout w:type="fixed"/>
          <w:tblCellMar>
            <w:top w:w="0" w:type="dxa"/>
            <w:left w:w="108" w:type="dxa"/>
            <w:bottom w:w="0" w:type="dxa"/>
            <w:right w:w="108" w:type="dxa"/>
          </w:tblCellMar>
        </w:tblPrEx>
        <w:trPr>
          <w:trHeight w:val="645" w:hRule="atLeast"/>
        </w:trPr>
        <w:tc>
          <w:tcPr>
            <w:tcW w:w="4788" w:type="dxa"/>
            <w:tcBorders>
              <w:top w:val="nil"/>
              <w:left w:val="single" w:color="auto" w:sz="4" w:space="0"/>
              <w:bottom w:val="single" w:color="auto" w:sz="4" w:space="0"/>
              <w:right w:val="single" w:color="auto" w:sz="4" w:space="0"/>
            </w:tcBorders>
            <w:vAlign w:val="center"/>
          </w:tcPr>
          <w:p>
            <w:pPr>
              <w:rPr>
                <w:rFonts w:ascii="仿宋_GB2312" w:hAnsi="宋体" w:eastAsia="仿宋_GB2312" w:cs="宋体"/>
                <w:sz w:val="32"/>
                <w:szCs w:val="32"/>
              </w:rPr>
            </w:pPr>
            <w:r>
              <w:rPr>
                <w:rFonts w:hint="eastAsia" w:ascii="仿宋_GB2312" w:eastAsia="仿宋_GB2312"/>
                <w:sz w:val="32"/>
                <w:szCs w:val="32"/>
              </w:rPr>
              <w:t>　　其中：家具用具</w:t>
            </w:r>
          </w:p>
        </w:tc>
        <w:tc>
          <w:tcPr>
            <w:tcW w:w="2700"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c>
          <w:tcPr>
            <w:tcW w:w="6192" w:type="dxa"/>
            <w:tcBorders>
              <w:top w:val="nil"/>
              <w:left w:val="nil"/>
              <w:bottom w:val="single" w:color="auto" w:sz="4" w:space="0"/>
              <w:right w:val="single" w:color="auto" w:sz="4" w:space="0"/>
            </w:tcBorders>
            <w:vAlign w:val="center"/>
          </w:tcPr>
          <w:p>
            <w:pPr>
              <w:rPr>
                <w:rFonts w:ascii="宋体" w:hAnsi="宋体" w:cs="宋体"/>
                <w:sz w:val="20"/>
                <w:szCs w:val="20"/>
              </w:rPr>
            </w:pPr>
            <w:r>
              <w:rPr>
                <w:rFonts w:hint="eastAsia"/>
                <w:sz w:val="20"/>
                <w:szCs w:val="20"/>
              </w:rPr>
              <w:t>　</w:t>
            </w:r>
          </w:p>
        </w:tc>
      </w:tr>
    </w:tbl>
    <w:p>
      <w:pPr>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年我部门无拟购置情况。</w:t>
      </w:r>
    </w:p>
    <w:p>
      <w:pPr>
        <w:spacing w:line="560" w:lineRule="exact"/>
        <w:ind w:firstLine="643" w:firstLineChars="200"/>
      </w:pPr>
      <w:r>
        <w:rPr>
          <w:rFonts w:hint="eastAsia" w:ascii="宋体" w:hAnsi="宋体"/>
          <w:b/>
          <w:sz w:val="32"/>
          <w:szCs w:val="32"/>
        </w:rPr>
        <w:t>八、名词解释</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．基本支出：是指为保障机构正常运转，完成日常工作任务而发生的人员支出和公用支出。</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．项目支出：指在基本支出之外为完成特定行政任务和事业发展目标所发生的支出。</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机关运行费：是指为保证行政单位（包括参照公务员管理的事业单位）运行，用于购买货物和服务的各项资金。主要包括：办公费、水费、电费、邮电费、福利费、日常维修费、办公取暖费、物业服务费、公务车运行维护费等。</w:t>
      </w:r>
    </w:p>
    <w:p>
      <w:pPr>
        <w:spacing w:line="560" w:lineRule="exact"/>
        <w:ind w:firstLine="643" w:firstLineChars="200"/>
      </w:pPr>
      <w:r>
        <w:rPr>
          <w:rFonts w:hint="eastAsia" w:ascii="宋体" w:hAnsi="宋体"/>
          <w:b/>
          <w:sz w:val="32"/>
          <w:szCs w:val="32"/>
        </w:rPr>
        <w:t>九、其他情况说明</w:t>
      </w:r>
    </w:p>
    <w:p>
      <w:pPr>
        <w:spacing w:line="560" w:lineRule="exact"/>
        <w:ind w:firstLine="640" w:firstLineChars="20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年部门预算无国有资本经营预算财政拨款收支</w:t>
      </w:r>
      <w:r>
        <w:rPr>
          <w:rFonts w:hint="eastAsia" w:ascii="仿宋_GB2312" w:eastAsia="仿宋_GB2312"/>
          <w:sz w:val="32"/>
          <w:szCs w:val="32"/>
          <w:lang w:eastAsia="zh-CN"/>
        </w:rPr>
        <w:t>和政府基金预算财政拨款</w:t>
      </w:r>
      <w:r>
        <w:rPr>
          <w:rFonts w:hint="eastAsia" w:ascii="仿宋_GB2312" w:eastAsia="仿宋_GB2312"/>
          <w:sz w:val="32"/>
          <w:szCs w:val="32"/>
        </w:rPr>
        <w:t>收支，因此相关表格数据为零。</w:t>
      </w:r>
    </w:p>
    <w:p>
      <w:pPr>
        <w:ind w:firstLine="640" w:firstLineChars="200"/>
        <w:rPr>
          <w:rFonts w:ascii="仿宋_GB2312" w:hAnsi="宋体" w:eastAsia="仿宋_GB2312" w:cs="宋体"/>
          <w:kern w:val="0"/>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1A0F3C52" w:usb2="00000010"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rPr>
          <w:rFonts w:hint="eastAsi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4AE7"/>
    <w:rsid w:val="0029319D"/>
    <w:rsid w:val="00300A21"/>
    <w:rsid w:val="00315397"/>
    <w:rsid w:val="00425090"/>
    <w:rsid w:val="004B7F05"/>
    <w:rsid w:val="005D025C"/>
    <w:rsid w:val="00667B7B"/>
    <w:rsid w:val="006B2051"/>
    <w:rsid w:val="007D70C3"/>
    <w:rsid w:val="00872C99"/>
    <w:rsid w:val="00AB7877"/>
    <w:rsid w:val="00B94AE7"/>
    <w:rsid w:val="00BF0C26"/>
    <w:rsid w:val="00DC2B4A"/>
    <w:rsid w:val="00F1044A"/>
    <w:rsid w:val="0A21095D"/>
    <w:rsid w:val="0FE77635"/>
    <w:rsid w:val="161023FD"/>
    <w:rsid w:val="169B766E"/>
    <w:rsid w:val="17710E71"/>
    <w:rsid w:val="17A5767E"/>
    <w:rsid w:val="1BB55060"/>
    <w:rsid w:val="1CF56E29"/>
    <w:rsid w:val="25377845"/>
    <w:rsid w:val="26F812AD"/>
    <w:rsid w:val="2A7D5D62"/>
    <w:rsid w:val="2A926BEC"/>
    <w:rsid w:val="2DC25C12"/>
    <w:rsid w:val="31473C4B"/>
    <w:rsid w:val="32675EA2"/>
    <w:rsid w:val="332D2FB6"/>
    <w:rsid w:val="372B7096"/>
    <w:rsid w:val="3A3B7B03"/>
    <w:rsid w:val="3CF72693"/>
    <w:rsid w:val="3F4771B3"/>
    <w:rsid w:val="42133320"/>
    <w:rsid w:val="45B85986"/>
    <w:rsid w:val="484230CC"/>
    <w:rsid w:val="4908509F"/>
    <w:rsid w:val="4A226E00"/>
    <w:rsid w:val="4E9C0711"/>
    <w:rsid w:val="4FEA3406"/>
    <w:rsid w:val="52B23271"/>
    <w:rsid w:val="535B1FAA"/>
    <w:rsid w:val="55524542"/>
    <w:rsid w:val="559D6665"/>
    <w:rsid w:val="56005274"/>
    <w:rsid w:val="570263D5"/>
    <w:rsid w:val="59BF36C4"/>
    <w:rsid w:val="5A87477F"/>
    <w:rsid w:val="5D7A728F"/>
    <w:rsid w:val="5FB55F71"/>
    <w:rsid w:val="5FD438FC"/>
    <w:rsid w:val="60076F22"/>
    <w:rsid w:val="61C16F42"/>
    <w:rsid w:val="67CA240F"/>
    <w:rsid w:val="6A295B99"/>
    <w:rsid w:val="6BA46133"/>
    <w:rsid w:val="6DD74B48"/>
    <w:rsid w:val="6E022183"/>
    <w:rsid w:val="710B71CF"/>
    <w:rsid w:val="76BA4496"/>
    <w:rsid w:val="784C50C4"/>
    <w:rsid w:val="78AF526A"/>
    <w:rsid w:val="7BE37188"/>
    <w:rsid w:val="7FFE7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footnote text"/>
    <w:basedOn w:val="1"/>
    <w:unhideWhenUsed/>
    <w:qFormat/>
    <w:uiPriority w:val="99"/>
    <w:pPr>
      <w:snapToGrid w:val="0"/>
      <w:jc w:val="left"/>
    </w:pPr>
    <w:rPr>
      <w:rFonts w:ascii="Calibri" w:hAnsi="Calibri" w:eastAsia="宋体" w:cs="Times New Roman"/>
      <w:sz w:val="18"/>
      <w:szCs w:val="18"/>
    </w:rPr>
  </w:style>
  <w:style w:type="character" w:styleId="6">
    <w:name w:val="page number"/>
    <w:unhideWhenUsed/>
    <w:qFormat/>
    <w:uiPriority w:val="99"/>
  </w:style>
  <w:style w:type="character" w:styleId="7">
    <w:name w:val="footnote reference"/>
    <w:unhideWhenUsed/>
    <w:qFormat/>
    <w:uiPriority w:val="99"/>
    <w:rPr>
      <w:vertAlign w:val="superscript"/>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 w:type="character" w:customStyle="1" w:styleId="11">
    <w:name w:val="font0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768</Words>
  <Characters>4381</Characters>
  <Lines>36</Lines>
  <Paragraphs>10</Paragraphs>
  <TotalTime>0</TotalTime>
  <ScaleCrop>false</ScaleCrop>
  <LinksUpToDate>false</LinksUpToDate>
  <CharactersWithSpaces>5139</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2017-04-16T02:00:00Z</dcterms:created>
  <dc:creator>Master</dc:creator>
  <cp:lastModifiedBy>Administrator</cp:lastModifiedBy>
  <dcterms:modified xsi:type="dcterms:W3CDTF">2019-02-25T05:52:30Z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