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28" w:rsidRDefault="003E1D29">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7E0328" w:rsidRDefault="007E0328">
      <w:pPr>
        <w:spacing w:line="560" w:lineRule="exact"/>
        <w:jc w:val="left"/>
        <w:rPr>
          <w:rFonts w:ascii="方正小标宋简体" w:eastAsia="方正小标宋简体"/>
          <w:sz w:val="40"/>
          <w:szCs w:val="40"/>
        </w:rPr>
      </w:pPr>
    </w:p>
    <w:p w:rsidR="007E0328" w:rsidRDefault="003E1D29">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7E0328" w:rsidRDefault="003E1D29">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7E0328" w:rsidRDefault="003E1D29">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7E0328" w:rsidRDefault="003E1D29">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经费情况及增减变化说明</w:t>
      </w:r>
    </w:p>
    <w:p w:rsidR="007E0328" w:rsidRDefault="003E1D29">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7E0328" w:rsidRDefault="003E1D29">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7E0328" w:rsidRDefault="003E1D29">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7E0328" w:rsidRDefault="003E1D29">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7E0328" w:rsidRDefault="003E1D29">
      <w:pPr>
        <w:spacing w:line="560" w:lineRule="exact"/>
        <w:ind w:firstLineChars="200" w:firstLine="720"/>
        <w:rPr>
          <w:rFonts w:eastAsia="仿宋_GB2312"/>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7E0328" w:rsidRDefault="007E0328"/>
    <w:p w:rsidR="007E0328" w:rsidRDefault="007E0328"/>
    <w:p w:rsidR="007E0328" w:rsidRDefault="007E0328"/>
    <w:p w:rsidR="007E0328" w:rsidRDefault="007E0328"/>
    <w:p w:rsidR="007E0328" w:rsidRDefault="007E0328"/>
    <w:p w:rsidR="007E0328" w:rsidRDefault="007E0328"/>
    <w:p w:rsidR="007E0328" w:rsidRDefault="007E0328"/>
    <w:p w:rsidR="007E0328" w:rsidRDefault="007E0328"/>
    <w:p w:rsidR="007E0328" w:rsidRDefault="007E0328"/>
    <w:p w:rsidR="007E0328" w:rsidRDefault="007E0328">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Pr>
        <w:rPr>
          <w:rFonts w:hint="eastAsia"/>
        </w:rPr>
      </w:pPr>
    </w:p>
    <w:p w:rsidR="003E1D29" w:rsidRDefault="003E1D29"/>
    <w:p w:rsidR="007E0328" w:rsidRDefault="003E1D29">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高新区生态环境分局部门预算情况说明</w:t>
      </w:r>
    </w:p>
    <w:p w:rsidR="007E0328" w:rsidRDefault="003E1D29">
      <w:pPr>
        <w:spacing w:line="560" w:lineRule="exact"/>
        <w:ind w:firstLineChars="200" w:firstLine="643"/>
        <w:rPr>
          <w:rFonts w:ascii="宋体" w:hAnsi="宋体"/>
          <w:b/>
          <w:sz w:val="32"/>
          <w:szCs w:val="32"/>
        </w:rPr>
      </w:pPr>
      <w:r>
        <w:rPr>
          <w:rFonts w:ascii="宋体" w:hAnsi="宋体" w:hint="eastAsia"/>
          <w:b/>
          <w:sz w:val="32"/>
          <w:szCs w:val="32"/>
        </w:rPr>
        <w:t>一、部门职责、机构设置等基本情况</w:t>
      </w:r>
    </w:p>
    <w:p w:rsidR="007E0328" w:rsidRDefault="003E1D29">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唐山市</w:t>
      </w:r>
      <w:proofErr w:type="gramStart"/>
      <w:r>
        <w:rPr>
          <w:rFonts w:ascii="仿宋_GB2312" w:eastAsia="仿宋_GB2312" w:hAnsi="Times New Roman" w:hint="eastAsia"/>
          <w:kern w:val="2"/>
          <w:sz w:val="32"/>
          <w:szCs w:val="32"/>
        </w:rPr>
        <w:t>生态环境局高新区</w:t>
      </w:r>
      <w:proofErr w:type="gramEnd"/>
      <w:r>
        <w:rPr>
          <w:rFonts w:ascii="仿宋_GB2312" w:eastAsia="仿宋_GB2312" w:hAnsi="Times New Roman" w:hint="eastAsia"/>
          <w:kern w:val="2"/>
          <w:sz w:val="32"/>
          <w:szCs w:val="32"/>
        </w:rPr>
        <w:t>分局内设</w:t>
      </w:r>
      <w:r>
        <w:rPr>
          <w:rFonts w:ascii="微软雅黑" w:eastAsia="微软雅黑" w:hAnsi="微软雅黑" w:cs="微软雅黑"/>
          <w:color w:val="000000"/>
          <w:shd w:val="clear" w:color="auto" w:fill="FFFFFF"/>
        </w:rPr>
        <w:t>办公室(纪检监察科</w:t>
      </w:r>
      <w:r>
        <w:rPr>
          <w:rFonts w:ascii="微软雅黑" w:eastAsia="微软雅黑" w:hAnsi="微软雅黑" w:cs="微软雅黑" w:hint="eastAsia"/>
          <w:color w:val="000000"/>
          <w:shd w:val="clear" w:color="auto" w:fill="FFFFFF"/>
        </w:rPr>
        <w:t>）、</w:t>
      </w:r>
      <w:r>
        <w:rPr>
          <w:rFonts w:ascii="微软雅黑" w:eastAsia="微软雅黑" w:hAnsi="微软雅黑" w:cs="微软雅黑"/>
          <w:color w:val="000000"/>
          <w:shd w:val="clear" w:color="auto" w:fill="FFFFFF"/>
        </w:rPr>
        <w:t>综合科(机动车污染防治科)</w:t>
      </w:r>
      <w:r>
        <w:rPr>
          <w:rFonts w:ascii="仿宋_GB2312" w:eastAsia="仿宋_GB2312" w:hAnsi="Times New Roman" w:hint="eastAsia"/>
          <w:kern w:val="2"/>
          <w:sz w:val="32"/>
          <w:szCs w:val="32"/>
        </w:rPr>
        <w:t>。</w:t>
      </w:r>
    </w:p>
    <w:p w:rsidR="007E0328" w:rsidRDefault="003E1D29">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部门级别：科级 部门性质：事业单位、经费形式：财政性资金基本保障</w:t>
      </w:r>
    </w:p>
    <w:p w:rsidR="007E0328" w:rsidRDefault="003E1D29">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主要职责：</w:t>
      </w:r>
    </w:p>
    <w:p w:rsidR="007E0328" w:rsidRDefault="003E1D29">
      <w:pPr>
        <w:ind w:firstLineChars="200" w:firstLine="640"/>
        <w:rPr>
          <w:rFonts w:ascii="仿宋_GB2312" w:eastAsia="仿宋_GB2312"/>
          <w:sz w:val="32"/>
          <w:szCs w:val="32"/>
        </w:rPr>
      </w:pPr>
      <w:r>
        <w:rPr>
          <w:rFonts w:ascii="仿宋_GB2312" w:eastAsia="仿宋_GB2312" w:hint="eastAsia"/>
          <w:sz w:val="32"/>
          <w:szCs w:val="32"/>
        </w:rPr>
        <w:t>（一）会同有关部门贯彻执行国家和省、市生态环境保护的方针政策、法律、法规、规章、标准、基准和技术规范，并对实施情况进行监督检</w:t>
      </w:r>
      <w:proofErr w:type="gramStart"/>
      <w:r>
        <w:rPr>
          <w:rFonts w:ascii="仿宋_GB2312" w:eastAsia="仿宋_GB2312" w:hint="eastAsia"/>
          <w:sz w:val="32"/>
          <w:szCs w:val="32"/>
        </w:rPr>
        <w:t>査</w:t>
      </w:r>
      <w:proofErr w:type="gramEnd"/>
      <w:r>
        <w:rPr>
          <w:rFonts w:ascii="仿宋_GB2312" w:eastAsia="仿宋_GB2312" w:hint="eastAsia"/>
          <w:sz w:val="32"/>
          <w:szCs w:val="32"/>
        </w:rPr>
        <w:t>。</w:t>
      </w:r>
      <w:r>
        <w:rPr>
          <w:rFonts w:ascii="仿宋_GB2312" w:eastAsia="仿宋_GB2312" w:hint="eastAsia"/>
          <w:sz w:val="32"/>
          <w:szCs w:val="32"/>
        </w:rPr>
        <w:br/>
        <w:t xml:space="preserve">    （二）负责本辖区内生态环境问题的统筹协调和监督管理负责本辖区内生态环境准入的监督管理。</w:t>
      </w:r>
      <w:r>
        <w:rPr>
          <w:rFonts w:ascii="仿宋_GB2312" w:eastAsia="仿宋_GB2312" w:hint="eastAsia"/>
          <w:sz w:val="32"/>
          <w:szCs w:val="32"/>
        </w:rPr>
        <w:br/>
        <w:t xml:space="preserve">    （三）指导协调和监督本辖区内生态保护修复工作。</w:t>
      </w:r>
    </w:p>
    <w:p w:rsidR="007E0328" w:rsidRDefault="003E1D29">
      <w:pPr>
        <w:ind w:firstLineChars="200" w:firstLine="640"/>
        <w:rPr>
          <w:rFonts w:ascii="仿宋_GB2312" w:eastAsia="仿宋_GB2312"/>
          <w:sz w:val="32"/>
          <w:szCs w:val="32"/>
        </w:rPr>
      </w:pPr>
      <w:r>
        <w:rPr>
          <w:rFonts w:ascii="仿宋_GB2312" w:eastAsia="仿宋_GB2312" w:hint="eastAsia"/>
          <w:sz w:val="32"/>
          <w:szCs w:val="32"/>
        </w:rPr>
        <w:t>（四）负责本辖区内污染防治、污染物减排、生态环境监测、生态创建，生态环境宣传教育等工作，负责本辖区内核与辐射安全的监督管理。</w:t>
      </w:r>
      <w:r>
        <w:rPr>
          <w:rFonts w:ascii="仿宋_GB2312" w:eastAsia="仿宋_GB2312" w:hint="eastAsia"/>
          <w:sz w:val="32"/>
          <w:szCs w:val="32"/>
        </w:rPr>
        <w:br/>
        <w:t xml:space="preserve">    （五）负受理环境污染纠纷、投诉，并</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处理，对环境污染事故进行现场调查及处理等工作。</w:t>
      </w:r>
    </w:p>
    <w:p w:rsidR="007E0328" w:rsidRDefault="003E1D29">
      <w:pPr>
        <w:ind w:leftChars="304" w:left="638"/>
        <w:rPr>
          <w:rFonts w:ascii="仿宋_GB2312" w:eastAsia="仿宋_GB2312"/>
          <w:sz w:val="32"/>
          <w:szCs w:val="32"/>
        </w:rPr>
      </w:pPr>
      <w:r>
        <w:rPr>
          <w:rFonts w:ascii="仿宋_GB2312" w:eastAsia="仿宋_GB2312" w:hint="eastAsia"/>
          <w:sz w:val="32"/>
          <w:szCs w:val="32"/>
        </w:rPr>
        <w:t>（六）按照相关规定办理行政许可事项和服务事项。</w:t>
      </w:r>
      <w:r>
        <w:rPr>
          <w:rFonts w:ascii="仿宋_GB2312" w:eastAsia="仿宋_GB2312" w:hint="eastAsia"/>
          <w:sz w:val="32"/>
          <w:szCs w:val="32"/>
        </w:rPr>
        <w:br/>
        <w:t>（七）完成市生态环境局交办的其他任务。</w:t>
      </w:r>
    </w:p>
    <w:p w:rsidR="007E0328" w:rsidRDefault="007E0328">
      <w:pPr>
        <w:rPr>
          <w:rFonts w:ascii="仿宋_GB2312" w:eastAsia="仿宋_GB2312"/>
          <w:sz w:val="32"/>
          <w:szCs w:val="32"/>
        </w:rPr>
      </w:pPr>
    </w:p>
    <w:p w:rsidR="007E0328" w:rsidRDefault="003E1D29">
      <w:pPr>
        <w:spacing w:line="560" w:lineRule="exact"/>
        <w:rPr>
          <w:rFonts w:ascii="仿宋_GB2312" w:eastAsia="仿宋_GB2312"/>
          <w:sz w:val="32"/>
          <w:szCs w:val="32"/>
        </w:rPr>
      </w:pPr>
      <w:r>
        <w:rPr>
          <w:rFonts w:ascii="宋体" w:hAnsi="宋体" w:hint="eastAsia"/>
          <w:b/>
          <w:sz w:val="32"/>
          <w:szCs w:val="32"/>
        </w:rPr>
        <w:t>二、部门预算总体情况及预算收支增减变化情况说明</w:t>
      </w:r>
    </w:p>
    <w:p w:rsidR="007E0328" w:rsidRDefault="003E1D29">
      <w:pPr>
        <w:ind w:firstLineChars="176" w:firstLine="563"/>
        <w:rPr>
          <w:rFonts w:ascii="仿宋_GB2312" w:eastAsia="仿宋_GB2312"/>
          <w:sz w:val="32"/>
          <w:szCs w:val="32"/>
        </w:rPr>
      </w:pPr>
      <w:r>
        <w:rPr>
          <w:rFonts w:ascii="仿宋_GB2312" w:eastAsia="仿宋_GB2312" w:hint="eastAsia"/>
          <w:sz w:val="32"/>
          <w:szCs w:val="32"/>
        </w:rPr>
        <w:lastRenderedPageBreak/>
        <w:t>收入情况：2021年我单位预算收入为408.6万元。</w:t>
      </w:r>
    </w:p>
    <w:p w:rsidR="007E0328" w:rsidRDefault="003E1D29">
      <w:pPr>
        <w:ind w:firstLineChars="176" w:firstLine="563"/>
        <w:rPr>
          <w:rFonts w:ascii="仿宋_GB2312" w:eastAsia="仿宋_GB2312"/>
          <w:sz w:val="32"/>
          <w:szCs w:val="32"/>
        </w:rPr>
      </w:pPr>
      <w:r>
        <w:rPr>
          <w:rFonts w:ascii="仿宋_GB2312" w:eastAsia="仿宋_GB2312" w:hint="eastAsia"/>
          <w:sz w:val="32"/>
          <w:szCs w:val="32"/>
        </w:rPr>
        <w:t>支出情况：2021年环保局预算支出为408.6万元，其中人员经费136.2万元，日常公用经费18万元，项目支出254.4万元。</w:t>
      </w:r>
    </w:p>
    <w:p w:rsidR="007E0328" w:rsidRDefault="003E1D29">
      <w:pPr>
        <w:ind w:firstLineChars="176" w:firstLine="563"/>
        <w:rPr>
          <w:rFonts w:ascii="仿宋_GB2312" w:eastAsia="仿宋_GB2312"/>
          <w:sz w:val="32"/>
          <w:szCs w:val="32"/>
        </w:rPr>
      </w:pPr>
      <w:r>
        <w:rPr>
          <w:rFonts w:ascii="仿宋_GB2312" w:eastAsia="仿宋_GB2312" w:hAnsi="宋体" w:hint="eastAsia"/>
          <w:sz w:val="32"/>
          <w:szCs w:val="32"/>
        </w:rPr>
        <w:t>与2020年相比减少35.7%，原因：项目资金减少。</w:t>
      </w:r>
    </w:p>
    <w:p w:rsidR="007E0328" w:rsidRDefault="003E1D29">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7E0328" w:rsidRDefault="003E1D29">
      <w:pPr>
        <w:pStyle w:val="a6"/>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2021年</w:t>
      </w:r>
      <w:proofErr w:type="gramStart"/>
      <w:r>
        <w:rPr>
          <w:rFonts w:ascii="仿宋_GB2312" w:eastAsia="仿宋_GB2312" w:hAnsi="Times New Roman" w:hint="eastAsia"/>
          <w:kern w:val="2"/>
          <w:sz w:val="32"/>
          <w:szCs w:val="32"/>
        </w:rPr>
        <w:t>我部门</w:t>
      </w:r>
      <w:proofErr w:type="gramEnd"/>
      <w:r>
        <w:rPr>
          <w:rFonts w:ascii="仿宋_GB2312" w:eastAsia="仿宋_GB2312" w:hAnsi="Times New Roman" w:hint="eastAsia"/>
          <w:kern w:val="2"/>
          <w:sz w:val="32"/>
          <w:szCs w:val="32"/>
        </w:rPr>
        <w:t>机关运行经费为18万元，与2020年增加100%。原因：电费、取暖费。</w:t>
      </w:r>
    </w:p>
    <w:p w:rsidR="007E0328" w:rsidRDefault="003E1D29">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7E0328" w:rsidRDefault="003E1D29">
      <w:pPr>
        <w:ind w:firstLineChars="200" w:firstLine="640"/>
        <w:rPr>
          <w:rFonts w:ascii="仿宋_GB2312" w:eastAsia="仿宋_GB2312"/>
          <w:sz w:val="32"/>
          <w:szCs w:val="32"/>
        </w:rPr>
      </w:pPr>
      <w:r>
        <w:rPr>
          <w:rFonts w:ascii="仿宋_GB2312" w:eastAsia="仿宋_GB2312" w:hint="eastAsia"/>
          <w:sz w:val="32"/>
          <w:szCs w:val="32"/>
        </w:rPr>
        <w:t>2021年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“三公”经费预算安排0万元。具体情况如下：</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（一）公务用车购置及运行费，共计安排0万元，与上年持平。原因：</w:t>
      </w:r>
      <w:r>
        <w:rPr>
          <w:rFonts w:ascii="仿宋_GB2312" w:eastAsia="仿宋_GB2312" w:hAnsi="Times New Roman" w:hint="eastAsia"/>
          <w:kern w:val="2"/>
          <w:sz w:val="32"/>
          <w:szCs w:val="32"/>
        </w:rPr>
        <w:t>单位上划，不安排此项预算。</w:t>
      </w:r>
    </w:p>
    <w:p w:rsidR="007E0328" w:rsidRDefault="003E1D29">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7E0328" w:rsidRDefault="003E1D29">
      <w:pPr>
        <w:pStyle w:val="a6"/>
        <w:spacing w:before="0" w:beforeAutospacing="0" w:after="0" w:afterAutospacing="0" w:line="560" w:lineRule="exact"/>
        <w:ind w:firstLineChars="200" w:firstLine="640"/>
        <w:jc w:val="both"/>
        <w:rPr>
          <w:rFonts w:ascii="仿宋" w:eastAsia="仿宋" w:hAnsi="仿宋" w:cs="仿宋_GB2312"/>
          <w:sz w:val="32"/>
          <w:szCs w:val="32"/>
        </w:rPr>
      </w:pPr>
      <w:r>
        <w:rPr>
          <w:rFonts w:ascii="仿宋_GB2312" w:eastAsia="仿宋_GB2312" w:hint="eastAsia"/>
          <w:sz w:val="32"/>
          <w:szCs w:val="32"/>
        </w:rPr>
        <w:t>2.公务用车运行维护经费共计安排0万元，与上年持平%。原因：</w:t>
      </w:r>
      <w:r>
        <w:rPr>
          <w:rFonts w:ascii="仿宋_GB2312" w:eastAsia="仿宋_GB2312" w:hAnsi="Times New Roman" w:hint="eastAsia"/>
          <w:kern w:val="2"/>
          <w:sz w:val="32"/>
          <w:szCs w:val="32"/>
        </w:rPr>
        <w:t>单位上划，不安排此项预算。</w:t>
      </w:r>
    </w:p>
    <w:p w:rsidR="007E0328" w:rsidRDefault="003E1D29">
      <w:pPr>
        <w:ind w:firstLineChars="200" w:firstLine="640"/>
        <w:rPr>
          <w:rFonts w:ascii="仿宋_GB2312" w:eastAsia="仿宋_GB2312"/>
          <w:sz w:val="32"/>
          <w:szCs w:val="32"/>
        </w:rPr>
      </w:pPr>
      <w:r>
        <w:rPr>
          <w:rFonts w:ascii="仿宋_GB2312" w:eastAsia="仿宋_GB2312" w:hint="eastAsia"/>
          <w:sz w:val="32"/>
          <w:szCs w:val="32"/>
        </w:rPr>
        <w:t>（二）公务接待费。安排0万元，与上年持平。</w:t>
      </w:r>
    </w:p>
    <w:p w:rsidR="007E0328" w:rsidRDefault="003E1D29">
      <w:pPr>
        <w:ind w:firstLine="630"/>
        <w:rPr>
          <w:rFonts w:ascii="仿宋_GB2312" w:eastAsia="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7E0328" w:rsidRDefault="003E1D29">
      <w:pPr>
        <w:spacing w:line="560" w:lineRule="exact"/>
        <w:ind w:firstLineChars="200" w:firstLine="643"/>
        <w:rPr>
          <w:rFonts w:ascii="宋体" w:hAnsi="宋体"/>
          <w:b/>
          <w:sz w:val="32"/>
          <w:szCs w:val="32"/>
        </w:rPr>
      </w:pPr>
      <w:r>
        <w:rPr>
          <w:rFonts w:ascii="宋体" w:hAnsi="宋体" w:hint="eastAsia"/>
          <w:b/>
          <w:sz w:val="32"/>
          <w:szCs w:val="32"/>
        </w:rPr>
        <w:t>五、绩效目标</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总体</w:t>
      </w:r>
      <w:r>
        <w:rPr>
          <w:rFonts w:ascii="仿宋_GB2312" w:eastAsia="仿宋_GB2312"/>
          <w:sz w:val="32"/>
          <w:szCs w:val="32"/>
        </w:rPr>
        <w:t>绩效目标</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1.会同有关部门，严格贯彻落实国家和省、市生态环境保护的方针政策、法律、法规、规章、标准、基准和技术规范，并对实施情况进行监督检查，对存在问题及时处理、整改。</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2.制定并印发本辖区突发环境事件应急预案，建立区级突发环境事件应急指挥部，做好各类突发环境事件应急响应；明确生态环</w:t>
      </w:r>
      <w:r>
        <w:rPr>
          <w:rFonts w:ascii="仿宋_GB2312" w:eastAsia="仿宋_GB2312" w:hint="eastAsia"/>
          <w:sz w:val="32"/>
          <w:szCs w:val="32"/>
        </w:rPr>
        <w:lastRenderedPageBreak/>
        <w:t>境准入清单，准入清单外的行业类型禁止落地高新区；加强巡查检查力度，对发现的环境违法问题严厉查处。</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3.对饮用水水源地保护区内项目进行排查，确保无违规建设项目。</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4.严格落实全区大气、水、土壤、噪声、光、恶臭、固体废物、化学品、机动车等的污染防治部署要求，完成全年目标任务；全区各类污染物排放总量在控制总量内，企业按照要求均落实排污许可证现行制度；开展好执法监测、污染源监督性监测、应急监测，对超标排放的企业或单位进行严肃处理并责令改正；完成生态环境保护各项重点工作任务，实现绿色发展高质量发展；做好生态环境保护相关规章政策宣传的规划和计划，并按计划组织实施，公众参与环保意识增强；完成</w:t>
      </w:r>
      <w:proofErr w:type="gramStart"/>
      <w:r>
        <w:rPr>
          <w:rFonts w:ascii="仿宋_GB2312" w:eastAsia="仿宋_GB2312" w:hint="eastAsia"/>
          <w:sz w:val="32"/>
          <w:szCs w:val="32"/>
        </w:rPr>
        <w:t>全年核</w:t>
      </w:r>
      <w:proofErr w:type="gramEnd"/>
      <w:r>
        <w:rPr>
          <w:rFonts w:ascii="仿宋_GB2312" w:eastAsia="仿宋_GB2312" w:hint="eastAsia"/>
          <w:sz w:val="32"/>
          <w:szCs w:val="32"/>
        </w:rPr>
        <w:t>与辐射监督性检查的计划，发现问题依法依归查处。</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5.及时、高效查处受理环境污染纠纷、信访投诉，确保处理结果使群众满意，信访案件处理率达到100%。</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6.加强管理，区内各企业严格落实环境影响评价制度、“三同时”制度、排污许可制度，按照国家、省、市规定逐步核发排污许可证，落实行政许可和审批信息公开；严格审批施工工地夜间施工许可。</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7.完成市生态环境局交办的其他任务。</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（二）分项绩效目标</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1、环境空气质量持续改善。</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绩效目标：推进燃煤锅炉治理，严控散煤复燃，巩固</w:t>
      </w:r>
      <w:r>
        <w:rPr>
          <w:rFonts w:ascii="仿宋_GB2312" w:eastAsia="仿宋_GB2312"/>
          <w:sz w:val="32"/>
          <w:szCs w:val="32"/>
        </w:rPr>
        <w:t>“</w:t>
      </w:r>
      <w:r>
        <w:rPr>
          <w:rFonts w:ascii="仿宋_GB2312" w:eastAsia="仿宋_GB2312"/>
          <w:sz w:val="32"/>
          <w:szCs w:val="32"/>
        </w:rPr>
        <w:t>散乱污</w:t>
      </w:r>
      <w:r>
        <w:rPr>
          <w:rFonts w:ascii="仿宋_GB2312" w:eastAsia="仿宋_GB2312"/>
          <w:sz w:val="32"/>
          <w:szCs w:val="32"/>
        </w:rPr>
        <w:t>”</w:t>
      </w:r>
      <w:r>
        <w:rPr>
          <w:rFonts w:ascii="仿宋_GB2312" w:eastAsia="仿宋_GB2312"/>
          <w:sz w:val="32"/>
          <w:szCs w:val="32"/>
        </w:rPr>
        <w:t>企业动态清零成果；加快推进具备深度治理条件的重型柴油货车安</w:t>
      </w:r>
      <w:r>
        <w:rPr>
          <w:rFonts w:ascii="仿宋_GB2312" w:eastAsia="仿宋_GB2312"/>
          <w:sz w:val="32"/>
          <w:szCs w:val="32"/>
        </w:rPr>
        <w:lastRenderedPageBreak/>
        <w:t>装尾气净化装置和远程排放监控设备；扎实推进挥发性有机物污染综合治理，建设完善VOCS报警装置，做好重污染天气应对。</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绩效指标：空气质量</w:t>
      </w:r>
      <w:r>
        <w:rPr>
          <w:rFonts w:ascii="仿宋_GB2312" w:eastAsia="仿宋_GB2312" w:hint="eastAsia"/>
          <w:sz w:val="32"/>
          <w:szCs w:val="32"/>
        </w:rPr>
        <w:t>得到有效管控</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、重点领域土壤环境质量改善。</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绩效目标：以改善土壤环境质量为核心，以保障人居环境安全为目标，坚持预防为主、保护优先、风险管控、安全利用的原则。</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绩效指标：</w:t>
      </w:r>
      <w:r>
        <w:rPr>
          <w:rFonts w:ascii="仿宋_GB2312" w:eastAsia="仿宋_GB2312" w:hint="eastAsia"/>
          <w:sz w:val="32"/>
          <w:szCs w:val="32"/>
        </w:rPr>
        <w:t>全区</w:t>
      </w:r>
      <w:r>
        <w:rPr>
          <w:rFonts w:ascii="仿宋_GB2312" w:eastAsia="仿宋_GB2312"/>
          <w:sz w:val="32"/>
          <w:szCs w:val="32"/>
        </w:rPr>
        <w:t>重点区域土壤污染加重趋势得到控制。</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、固体废物危险废物污染防治。</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绩效目标：进一步摸清危险废物产生的单位底数。危险废物环境隐患专项排查整治严厉打击危险废物非法转移、倾倒和处置等违法犯罪行为。</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绩效指标：完成</w:t>
      </w:r>
      <w:proofErr w:type="gramStart"/>
      <w:r>
        <w:rPr>
          <w:rFonts w:ascii="仿宋_GB2312" w:eastAsia="仿宋_GB2312"/>
          <w:sz w:val="32"/>
          <w:szCs w:val="32"/>
        </w:rPr>
        <w:t>危废基础</w:t>
      </w:r>
      <w:proofErr w:type="gramEnd"/>
      <w:r>
        <w:rPr>
          <w:rFonts w:ascii="仿宋_GB2312" w:eastAsia="仿宋_GB2312"/>
          <w:sz w:val="32"/>
          <w:szCs w:val="32"/>
        </w:rPr>
        <w:t>状况调查，建立危险废物重点监管单位清单。</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、强化生态环境保护执法监管。</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绩效目标：持续开展各类环境执法专项行动，依法严厉打击各类环境违法行为，最大限度减少污染物排放。充分发挥科技执法手段，提升环境执法效能。</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绩效指标：</w:t>
      </w:r>
      <w:r>
        <w:rPr>
          <w:rFonts w:ascii="仿宋_GB2312" w:eastAsia="仿宋_GB2312" w:hint="eastAsia"/>
          <w:sz w:val="32"/>
          <w:szCs w:val="32"/>
        </w:rPr>
        <w:t>全区</w:t>
      </w:r>
      <w:r>
        <w:rPr>
          <w:rFonts w:ascii="仿宋_GB2312" w:eastAsia="仿宋_GB2312"/>
          <w:sz w:val="32"/>
          <w:szCs w:val="32"/>
        </w:rPr>
        <w:t>环境质量逐步好转。上级交办环境违法案件查处率100%。</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sz w:val="32"/>
          <w:szCs w:val="32"/>
        </w:rPr>
        <w:t xml:space="preserve">    （三）工作保障措施</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1.进一步提高政治站位，深入学习贯彻落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平生态文明思想和省、市委决策部署要求，切实把思想和行动统一到习近平总书记关于做好生态环境保护的重要指示和省、市委决策部署上来，坚持生态优先，确保高新区生态环境持续好转。</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2.按照省市安排部署，紧盯空气质量改善目标，继续做好大气污染防治强化管控工作，重污染天气预警期间，加大检查执法力度，对不落实重污染天气应急响应减排措施的单位严惩重罚。</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3.持续开展水污染防治工作。全面推进工业企业污水达标排放，重拳惩治环境违法行为。对涉水工业企业污水处理设施运行及排放情况进行全面排查，尤其是对于不能入网直排外环境或直接排河的工业企业作为重中之重，确保污水处理设施稳定达标运行。严厉惩处偷排漏排和向河道非法倾倒废酸、废碱等危险废物及废污水的行为，打击私设暗管或利用渗井、渗坑排放、倾倒含有毒有害污染物废水、含病原体污水或者未经批准拆除、闲置水污染物处理设施等环境违法行为。</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4.做好国家版排污许可证核发工作。按照《固定污染源排污许可分类管理名录》及相关法律法规，逐行业核发国家版排污许可证，做到应发尽发，为合法企业正常生产经营提供保障。</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5.规范企业一般固体废物和危险废物管理。做到分类明确、去向明确、存放规范，建设固定堆存场所，防风防雨；加强危险废物平台管理，加强企业危险废物管理意识，持续督导企业建设符合要求的</w:t>
      </w:r>
      <w:proofErr w:type="gramStart"/>
      <w:r>
        <w:rPr>
          <w:rFonts w:ascii="仿宋_GB2312" w:eastAsia="仿宋_GB2312" w:hint="eastAsia"/>
          <w:sz w:val="32"/>
          <w:szCs w:val="32"/>
        </w:rPr>
        <w:t>危废间</w:t>
      </w:r>
      <w:proofErr w:type="gramEnd"/>
      <w:r>
        <w:rPr>
          <w:rFonts w:ascii="仿宋_GB2312" w:eastAsia="仿宋_GB2312" w:hint="eastAsia"/>
          <w:sz w:val="32"/>
          <w:szCs w:val="32"/>
        </w:rPr>
        <w:t>、危废库。</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6.对上级督查交办问题及时处理，举一反三，加大各</w:t>
      </w:r>
      <w:proofErr w:type="gramStart"/>
      <w:r>
        <w:rPr>
          <w:rFonts w:ascii="仿宋_GB2312" w:eastAsia="仿宋_GB2312" w:hint="eastAsia"/>
          <w:sz w:val="32"/>
          <w:szCs w:val="32"/>
        </w:rPr>
        <w:t>类涉气</w:t>
      </w:r>
      <w:proofErr w:type="gramEnd"/>
      <w:r>
        <w:rPr>
          <w:rFonts w:ascii="仿宋_GB2312" w:eastAsia="仿宋_GB2312" w:hint="eastAsia"/>
          <w:sz w:val="32"/>
          <w:szCs w:val="32"/>
        </w:rPr>
        <w:t>环境违法行为打击力度，持续巩固大气污染防治成效，推动环境空气质量改善。</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7.开展精细排查，对辖区内工业企业环保设施安装、不正常运行污染防治设施、超标排放等环境违法行为进行检查。对违规建设项目和超标排污企业依法采取停产、限产整治等措施。涉及环境犯</w:t>
      </w:r>
      <w:r>
        <w:rPr>
          <w:rFonts w:ascii="仿宋_GB2312" w:eastAsia="仿宋_GB2312" w:hint="eastAsia"/>
          <w:sz w:val="32"/>
          <w:szCs w:val="32"/>
        </w:rPr>
        <w:lastRenderedPageBreak/>
        <w:t xml:space="preserve">罪的，依法追究刑事责任。  </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8.完成“双随机”抽查工作的年度任务要求。进一步加强对企业的现场监察，完成年度监察任务。按照监测监察联动工作机制要求，对被抽查单位同步开展监测和监察。对随机抽查发现的环境违法行为，发现一起，公开查处一起，依法从严从重处罚，始终保持严厉打击环境违法行为的高压态势。</w:t>
      </w:r>
    </w:p>
    <w:p w:rsidR="007E0328" w:rsidRDefault="003E1D29">
      <w:pPr>
        <w:pStyle w:val="a6"/>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9.规范处理环境信访投诉案件。进一步规范信访投诉办理工作程序，提高办事效率，强化办案质量，及时妥善处理各类环境信访投诉。确保辖区内不发生环境信访问题越级访和群体访事件。</w:t>
      </w:r>
    </w:p>
    <w:p w:rsidR="007E0328" w:rsidRDefault="007E0328"/>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3E1D29">
      <w:pPr>
        <w:spacing w:line="580" w:lineRule="exact"/>
        <w:rPr>
          <w:rFonts w:ascii="仿宋" w:eastAsia="仿宋" w:hAnsi="仿宋" w:cs="仿宋"/>
          <w:sz w:val="24"/>
        </w:rPr>
      </w:pPr>
      <w:r>
        <w:rPr>
          <w:rFonts w:ascii="仿宋" w:eastAsia="仿宋" w:hAnsi="仿宋" w:cs="仿宋" w:hint="eastAsia"/>
          <w:sz w:val="24"/>
        </w:rPr>
        <w:t>1.  交通费</w:t>
      </w:r>
    </w:p>
    <w:tbl>
      <w:tblPr>
        <w:tblW w:w="8952" w:type="dxa"/>
        <w:tblLayout w:type="fixed"/>
        <w:tblCellMar>
          <w:top w:w="15" w:type="dxa"/>
          <w:left w:w="15" w:type="dxa"/>
          <w:bottom w:w="15" w:type="dxa"/>
          <w:right w:w="15" w:type="dxa"/>
        </w:tblCellMar>
        <w:tblLook w:val="04A0" w:firstRow="1" w:lastRow="0" w:firstColumn="1" w:lastColumn="0" w:noHBand="0" w:noVBand="1"/>
      </w:tblPr>
      <w:tblGrid>
        <w:gridCol w:w="648"/>
        <w:gridCol w:w="1106"/>
        <w:gridCol w:w="1464"/>
        <w:gridCol w:w="1293"/>
        <w:gridCol w:w="1078"/>
        <w:gridCol w:w="1423"/>
        <w:gridCol w:w="979"/>
        <w:gridCol w:w="961"/>
      </w:tblGrid>
      <w:tr w:rsidR="007E0328">
        <w:trPr>
          <w:trHeight w:val="615"/>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项目</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编码</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w:t>
            </w:r>
            <w:proofErr w:type="gramStart"/>
            <w:r>
              <w:rPr>
                <w:rFonts w:ascii="仿宋" w:eastAsia="仿宋" w:hAnsi="仿宋" w:cs="仿宋" w:hint="eastAsia"/>
                <w:b/>
                <w:color w:val="000000"/>
                <w:sz w:val="24"/>
              </w:rPr>
              <w:t>——</w:t>
            </w:r>
            <w:proofErr w:type="gramEnd"/>
          </w:p>
        </w:tc>
        <w:tc>
          <w:tcPr>
            <w:tcW w:w="129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交通费</w:t>
            </w:r>
          </w:p>
        </w:tc>
      </w:tr>
      <w:tr w:rsidR="007E0328">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预算数    </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16.1万元</w:t>
            </w:r>
          </w:p>
        </w:tc>
        <w:tc>
          <w:tcPr>
            <w:tcW w:w="129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16.1万元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 0  </w:t>
            </w:r>
          </w:p>
        </w:tc>
      </w:tr>
      <w:tr w:rsidR="007E0328">
        <w:trPr>
          <w:trHeight w:val="607"/>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kern w:val="0"/>
                <w:sz w:val="24"/>
              </w:rPr>
              <w:t>租用电动车费用，租车费1.8万元*7；保险费06.万元*7</w:t>
            </w:r>
          </w:p>
        </w:tc>
      </w:tr>
      <w:tr w:rsidR="007E0328">
        <w:trPr>
          <w:trHeight w:val="429"/>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资金支出计划（%）</w:t>
            </w: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3月底</w:t>
            </w:r>
          </w:p>
        </w:tc>
        <w:tc>
          <w:tcPr>
            <w:tcW w:w="129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12月底</w:t>
            </w:r>
          </w:p>
        </w:tc>
      </w:tr>
      <w:tr w:rsidR="007E0328">
        <w:trPr>
          <w:trHeight w:val="564"/>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257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25%</w:t>
            </w:r>
          </w:p>
        </w:tc>
        <w:tc>
          <w:tcPr>
            <w:tcW w:w="1293" w:type="dxa"/>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50%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100%</w:t>
            </w:r>
          </w:p>
        </w:tc>
      </w:tr>
      <w:tr w:rsidR="007E0328">
        <w:trPr>
          <w:trHeight w:val="3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kern w:val="0"/>
                <w:sz w:val="24"/>
              </w:rPr>
              <w:t>按合同要求支付保险费用</w:t>
            </w:r>
          </w:p>
        </w:tc>
      </w:tr>
      <w:tr w:rsidR="007E0328">
        <w:trPr>
          <w:trHeight w:val="126"/>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kern w:val="0"/>
                <w:sz w:val="24"/>
              </w:rPr>
              <w:t>按合同要求支付租车费用</w:t>
            </w:r>
          </w:p>
        </w:tc>
      </w:tr>
      <w:tr w:rsidR="007E0328">
        <w:trPr>
          <w:trHeight w:val="90"/>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一级指标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二级指标</w:t>
            </w:r>
          </w:p>
        </w:tc>
        <w:tc>
          <w:tcPr>
            <w:tcW w:w="1464"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三级指标</w:t>
            </w:r>
          </w:p>
        </w:tc>
        <w:tc>
          <w:tcPr>
            <w:tcW w:w="3794"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绩效指标描述</w:t>
            </w:r>
          </w:p>
        </w:tc>
        <w:tc>
          <w:tcPr>
            <w:tcW w:w="979" w:type="dxa"/>
            <w:vMerge w:val="restart"/>
            <w:tcBorders>
              <w:top w:val="single" w:sz="4" w:space="0" w:color="000000"/>
              <w:left w:val="single" w:sz="4" w:space="0" w:color="000000"/>
              <w:bottom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指标值确定依据</w:t>
            </w:r>
          </w:p>
        </w:tc>
      </w:tr>
      <w:tr w:rsidR="007E0328">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464"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3794" w:type="dxa"/>
            <w:gridSpan w:val="3"/>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979" w:type="dxa"/>
            <w:vMerge/>
            <w:tcBorders>
              <w:top w:val="single" w:sz="4" w:space="0" w:color="000000"/>
              <w:left w:val="single" w:sz="4" w:space="0" w:color="000000"/>
              <w:bottom w:val="single" w:sz="4" w:space="0" w:color="000000"/>
            </w:tcBorders>
            <w:vAlign w:val="center"/>
          </w:tcPr>
          <w:p w:rsidR="007E0328" w:rsidRDefault="007E0328">
            <w:pPr>
              <w:jc w:val="center"/>
              <w:rPr>
                <w:rFonts w:ascii="仿宋" w:eastAsia="仿宋" w:hAnsi="仿宋" w:cs="仿宋"/>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r>
      <w:tr w:rsidR="007E0328">
        <w:trPr>
          <w:trHeight w:val="9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产出指标 </w:t>
            </w:r>
          </w:p>
        </w:tc>
        <w:tc>
          <w:tcPr>
            <w:tcW w:w="1106" w:type="dxa"/>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数量指标</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租用电动车数量</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租用电动车数量7辆</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&gt;=7辆</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车辆现状</w:t>
            </w:r>
          </w:p>
        </w:tc>
      </w:tr>
      <w:tr w:rsidR="007E0328">
        <w:trPr>
          <w:trHeight w:val="90"/>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质量指标</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车辆是否正常运行</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车辆是否正常运行</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车辆现状</w:t>
            </w:r>
          </w:p>
        </w:tc>
      </w:tr>
      <w:tr w:rsidR="007E0328">
        <w:trPr>
          <w:trHeight w:val="259"/>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时效指标</w:t>
            </w:r>
          </w:p>
        </w:tc>
        <w:tc>
          <w:tcPr>
            <w:tcW w:w="1464"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每辆电动车行驶公里数</w:t>
            </w:r>
          </w:p>
        </w:tc>
        <w:tc>
          <w:tcPr>
            <w:tcW w:w="3794" w:type="dxa"/>
            <w:gridSpan w:val="3"/>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每辆电动车行驶公里数</w:t>
            </w:r>
          </w:p>
        </w:tc>
        <w:tc>
          <w:tcPr>
            <w:tcW w:w="979"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&gt;=100公里</w:t>
            </w:r>
          </w:p>
        </w:tc>
        <w:tc>
          <w:tcPr>
            <w:tcW w:w="961" w:type="dxa"/>
            <w:tcBorders>
              <w:top w:val="single" w:sz="4" w:space="0" w:color="000000"/>
              <w:left w:val="single" w:sz="4" w:space="0" w:color="000000"/>
              <w:bottom w:val="single" w:sz="4" w:space="0" w:color="auto"/>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车辆现状</w:t>
            </w:r>
          </w:p>
        </w:tc>
      </w:tr>
      <w:tr w:rsidR="007E0328">
        <w:trPr>
          <w:trHeight w:val="90"/>
        </w:trPr>
        <w:tc>
          <w:tcPr>
            <w:tcW w:w="648" w:type="dxa"/>
            <w:vMerge/>
            <w:tcBorders>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auto"/>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成本指标</w:t>
            </w:r>
          </w:p>
        </w:tc>
        <w:tc>
          <w:tcPr>
            <w:tcW w:w="1464"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3794" w:type="dxa"/>
            <w:gridSpan w:val="3"/>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979"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auto"/>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金额比较</w:t>
            </w:r>
          </w:p>
        </w:tc>
      </w:tr>
      <w:tr w:rsidR="007E0328">
        <w:trPr>
          <w:trHeight w:val="90"/>
        </w:trPr>
        <w:tc>
          <w:tcPr>
            <w:tcW w:w="648" w:type="dxa"/>
            <w:vMerge w:val="restart"/>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效果指标</w:t>
            </w:r>
          </w:p>
        </w:tc>
        <w:tc>
          <w:tcPr>
            <w:tcW w:w="1106"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生态效益指标</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空气质量情况</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辖区空气质量是否改善</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监测数据</w:t>
            </w:r>
          </w:p>
        </w:tc>
      </w:tr>
      <w:tr w:rsidR="007E0328">
        <w:trPr>
          <w:trHeight w:val="90"/>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经济效益指标</w:t>
            </w:r>
          </w:p>
        </w:tc>
        <w:tc>
          <w:tcPr>
            <w:tcW w:w="1464"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120"/>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auto"/>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社会效益指标</w:t>
            </w:r>
          </w:p>
        </w:tc>
        <w:tc>
          <w:tcPr>
            <w:tcW w:w="1464" w:type="dxa"/>
            <w:tcBorders>
              <w:top w:val="single" w:sz="4" w:space="0" w:color="auto"/>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资金完成率</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支出资金占去年资金比</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＞80%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＞90%</w:t>
            </w:r>
          </w:p>
        </w:tc>
      </w:tr>
      <w:tr w:rsidR="007E0328">
        <w:trPr>
          <w:trHeight w:val="90"/>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可持续性影响</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推进项目快速进展率</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推动项目快速数量比项目数量</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＞90%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775"/>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满意度指标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服务对象满意度指标</w:t>
            </w:r>
          </w:p>
        </w:tc>
        <w:tc>
          <w:tcPr>
            <w:tcW w:w="1464"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kern w:val="0"/>
                <w:sz w:val="24"/>
              </w:rPr>
            </w:pPr>
            <w:r>
              <w:rPr>
                <w:rFonts w:ascii="仿宋" w:eastAsia="仿宋" w:hAnsi="仿宋" w:cs="仿宋" w:hint="eastAsia"/>
                <w:color w:val="000000"/>
                <w:kern w:val="0"/>
                <w:sz w:val="24"/>
              </w:rPr>
              <w:t>工作人员满意度</w:t>
            </w:r>
          </w:p>
        </w:tc>
        <w:tc>
          <w:tcPr>
            <w:tcW w:w="3794"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工作人员对电车的满意程度</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rPr>
              <w:t>&gt;=80%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调查报告</w:t>
            </w:r>
          </w:p>
        </w:tc>
      </w:tr>
    </w:tbl>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3E1D29">
      <w:pPr>
        <w:spacing w:line="580" w:lineRule="exact"/>
        <w:rPr>
          <w:rFonts w:ascii="仿宋" w:eastAsia="仿宋" w:hAnsi="仿宋" w:cs="仿宋"/>
          <w:sz w:val="24"/>
        </w:rPr>
      </w:pPr>
      <w:r>
        <w:rPr>
          <w:rFonts w:ascii="仿宋" w:eastAsia="仿宋" w:hAnsi="仿宋" w:cs="仿宋" w:hint="eastAsia"/>
          <w:sz w:val="24"/>
        </w:rPr>
        <w:t>2.  企业监督性监测</w:t>
      </w:r>
    </w:p>
    <w:tbl>
      <w:tblPr>
        <w:tblW w:w="8952" w:type="dxa"/>
        <w:tblLayout w:type="fixed"/>
        <w:tblCellMar>
          <w:top w:w="15" w:type="dxa"/>
          <w:left w:w="15" w:type="dxa"/>
          <w:bottom w:w="15" w:type="dxa"/>
          <w:right w:w="15" w:type="dxa"/>
        </w:tblCellMar>
        <w:tblLook w:val="04A0" w:firstRow="1" w:lastRow="0" w:firstColumn="1" w:lastColumn="0" w:noHBand="0" w:noVBand="1"/>
      </w:tblPr>
      <w:tblGrid>
        <w:gridCol w:w="701"/>
        <w:gridCol w:w="1053"/>
        <w:gridCol w:w="1315"/>
        <w:gridCol w:w="1442"/>
        <w:gridCol w:w="1078"/>
        <w:gridCol w:w="1423"/>
        <w:gridCol w:w="979"/>
        <w:gridCol w:w="961"/>
      </w:tblGrid>
      <w:tr w:rsidR="007E0328">
        <w:trPr>
          <w:trHeight w:val="379"/>
        </w:trPr>
        <w:tc>
          <w:tcPr>
            <w:tcW w:w="70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项目</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编码</w:t>
            </w: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w:t>
            </w:r>
            <w:proofErr w:type="gramStart"/>
            <w:r>
              <w:rPr>
                <w:rFonts w:ascii="仿宋" w:eastAsia="仿宋" w:hAnsi="仿宋" w:cs="仿宋" w:hint="eastAsia"/>
                <w:b/>
                <w:color w:val="000000"/>
                <w:sz w:val="24"/>
              </w:rPr>
              <w:t>——</w:t>
            </w:r>
            <w:proofErr w:type="gramEnd"/>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企业监督性监测</w:t>
            </w:r>
          </w:p>
        </w:tc>
      </w:tr>
      <w:tr w:rsidR="007E0328">
        <w:trPr>
          <w:trHeight w:val="217"/>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预算规模及资金用途</w:t>
            </w: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30万元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30万元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0  </w:t>
            </w:r>
          </w:p>
        </w:tc>
      </w:tr>
      <w:tr w:rsidR="007E0328">
        <w:trPr>
          <w:trHeight w:val="328"/>
        </w:trPr>
        <w:tc>
          <w:tcPr>
            <w:tcW w:w="70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8251" w:type="dxa"/>
            <w:gridSpan w:val="7"/>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主要用于辖区内的大气、水、土的检测费用</w:t>
            </w:r>
          </w:p>
        </w:tc>
      </w:tr>
      <w:tr w:rsidR="007E0328">
        <w:trPr>
          <w:trHeight w:val="282"/>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资金支出计划（%）</w:t>
            </w: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12月底</w:t>
            </w:r>
          </w:p>
        </w:tc>
      </w:tr>
      <w:tr w:rsidR="007E0328">
        <w:trPr>
          <w:trHeight w:val="475"/>
        </w:trPr>
        <w:tc>
          <w:tcPr>
            <w:tcW w:w="70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2368"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25</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50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100</w:t>
            </w:r>
          </w:p>
        </w:tc>
      </w:tr>
      <w:tr w:rsidR="007E0328">
        <w:trPr>
          <w:trHeight w:val="280"/>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绩效目标</w:t>
            </w: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按合同要求支付</w:t>
            </w:r>
          </w:p>
        </w:tc>
      </w:tr>
      <w:tr w:rsidR="007E0328">
        <w:trPr>
          <w:trHeight w:val="118"/>
        </w:trPr>
        <w:tc>
          <w:tcPr>
            <w:tcW w:w="70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90"/>
        </w:trPr>
        <w:tc>
          <w:tcPr>
            <w:tcW w:w="70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450"/>
        </w:trPr>
        <w:tc>
          <w:tcPr>
            <w:tcW w:w="70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一级</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053"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绩效指标描述</w:t>
            </w:r>
          </w:p>
        </w:tc>
        <w:tc>
          <w:tcPr>
            <w:tcW w:w="979" w:type="dxa"/>
            <w:vMerge w:val="restart"/>
            <w:tcBorders>
              <w:top w:val="single" w:sz="4" w:space="0" w:color="000000"/>
              <w:left w:val="single" w:sz="4" w:space="0" w:color="000000"/>
              <w:bottom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指标值确定依据</w:t>
            </w:r>
          </w:p>
        </w:tc>
      </w:tr>
      <w:tr w:rsidR="007E0328">
        <w:trPr>
          <w:trHeight w:val="312"/>
        </w:trPr>
        <w:tc>
          <w:tcPr>
            <w:tcW w:w="70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979" w:type="dxa"/>
            <w:vMerge/>
            <w:tcBorders>
              <w:top w:val="single" w:sz="4" w:space="0" w:color="000000"/>
              <w:left w:val="single" w:sz="4" w:space="0" w:color="000000"/>
              <w:bottom w:val="single" w:sz="4" w:space="0" w:color="000000"/>
            </w:tcBorders>
            <w:vAlign w:val="center"/>
          </w:tcPr>
          <w:p w:rsidR="007E0328" w:rsidRDefault="007E0328">
            <w:pPr>
              <w:jc w:val="center"/>
              <w:rPr>
                <w:rFonts w:ascii="仿宋" w:eastAsia="仿宋" w:hAnsi="仿宋" w:cs="仿宋"/>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r>
      <w:tr w:rsidR="007E0328">
        <w:trPr>
          <w:trHeight w:val="630"/>
        </w:trPr>
        <w:tc>
          <w:tcPr>
            <w:tcW w:w="701" w:type="dxa"/>
            <w:vMerge w:val="restart"/>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产出</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指标 </w:t>
            </w:r>
          </w:p>
        </w:tc>
        <w:tc>
          <w:tcPr>
            <w:tcW w:w="1053"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时效指标</w:t>
            </w:r>
          </w:p>
        </w:tc>
        <w:tc>
          <w:tcPr>
            <w:tcW w:w="1315"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按照进度支出</w:t>
            </w:r>
          </w:p>
        </w:tc>
        <w:tc>
          <w:tcPr>
            <w:tcW w:w="3943" w:type="dxa"/>
            <w:gridSpan w:val="3"/>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按照进度支出</w:t>
            </w:r>
          </w:p>
        </w:tc>
        <w:tc>
          <w:tcPr>
            <w:tcW w:w="979"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支出进度</w:t>
            </w:r>
          </w:p>
        </w:tc>
      </w:tr>
      <w:tr w:rsidR="007E0328">
        <w:trPr>
          <w:trHeight w:val="90"/>
        </w:trPr>
        <w:tc>
          <w:tcPr>
            <w:tcW w:w="701"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按照价格优先</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按照价格优先</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 xml:space="preserve">购买价格 </w:t>
            </w:r>
          </w:p>
        </w:tc>
      </w:tr>
      <w:tr w:rsidR="007E0328">
        <w:trPr>
          <w:trHeight w:val="535"/>
        </w:trPr>
        <w:tc>
          <w:tcPr>
            <w:tcW w:w="701"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监测数量</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监测数量</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5</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监测次数</w:t>
            </w:r>
          </w:p>
        </w:tc>
      </w:tr>
      <w:tr w:rsidR="007E0328">
        <w:trPr>
          <w:trHeight w:val="418"/>
        </w:trPr>
        <w:tc>
          <w:tcPr>
            <w:tcW w:w="701" w:type="dxa"/>
            <w:vMerge/>
            <w:tcBorders>
              <w:left w:val="single" w:sz="4" w:space="0" w:color="000000"/>
              <w:bottom w:val="single" w:sz="4" w:space="0" w:color="auto"/>
              <w:right w:val="single" w:sz="4" w:space="0" w:color="000000"/>
            </w:tcBorders>
            <w:vAlign w:val="center"/>
          </w:tcPr>
          <w:p w:rsidR="007E0328" w:rsidRDefault="007E0328">
            <w:pPr>
              <w:widowControl/>
              <w:jc w:val="center"/>
              <w:textAlignment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报告的公正性</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报告的公正性</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证书</w:t>
            </w:r>
          </w:p>
        </w:tc>
      </w:tr>
      <w:tr w:rsidR="007E0328">
        <w:trPr>
          <w:trHeight w:val="301"/>
        </w:trPr>
        <w:tc>
          <w:tcPr>
            <w:tcW w:w="701" w:type="dxa"/>
            <w:vMerge w:val="restart"/>
            <w:tcBorders>
              <w:top w:val="single" w:sz="4" w:space="0" w:color="auto"/>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效果</w:t>
            </w:r>
          </w:p>
          <w:p w:rsidR="007E0328" w:rsidRDefault="003E1D29">
            <w:pPr>
              <w:jc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053"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90"/>
        </w:trPr>
        <w:tc>
          <w:tcPr>
            <w:tcW w:w="701"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社会效益指标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资金完成率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支出资金占去年资金比</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＞80%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＞90%</w:t>
            </w:r>
          </w:p>
        </w:tc>
      </w:tr>
      <w:tr w:rsidR="007E0328">
        <w:trPr>
          <w:trHeight w:val="149"/>
        </w:trPr>
        <w:tc>
          <w:tcPr>
            <w:tcW w:w="701"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可持续性影响</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推进项目快速进展率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推动项目快速数量比项目数量</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＞90%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495"/>
        </w:trPr>
        <w:tc>
          <w:tcPr>
            <w:tcW w:w="70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满意度指标</w:t>
            </w:r>
          </w:p>
        </w:tc>
        <w:tc>
          <w:tcPr>
            <w:tcW w:w="105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对提供厂的满意程度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对提供厂的满意程度</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服务满意度</w:t>
            </w:r>
          </w:p>
        </w:tc>
      </w:tr>
    </w:tbl>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3E1D29">
      <w:pPr>
        <w:spacing w:line="580" w:lineRule="exact"/>
        <w:rPr>
          <w:rFonts w:ascii="仿宋" w:eastAsia="仿宋" w:hAnsi="仿宋" w:cs="仿宋"/>
          <w:sz w:val="24"/>
        </w:rPr>
      </w:pPr>
      <w:r>
        <w:rPr>
          <w:rFonts w:ascii="仿宋" w:eastAsia="仿宋" w:hAnsi="仿宋" w:cs="仿宋" w:hint="eastAsia"/>
          <w:sz w:val="24"/>
        </w:rPr>
        <w:t>3.  大气</w:t>
      </w:r>
      <w:proofErr w:type="gramStart"/>
      <w:r>
        <w:rPr>
          <w:rFonts w:ascii="仿宋" w:eastAsia="仿宋" w:hAnsi="仿宋" w:cs="仿宋" w:hint="eastAsia"/>
          <w:sz w:val="24"/>
        </w:rPr>
        <w:t>网格化运维</w:t>
      </w:r>
      <w:proofErr w:type="gramEnd"/>
    </w:p>
    <w:tbl>
      <w:tblPr>
        <w:tblW w:w="8952" w:type="dxa"/>
        <w:tblLayout w:type="fixed"/>
        <w:tblCellMar>
          <w:top w:w="15" w:type="dxa"/>
          <w:left w:w="15" w:type="dxa"/>
          <w:bottom w:w="15" w:type="dxa"/>
          <w:right w:w="15" w:type="dxa"/>
        </w:tblCellMar>
        <w:tblLook w:val="04A0" w:firstRow="1" w:lastRow="0" w:firstColumn="1" w:lastColumn="0" w:noHBand="0" w:noVBand="1"/>
      </w:tblPr>
      <w:tblGrid>
        <w:gridCol w:w="648"/>
        <w:gridCol w:w="1106"/>
        <w:gridCol w:w="1315"/>
        <w:gridCol w:w="1442"/>
        <w:gridCol w:w="1078"/>
        <w:gridCol w:w="1423"/>
        <w:gridCol w:w="979"/>
        <w:gridCol w:w="961"/>
      </w:tblGrid>
      <w:tr w:rsidR="007E0328">
        <w:trPr>
          <w:trHeight w:val="277"/>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项目</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w:t>
            </w:r>
            <w:proofErr w:type="gramStart"/>
            <w:r>
              <w:rPr>
                <w:rFonts w:ascii="仿宋" w:eastAsia="仿宋" w:hAnsi="仿宋" w:cs="仿宋" w:hint="eastAsia"/>
                <w:b/>
                <w:color w:val="000000"/>
                <w:sz w:val="24"/>
              </w:rPr>
              <w:t>——</w:t>
            </w:r>
            <w:proofErr w:type="gramEnd"/>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大气</w:t>
            </w:r>
            <w:proofErr w:type="gramStart"/>
            <w:r>
              <w:rPr>
                <w:rFonts w:ascii="仿宋" w:eastAsia="仿宋" w:hAnsi="仿宋" w:cs="仿宋" w:hint="eastAsia"/>
                <w:b/>
                <w:color w:val="000000"/>
                <w:sz w:val="24"/>
              </w:rPr>
              <w:t>网格化运维</w:t>
            </w:r>
            <w:proofErr w:type="gramEnd"/>
            <w:r>
              <w:rPr>
                <w:rFonts w:ascii="仿宋" w:eastAsia="仿宋" w:hAnsi="仿宋" w:cs="仿宋" w:hint="eastAsia"/>
                <w:b/>
                <w:color w:val="000000"/>
                <w:sz w:val="24"/>
              </w:rPr>
              <w:t>费</w:t>
            </w:r>
          </w:p>
        </w:tc>
      </w:tr>
      <w:tr w:rsidR="007E0328">
        <w:trPr>
          <w:trHeight w:val="364"/>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100万元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100万元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0  </w:t>
            </w:r>
          </w:p>
        </w:tc>
      </w:tr>
      <w:tr w:rsidR="007E0328">
        <w:trPr>
          <w:trHeight w:val="578"/>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按照合同要求，需安排大气网格精准监控决策分析系统运维费</w:t>
            </w:r>
          </w:p>
        </w:tc>
      </w:tr>
      <w:tr w:rsidR="007E0328">
        <w:trPr>
          <w:trHeight w:val="488"/>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12月底</w:t>
            </w:r>
          </w:p>
        </w:tc>
      </w:tr>
      <w:tr w:rsidR="007E0328">
        <w:trPr>
          <w:trHeight w:val="475"/>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25</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50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100</w:t>
            </w:r>
          </w:p>
        </w:tc>
      </w:tr>
      <w:tr w:rsidR="007E0328">
        <w:trPr>
          <w:trHeight w:val="123"/>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确保大气网格精准监控决策分析系统正常运行</w:t>
            </w:r>
          </w:p>
        </w:tc>
      </w:tr>
      <w:tr w:rsidR="007E0328">
        <w:trPr>
          <w:trHeight w:val="222"/>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确保大气网格精准监控决策分析系统监测数据准确</w:t>
            </w:r>
          </w:p>
        </w:tc>
      </w:tr>
      <w:tr w:rsidR="007E0328">
        <w:trPr>
          <w:trHeight w:val="141"/>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一级</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绩效指标描述</w:t>
            </w:r>
          </w:p>
        </w:tc>
        <w:tc>
          <w:tcPr>
            <w:tcW w:w="979" w:type="dxa"/>
            <w:vMerge w:val="restart"/>
            <w:tcBorders>
              <w:top w:val="single" w:sz="4" w:space="0" w:color="000000"/>
              <w:left w:val="single" w:sz="4" w:space="0" w:color="000000"/>
              <w:bottom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指标值确定依据</w:t>
            </w:r>
          </w:p>
        </w:tc>
      </w:tr>
      <w:tr w:rsidR="007E0328">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979" w:type="dxa"/>
            <w:vMerge/>
            <w:tcBorders>
              <w:top w:val="single" w:sz="4" w:space="0" w:color="000000"/>
              <w:left w:val="single" w:sz="4" w:space="0" w:color="000000"/>
              <w:bottom w:val="single" w:sz="4" w:space="0" w:color="000000"/>
            </w:tcBorders>
            <w:vAlign w:val="center"/>
          </w:tcPr>
          <w:p w:rsidR="007E0328" w:rsidRDefault="007E0328">
            <w:pPr>
              <w:jc w:val="center"/>
              <w:rPr>
                <w:rFonts w:ascii="仿宋" w:eastAsia="仿宋" w:hAnsi="仿宋" w:cs="仿宋"/>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r>
      <w:tr w:rsidR="007E0328">
        <w:trPr>
          <w:trHeight w:val="58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产出</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指标 </w:t>
            </w:r>
          </w:p>
        </w:tc>
        <w:tc>
          <w:tcPr>
            <w:tcW w:w="1106"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质量指标</w:t>
            </w:r>
          </w:p>
        </w:tc>
        <w:tc>
          <w:tcPr>
            <w:tcW w:w="1315"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监测数据的准确性</w:t>
            </w:r>
          </w:p>
        </w:tc>
        <w:tc>
          <w:tcPr>
            <w:tcW w:w="3943" w:type="dxa"/>
            <w:gridSpan w:val="3"/>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确保大气网格精准监控决策分析系统监测数据是都准确</w:t>
            </w:r>
          </w:p>
        </w:tc>
        <w:tc>
          <w:tcPr>
            <w:tcW w:w="979"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监测数据</w:t>
            </w:r>
          </w:p>
        </w:tc>
      </w:tr>
      <w:tr w:rsidR="007E0328">
        <w:trPr>
          <w:trHeight w:val="326"/>
        </w:trPr>
        <w:tc>
          <w:tcPr>
            <w:tcW w:w="648" w:type="dxa"/>
            <w:vMerge/>
            <w:tcBorders>
              <w:left w:val="single" w:sz="4" w:space="0" w:color="000000"/>
              <w:right w:val="single" w:sz="4" w:space="0" w:color="000000"/>
            </w:tcBorders>
            <w:vAlign w:val="center"/>
          </w:tcPr>
          <w:p w:rsidR="007E0328" w:rsidRDefault="007E0328">
            <w:pPr>
              <w:widowControl/>
              <w:jc w:val="center"/>
              <w:textAlignment w:val="center"/>
              <w:rPr>
                <w:rFonts w:ascii="仿宋" w:eastAsia="仿宋" w:hAnsi="仿宋" w:cs="仿宋"/>
                <w:b/>
                <w:color w:val="000000"/>
                <w:kern w:val="0"/>
                <w:sz w:val="24"/>
                <w:lang w:bidi="ar"/>
              </w:rPr>
            </w:pPr>
          </w:p>
        </w:tc>
        <w:tc>
          <w:tcPr>
            <w:tcW w:w="1106" w:type="dxa"/>
            <w:tcBorders>
              <w:top w:val="single" w:sz="4" w:space="0" w:color="auto"/>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成本指标</w:t>
            </w:r>
          </w:p>
        </w:tc>
        <w:tc>
          <w:tcPr>
            <w:tcW w:w="1315"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3943" w:type="dxa"/>
            <w:gridSpan w:val="3"/>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979"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auto"/>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金额比较</w:t>
            </w:r>
          </w:p>
        </w:tc>
      </w:tr>
      <w:tr w:rsidR="007E0328">
        <w:trPr>
          <w:trHeight w:val="221"/>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时效指标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proofErr w:type="gramStart"/>
            <w:r>
              <w:rPr>
                <w:rFonts w:ascii="仿宋" w:eastAsia="仿宋" w:hAnsi="仿宋" w:cs="仿宋" w:hint="eastAsia"/>
                <w:color w:val="000000"/>
                <w:kern w:val="0"/>
                <w:sz w:val="24"/>
                <w:lang w:bidi="ar"/>
              </w:rPr>
              <w:t>按确保</w:t>
            </w:r>
            <w:proofErr w:type="gramEnd"/>
            <w:r>
              <w:rPr>
                <w:rFonts w:ascii="仿宋" w:eastAsia="仿宋" w:hAnsi="仿宋" w:cs="仿宋" w:hint="eastAsia"/>
                <w:color w:val="000000"/>
                <w:kern w:val="0"/>
                <w:sz w:val="24"/>
                <w:lang w:bidi="ar"/>
              </w:rPr>
              <w:t>辖区内监测点位正常运行</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proofErr w:type="gramStart"/>
            <w:r>
              <w:rPr>
                <w:rFonts w:ascii="仿宋" w:eastAsia="仿宋" w:hAnsi="仿宋" w:cs="仿宋" w:hint="eastAsia"/>
                <w:color w:val="000000"/>
                <w:kern w:val="0"/>
                <w:sz w:val="24"/>
                <w:lang w:bidi="ar"/>
              </w:rPr>
              <w:t>按确保</w:t>
            </w:r>
            <w:proofErr w:type="gramEnd"/>
            <w:r>
              <w:rPr>
                <w:rFonts w:ascii="仿宋" w:eastAsia="仿宋" w:hAnsi="仿宋" w:cs="仿宋" w:hint="eastAsia"/>
                <w:color w:val="000000"/>
                <w:kern w:val="0"/>
                <w:sz w:val="24"/>
                <w:lang w:bidi="ar"/>
              </w:rPr>
              <w:t>辖区内监测点位正常运行</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监测数据</w:t>
            </w:r>
          </w:p>
        </w:tc>
      </w:tr>
      <w:tr w:rsidR="007E0328">
        <w:trPr>
          <w:trHeight w:val="765"/>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确保辖区内</w:t>
            </w:r>
            <w:proofErr w:type="gramStart"/>
            <w:r>
              <w:rPr>
                <w:rFonts w:ascii="仿宋" w:eastAsia="仿宋" w:hAnsi="仿宋" w:cs="仿宋" w:hint="eastAsia"/>
                <w:color w:val="000000"/>
                <w:kern w:val="0"/>
                <w:sz w:val="24"/>
                <w:lang w:bidi="ar"/>
              </w:rPr>
              <w:t>监测点位运维</w:t>
            </w:r>
            <w:proofErr w:type="gramEnd"/>
            <w:r>
              <w:rPr>
                <w:rFonts w:ascii="仿宋" w:eastAsia="仿宋" w:hAnsi="仿宋" w:cs="仿宋" w:hint="eastAsia"/>
                <w:color w:val="000000"/>
                <w:kern w:val="0"/>
                <w:sz w:val="24"/>
                <w:lang w:bidi="ar"/>
              </w:rPr>
              <w:t>完成</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确保辖区内</w:t>
            </w:r>
            <w:proofErr w:type="gramStart"/>
            <w:r>
              <w:rPr>
                <w:rFonts w:ascii="仿宋" w:eastAsia="仿宋" w:hAnsi="仿宋" w:cs="仿宋" w:hint="eastAsia"/>
                <w:color w:val="000000"/>
                <w:kern w:val="0"/>
                <w:sz w:val="24"/>
                <w:lang w:bidi="ar"/>
              </w:rPr>
              <w:t>监测点位运维</w:t>
            </w:r>
            <w:proofErr w:type="gramEnd"/>
            <w:r>
              <w:rPr>
                <w:rFonts w:ascii="仿宋" w:eastAsia="仿宋" w:hAnsi="仿宋" w:cs="仿宋" w:hint="eastAsia"/>
                <w:color w:val="000000"/>
                <w:kern w:val="0"/>
                <w:sz w:val="24"/>
                <w:lang w:bidi="ar"/>
              </w:rPr>
              <w:t>完成</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监测数据</w:t>
            </w:r>
          </w:p>
        </w:tc>
      </w:tr>
      <w:tr w:rsidR="007E0328">
        <w:trPr>
          <w:trHeight w:val="95"/>
        </w:trPr>
        <w:tc>
          <w:tcPr>
            <w:tcW w:w="648" w:type="dxa"/>
            <w:vMerge w:val="restart"/>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lastRenderedPageBreak/>
              <w:t>效果</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106"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生态效益指标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空气质量情况</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辖区空气质量是否改善</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监测数据</w:t>
            </w:r>
          </w:p>
        </w:tc>
      </w:tr>
      <w:tr w:rsidR="007E0328">
        <w:trPr>
          <w:trHeight w:val="194"/>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auto"/>
              <w:right w:val="single" w:sz="4" w:space="0" w:color="auto"/>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经济效益指标</w:t>
            </w:r>
          </w:p>
        </w:tc>
        <w:tc>
          <w:tcPr>
            <w:tcW w:w="1315" w:type="dxa"/>
            <w:tcBorders>
              <w:top w:val="single" w:sz="4" w:space="0" w:color="000000"/>
              <w:left w:val="single" w:sz="4" w:space="0" w:color="auto"/>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943" w:type="dxa"/>
            <w:gridSpan w:val="3"/>
            <w:tcBorders>
              <w:top w:val="single" w:sz="4" w:space="0" w:color="000000"/>
              <w:left w:val="single" w:sz="4" w:space="0" w:color="000000"/>
              <w:bottom w:val="single" w:sz="4" w:space="0" w:color="000000"/>
              <w:right w:val="single" w:sz="4" w:space="0" w:color="auto"/>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auto"/>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473"/>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auto"/>
              <w:left w:val="single" w:sz="4" w:space="0" w:color="000000"/>
              <w:bottom w:val="single" w:sz="4" w:space="0" w:color="000000"/>
              <w:right w:val="single" w:sz="4" w:space="0" w:color="auto"/>
            </w:tcBorders>
            <w:vAlign w:val="center"/>
          </w:tcPr>
          <w:p w:rsidR="007E0328" w:rsidRDefault="003E1D2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可持续性影响</w:t>
            </w:r>
          </w:p>
        </w:tc>
        <w:tc>
          <w:tcPr>
            <w:tcW w:w="1315" w:type="dxa"/>
            <w:tcBorders>
              <w:top w:val="single" w:sz="4" w:space="0" w:color="000000"/>
              <w:left w:val="single" w:sz="4" w:space="0" w:color="auto"/>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推进项目快速进展率</w:t>
            </w:r>
          </w:p>
        </w:tc>
        <w:tc>
          <w:tcPr>
            <w:tcW w:w="3943" w:type="dxa"/>
            <w:gridSpan w:val="3"/>
            <w:tcBorders>
              <w:top w:val="single" w:sz="4" w:space="0" w:color="000000"/>
              <w:left w:val="single" w:sz="4" w:space="0" w:color="000000"/>
              <w:bottom w:val="single" w:sz="4" w:space="0" w:color="000000"/>
              <w:right w:val="single" w:sz="4" w:space="0" w:color="auto"/>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推动项目快速数量比项目数量</w:t>
            </w:r>
          </w:p>
        </w:tc>
        <w:tc>
          <w:tcPr>
            <w:tcW w:w="979" w:type="dxa"/>
            <w:tcBorders>
              <w:top w:val="single" w:sz="4" w:space="0" w:color="000000"/>
              <w:left w:val="single" w:sz="4" w:space="0" w:color="auto"/>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＞90%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720"/>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满意度指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服务对象满意度指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rPr>
              <w:t>群众满意度</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群众满对空气质量的满意程度</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rPr>
              <w:t>&gt;=80%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调查报告</w:t>
            </w:r>
          </w:p>
        </w:tc>
      </w:tr>
    </w:tbl>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3E1D29">
      <w:pPr>
        <w:spacing w:line="580" w:lineRule="exact"/>
        <w:rPr>
          <w:rFonts w:ascii="仿宋" w:eastAsia="仿宋" w:hAnsi="仿宋" w:cs="仿宋"/>
          <w:sz w:val="24"/>
        </w:rPr>
      </w:pPr>
      <w:r>
        <w:rPr>
          <w:rFonts w:ascii="仿宋" w:eastAsia="仿宋" w:hAnsi="仿宋" w:cs="仿宋" w:hint="eastAsia"/>
          <w:sz w:val="24"/>
        </w:rPr>
        <w:t>4.园区规划环境影响跟踪评价</w:t>
      </w:r>
    </w:p>
    <w:tbl>
      <w:tblPr>
        <w:tblW w:w="8952" w:type="dxa"/>
        <w:tblLayout w:type="fixed"/>
        <w:tblCellMar>
          <w:top w:w="15" w:type="dxa"/>
          <w:left w:w="15" w:type="dxa"/>
          <w:bottom w:w="15" w:type="dxa"/>
          <w:right w:w="15" w:type="dxa"/>
        </w:tblCellMar>
        <w:tblLook w:val="04A0" w:firstRow="1" w:lastRow="0" w:firstColumn="1" w:lastColumn="0" w:noHBand="0" w:noVBand="1"/>
      </w:tblPr>
      <w:tblGrid>
        <w:gridCol w:w="709"/>
        <w:gridCol w:w="1045"/>
        <w:gridCol w:w="1315"/>
        <w:gridCol w:w="1442"/>
        <w:gridCol w:w="1078"/>
        <w:gridCol w:w="1423"/>
        <w:gridCol w:w="979"/>
        <w:gridCol w:w="961"/>
      </w:tblGrid>
      <w:tr w:rsidR="007E0328">
        <w:trPr>
          <w:trHeight w:val="615"/>
        </w:trPr>
        <w:tc>
          <w:tcPr>
            <w:tcW w:w="70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项目</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编码</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w:t>
            </w:r>
            <w:proofErr w:type="gramStart"/>
            <w:r>
              <w:rPr>
                <w:rFonts w:ascii="仿宋" w:eastAsia="仿宋" w:hAnsi="仿宋" w:cs="仿宋" w:hint="eastAsia"/>
                <w:b/>
                <w:color w:val="000000"/>
                <w:sz w:val="24"/>
              </w:rPr>
              <w:t>——</w:t>
            </w:r>
            <w:proofErr w:type="gramEnd"/>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园区规划环境影响跟踪评价</w:t>
            </w:r>
          </w:p>
        </w:tc>
      </w:tr>
      <w:tr w:rsidR="007E0328">
        <w:trPr>
          <w:trHeight w:val="55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预算规模及资金用途</w:t>
            </w: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93.3万元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93.3万元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0  </w:t>
            </w:r>
          </w:p>
        </w:tc>
      </w:tr>
      <w:tr w:rsidR="007E0328">
        <w:trPr>
          <w:trHeight w:val="600"/>
        </w:trPr>
        <w:tc>
          <w:tcPr>
            <w:tcW w:w="709"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8243" w:type="dxa"/>
            <w:gridSpan w:val="7"/>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建城区和北部拓展区规划环境影响跟踪评价，省生态环境厅《关于进一步强化园区规划环境影响评价工作管理的通知》（冀</w:t>
            </w:r>
            <w:proofErr w:type="gramStart"/>
            <w:r>
              <w:rPr>
                <w:rFonts w:ascii="仿宋" w:eastAsia="仿宋" w:hAnsi="仿宋" w:cs="仿宋" w:hint="eastAsia"/>
                <w:color w:val="000000"/>
                <w:sz w:val="24"/>
              </w:rPr>
              <w:t>环环评函《2019》</w:t>
            </w:r>
            <w:proofErr w:type="gramEnd"/>
            <w:r>
              <w:rPr>
                <w:rFonts w:ascii="仿宋" w:eastAsia="仿宋" w:hAnsi="仿宋" w:cs="仿宋" w:hint="eastAsia"/>
                <w:color w:val="000000"/>
                <w:sz w:val="24"/>
              </w:rPr>
              <w:t>709号）测算</w:t>
            </w:r>
          </w:p>
        </w:tc>
      </w:tr>
      <w:tr w:rsidR="007E0328">
        <w:trPr>
          <w:trHeight w:val="61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资金支出计划（%）</w:t>
            </w: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12月底</w:t>
            </w:r>
          </w:p>
        </w:tc>
      </w:tr>
      <w:tr w:rsidR="007E0328">
        <w:trPr>
          <w:trHeight w:val="528"/>
        </w:trPr>
        <w:tc>
          <w:tcPr>
            <w:tcW w:w="709"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236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25</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50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100</w:t>
            </w:r>
          </w:p>
        </w:tc>
      </w:tr>
      <w:tr w:rsidR="007E0328">
        <w:trPr>
          <w:trHeight w:val="206"/>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绩效目标</w:t>
            </w: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实现园区内建设项目引进更加科学</w:t>
            </w:r>
          </w:p>
        </w:tc>
      </w:tr>
      <w:tr w:rsidR="007E0328">
        <w:trPr>
          <w:trHeight w:val="90"/>
        </w:trPr>
        <w:tc>
          <w:tcPr>
            <w:tcW w:w="709"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90"/>
        </w:trPr>
        <w:tc>
          <w:tcPr>
            <w:tcW w:w="709"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450"/>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一级</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045"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绩效指标描述</w:t>
            </w:r>
          </w:p>
        </w:tc>
        <w:tc>
          <w:tcPr>
            <w:tcW w:w="979" w:type="dxa"/>
            <w:vMerge w:val="restart"/>
            <w:tcBorders>
              <w:top w:val="single" w:sz="4" w:space="0" w:color="000000"/>
              <w:left w:val="single" w:sz="4" w:space="0" w:color="000000"/>
              <w:bottom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指标值确定依据</w:t>
            </w:r>
          </w:p>
        </w:tc>
      </w:tr>
      <w:tr w:rsidR="007E0328">
        <w:trPr>
          <w:trHeight w:val="312"/>
        </w:trPr>
        <w:tc>
          <w:tcPr>
            <w:tcW w:w="709"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979" w:type="dxa"/>
            <w:vMerge/>
            <w:tcBorders>
              <w:top w:val="single" w:sz="4" w:space="0" w:color="000000"/>
              <w:left w:val="single" w:sz="4" w:space="0" w:color="000000"/>
              <w:bottom w:val="single" w:sz="4" w:space="0" w:color="000000"/>
            </w:tcBorders>
            <w:vAlign w:val="center"/>
          </w:tcPr>
          <w:p w:rsidR="007E0328" w:rsidRDefault="007E0328">
            <w:pPr>
              <w:jc w:val="center"/>
              <w:rPr>
                <w:rFonts w:ascii="仿宋" w:eastAsia="仿宋" w:hAnsi="仿宋" w:cs="仿宋"/>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r>
      <w:tr w:rsidR="007E0328">
        <w:trPr>
          <w:trHeight w:val="232"/>
        </w:trPr>
        <w:tc>
          <w:tcPr>
            <w:tcW w:w="709" w:type="dxa"/>
            <w:vMerge w:val="restart"/>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产出</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指标 </w:t>
            </w:r>
          </w:p>
        </w:tc>
        <w:tc>
          <w:tcPr>
            <w:tcW w:w="1045"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时效指标</w:t>
            </w:r>
          </w:p>
        </w:tc>
        <w:tc>
          <w:tcPr>
            <w:tcW w:w="1315"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预计年中完成跟踪评价</w:t>
            </w:r>
          </w:p>
        </w:tc>
        <w:tc>
          <w:tcPr>
            <w:tcW w:w="3943" w:type="dxa"/>
            <w:gridSpan w:val="3"/>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预计年中完成跟踪评价</w:t>
            </w:r>
          </w:p>
        </w:tc>
        <w:tc>
          <w:tcPr>
            <w:tcW w:w="979"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通过审查</w:t>
            </w:r>
          </w:p>
        </w:tc>
      </w:tr>
      <w:tr w:rsidR="007E0328">
        <w:trPr>
          <w:trHeight w:val="577"/>
        </w:trPr>
        <w:tc>
          <w:tcPr>
            <w:tcW w:w="709"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质量指标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通过生态环境部和省生态环境厅审查</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通过生态环境部和省生态环境厅审查</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通过审查</w:t>
            </w:r>
          </w:p>
        </w:tc>
      </w:tr>
      <w:tr w:rsidR="007E0328">
        <w:trPr>
          <w:trHeight w:val="247"/>
        </w:trPr>
        <w:tc>
          <w:tcPr>
            <w:tcW w:w="709"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完成2个跟踪评价</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完成2个跟踪评价</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通过审查</w:t>
            </w:r>
          </w:p>
        </w:tc>
      </w:tr>
      <w:tr w:rsidR="007E0328">
        <w:trPr>
          <w:trHeight w:val="90"/>
        </w:trPr>
        <w:tc>
          <w:tcPr>
            <w:tcW w:w="709" w:type="dxa"/>
            <w:vMerge/>
            <w:tcBorders>
              <w:left w:val="single" w:sz="4" w:space="0" w:color="000000"/>
              <w:bottom w:val="single" w:sz="4" w:space="0" w:color="auto"/>
              <w:right w:val="single" w:sz="4" w:space="0" w:color="000000"/>
            </w:tcBorders>
            <w:vAlign w:val="center"/>
          </w:tcPr>
          <w:p w:rsidR="007E0328" w:rsidRDefault="007E0328">
            <w:pPr>
              <w:widowControl/>
              <w:jc w:val="center"/>
              <w:textAlignment w:val="center"/>
              <w:rPr>
                <w:rFonts w:ascii="仿宋" w:eastAsia="仿宋" w:hAnsi="仿宋" w:cs="仿宋"/>
                <w:b/>
                <w:color w:val="000000"/>
                <w:sz w:val="24"/>
              </w:rPr>
            </w:pPr>
          </w:p>
        </w:tc>
        <w:tc>
          <w:tcPr>
            <w:tcW w:w="1045"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金额比较</w:t>
            </w:r>
          </w:p>
        </w:tc>
      </w:tr>
      <w:tr w:rsidR="007E0328">
        <w:trPr>
          <w:trHeight w:val="90"/>
        </w:trPr>
        <w:tc>
          <w:tcPr>
            <w:tcW w:w="709" w:type="dxa"/>
            <w:vMerge w:val="restart"/>
            <w:tcBorders>
              <w:top w:val="single" w:sz="4" w:space="0" w:color="auto"/>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lastRenderedPageBreak/>
              <w:t>效果</w:t>
            </w:r>
          </w:p>
          <w:p w:rsidR="007E0328" w:rsidRDefault="003E1D29">
            <w:pPr>
              <w:jc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045"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90"/>
        </w:trPr>
        <w:tc>
          <w:tcPr>
            <w:tcW w:w="709" w:type="dxa"/>
            <w:vMerge/>
            <w:tcBorders>
              <w:left w:val="single" w:sz="4" w:space="0" w:color="000000"/>
              <w:bottom w:val="single" w:sz="4" w:space="0" w:color="auto"/>
              <w:right w:val="single" w:sz="4" w:space="0" w:color="000000"/>
            </w:tcBorders>
            <w:vAlign w:val="center"/>
          </w:tcPr>
          <w:p w:rsidR="007E0328" w:rsidRDefault="007E0328">
            <w:pPr>
              <w:jc w:val="center"/>
              <w:rPr>
                <w:rFonts w:ascii="仿宋" w:eastAsia="仿宋" w:hAnsi="仿宋" w:cs="仿宋"/>
                <w:b/>
                <w:color w:val="000000"/>
                <w:sz w:val="24"/>
              </w:rPr>
            </w:pPr>
          </w:p>
        </w:tc>
        <w:tc>
          <w:tcPr>
            <w:tcW w:w="1045" w:type="dxa"/>
            <w:tcBorders>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社会效益指标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资金完成率</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支出资金占去年资金比</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＞80%</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＞90%</w:t>
            </w:r>
          </w:p>
        </w:tc>
      </w:tr>
      <w:tr w:rsidR="007E0328">
        <w:trPr>
          <w:trHeight w:val="628"/>
        </w:trPr>
        <w:tc>
          <w:tcPr>
            <w:tcW w:w="70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满意度指标</w:t>
            </w:r>
          </w:p>
        </w:tc>
        <w:tc>
          <w:tcPr>
            <w:tcW w:w="104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是否满意</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是否对服务满意</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专家评审意见</w:t>
            </w:r>
          </w:p>
        </w:tc>
      </w:tr>
    </w:tbl>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7E0328">
      <w:pPr>
        <w:spacing w:line="580" w:lineRule="exact"/>
        <w:rPr>
          <w:rFonts w:ascii="仿宋" w:eastAsia="仿宋" w:hAnsi="仿宋" w:cs="仿宋"/>
          <w:sz w:val="24"/>
        </w:rPr>
      </w:pPr>
    </w:p>
    <w:p w:rsidR="007E0328" w:rsidRDefault="003E1D29">
      <w:pPr>
        <w:spacing w:line="580" w:lineRule="exact"/>
        <w:rPr>
          <w:rFonts w:ascii="仿宋" w:eastAsia="仿宋" w:hAnsi="仿宋" w:cs="仿宋"/>
          <w:sz w:val="24"/>
        </w:rPr>
      </w:pPr>
      <w:r>
        <w:rPr>
          <w:rFonts w:ascii="仿宋" w:eastAsia="仿宋" w:hAnsi="仿宋" w:cs="仿宋" w:hint="eastAsia"/>
          <w:sz w:val="24"/>
        </w:rPr>
        <w:t>5.环保监测运维及管控系统升级经费</w:t>
      </w:r>
    </w:p>
    <w:tbl>
      <w:tblPr>
        <w:tblW w:w="8952" w:type="dxa"/>
        <w:tblLayout w:type="fixed"/>
        <w:tblCellMar>
          <w:top w:w="15" w:type="dxa"/>
          <w:left w:w="15" w:type="dxa"/>
          <w:bottom w:w="15" w:type="dxa"/>
          <w:right w:w="15" w:type="dxa"/>
        </w:tblCellMar>
        <w:tblLook w:val="04A0" w:firstRow="1" w:lastRow="0" w:firstColumn="1" w:lastColumn="0" w:noHBand="0" w:noVBand="1"/>
      </w:tblPr>
      <w:tblGrid>
        <w:gridCol w:w="648"/>
        <w:gridCol w:w="1106"/>
        <w:gridCol w:w="1315"/>
        <w:gridCol w:w="1442"/>
        <w:gridCol w:w="1078"/>
        <w:gridCol w:w="1423"/>
        <w:gridCol w:w="979"/>
        <w:gridCol w:w="961"/>
      </w:tblGrid>
      <w:tr w:rsidR="007E0328">
        <w:trPr>
          <w:trHeight w:val="247"/>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项目</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编码</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w:t>
            </w:r>
            <w:proofErr w:type="gramStart"/>
            <w:r>
              <w:rPr>
                <w:rFonts w:ascii="仿宋" w:eastAsia="仿宋" w:hAnsi="仿宋" w:cs="仿宋" w:hint="eastAsia"/>
                <w:b/>
                <w:color w:val="000000"/>
                <w:sz w:val="24"/>
              </w:rPr>
              <w:t>——</w:t>
            </w:r>
            <w:proofErr w:type="gramEnd"/>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项目名称</w:t>
            </w:r>
          </w:p>
        </w:tc>
        <w:tc>
          <w:tcPr>
            <w:tcW w:w="4441" w:type="dxa"/>
            <w:gridSpan w:val="4"/>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环保监测运维及管控系统升级经费</w:t>
            </w:r>
          </w:p>
        </w:tc>
      </w:tr>
      <w:tr w:rsidR="007E0328">
        <w:trPr>
          <w:trHeight w:val="55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预算规模及资金用途</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预算数    </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15万元</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其中：财政资金</w:t>
            </w:r>
          </w:p>
        </w:tc>
        <w:tc>
          <w:tcPr>
            <w:tcW w:w="1078"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b/>
                <w:color w:val="000000"/>
                <w:sz w:val="24"/>
              </w:rPr>
            </w:pPr>
            <w:r>
              <w:rPr>
                <w:rFonts w:ascii="仿宋" w:eastAsia="仿宋" w:hAnsi="仿宋" w:cs="仿宋" w:hint="eastAsia"/>
                <w:b/>
                <w:color w:val="000000"/>
                <w:sz w:val="24"/>
              </w:rPr>
              <w:t>15万元</w:t>
            </w:r>
          </w:p>
        </w:tc>
        <w:tc>
          <w:tcPr>
            <w:tcW w:w="1423"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其他资金</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0  </w:t>
            </w:r>
          </w:p>
        </w:tc>
      </w:tr>
      <w:tr w:rsidR="007E0328">
        <w:trPr>
          <w:trHeight w:val="534"/>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8304" w:type="dxa"/>
            <w:gridSpan w:val="7"/>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统筹用于餐饮油烟、扬尘监测运维费及餐饮油烟系统升级费用。</w:t>
            </w:r>
          </w:p>
        </w:tc>
      </w:tr>
      <w:tr w:rsidR="007E0328">
        <w:trPr>
          <w:trHeight w:val="615"/>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资金支出计划（%）</w:t>
            </w: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3月底</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6月底</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10月底</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12月底</w:t>
            </w:r>
          </w:p>
        </w:tc>
      </w:tr>
      <w:tr w:rsidR="007E0328">
        <w:trPr>
          <w:trHeight w:val="528"/>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242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b/>
                <w:color w:val="000000"/>
                <w:sz w:val="24"/>
              </w:rPr>
            </w:pPr>
            <w:r>
              <w:rPr>
                <w:rFonts w:ascii="仿宋" w:eastAsia="仿宋" w:hAnsi="仿宋" w:cs="仿宋" w:hint="eastAsia"/>
                <w:b/>
                <w:color w:val="000000"/>
                <w:sz w:val="24"/>
              </w:rPr>
              <w:t>25</w:t>
            </w:r>
          </w:p>
        </w:tc>
        <w:tc>
          <w:tcPr>
            <w:tcW w:w="1442" w:type="dxa"/>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50</w:t>
            </w:r>
          </w:p>
        </w:tc>
        <w:tc>
          <w:tcPr>
            <w:tcW w:w="2501"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75</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7E0328" w:rsidRDefault="003E1D29">
            <w:pPr>
              <w:jc w:val="center"/>
              <w:rPr>
                <w:rFonts w:ascii="仿宋" w:eastAsia="仿宋" w:hAnsi="仿宋" w:cs="仿宋"/>
                <w:color w:val="000000"/>
                <w:sz w:val="24"/>
              </w:rPr>
            </w:pPr>
            <w:r>
              <w:rPr>
                <w:rFonts w:ascii="仿宋" w:eastAsia="仿宋" w:hAnsi="仿宋" w:cs="仿宋" w:hint="eastAsia"/>
                <w:color w:val="000000"/>
                <w:sz w:val="24"/>
              </w:rPr>
              <w:t>100</w:t>
            </w:r>
          </w:p>
        </w:tc>
      </w:tr>
      <w:tr w:rsidR="007E0328">
        <w:trPr>
          <w:trHeight w:val="222"/>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绩效目标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目标1</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3E1D29">
            <w:pPr>
              <w:jc w:val="left"/>
              <w:rPr>
                <w:rFonts w:ascii="仿宋" w:eastAsia="仿宋" w:hAnsi="仿宋" w:cs="仿宋"/>
                <w:color w:val="000000"/>
                <w:sz w:val="24"/>
              </w:rPr>
            </w:pPr>
            <w:r>
              <w:rPr>
                <w:rFonts w:ascii="仿宋" w:eastAsia="仿宋" w:hAnsi="仿宋" w:cs="仿宋" w:hint="eastAsia"/>
                <w:color w:val="000000"/>
                <w:sz w:val="24"/>
              </w:rPr>
              <w:t>确保餐饮油烟监测平台正常运行</w:t>
            </w:r>
          </w:p>
        </w:tc>
      </w:tr>
      <w:tr w:rsidR="007E0328">
        <w:trPr>
          <w:trHeight w:val="266"/>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目标2</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90"/>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w:t>
            </w:r>
          </w:p>
        </w:tc>
        <w:tc>
          <w:tcPr>
            <w:tcW w:w="7198" w:type="dxa"/>
            <w:gridSpan w:val="6"/>
            <w:tcBorders>
              <w:top w:val="single" w:sz="4" w:space="0" w:color="000000"/>
              <w:left w:val="single" w:sz="4" w:space="0" w:color="000000"/>
              <w:bottom w:val="single" w:sz="4" w:space="0" w:color="000000"/>
              <w:right w:val="single" w:sz="4" w:space="0" w:color="000000"/>
            </w:tcBorders>
            <w:vAlign w:val="center"/>
          </w:tcPr>
          <w:p w:rsidR="007E0328" w:rsidRDefault="007E0328">
            <w:pPr>
              <w:jc w:val="left"/>
              <w:rPr>
                <w:rFonts w:ascii="仿宋" w:eastAsia="仿宋" w:hAnsi="仿宋" w:cs="仿宋"/>
                <w:color w:val="000000"/>
                <w:sz w:val="24"/>
              </w:rPr>
            </w:pPr>
          </w:p>
        </w:tc>
      </w:tr>
      <w:tr w:rsidR="007E0328">
        <w:trPr>
          <w:trHeight w:val="45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一级</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二级指标</w:t>
            </w:r>
          </w:p>
        </w:tc>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三级指标</w:t>
            </w:r>
          </w:p>
        </w:tc>
        <w:tc>
          <w:tcPr>
            <w:tcW w:w="3943"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绩效指标描述</w:t>
            </w:r>
          </w:p>
        </w:tc>
        <w:tc>
          <w:tcPr>
            <w:tcW w:w="979" w:type="dxa"/>
            <w:vMerge w:val="restart"/>
            <w:tcBorders>
              <w:top w:val="single" w:sz="4" w:space="0" w:color="000000"/>
              <w:left w:val="single" w:sz="4" w:space="0" w:color="000000"/>
              <w:bottom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指标值确定依据</w:t>
            </w:r>
          </w:p>
        </w:tc>
      </w:tr>
      <w:tr w:rsidR="007E0328">
        <w:trPr>
          <w:trHeight w:val="312"/>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315"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3943" w:type="dxa"/>
            <w:gridSpan w:val="3"/>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979" w:type="dxa"/>
            <w:vMerge/>
            <w:tcBorders>
              <w:top w:val="single" w:sz="4" w:space="0" w:color="000000"/>
              <w:left w:val="single" w:sz="4" w:space="0" w:color="000000"/>
              <w:bottom w:val="single" w:sz="4" w:space="0" w:color="000000"/>
            </w:tcBorders>
            <w:vAlign w:val="center"/>
          </w:tcPr>
          <w:p w:rsidR="007E0328" w:rsidRDefault="007E0328">
            <w:pPr>
              <w:jc w:val="center"/>
              <w:rPr>
                <w:rFonts w:ascii="仿宋" w:eastAsia="仿宋" w:hAnsi="仿宋" w:cs="仿宋"/>
                <w:b/>
                <w:color w:val="000000"/>
                <w:sz w:val="24"/>
              </w:rPr>
            </w:pPr>
          </w:p>
        </w:tc>
        <w:tc>
          <w:tcPr>
            <w:tcW w:w="961"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r>
      <w:tr w:rsidR="007E0328">
        <w:trPr>
          <w:trHeight w:val="440"/>
        </w:trPr>
        <w:tc>
          <w:tcPr>
            <w:tcW w:w="648" w:type="dxa"/>
            <w:vMerge w:val="restart"/>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t>产出</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 xml:space="preserve">指标 </w:t>
            </w:r>
          </w:p>
        </w:tc>
        <w:tc>
          <w:tcPr>
            <w:tcW w:w="1106"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时效指标</w:t>
            </w:r>
          </w:p>
        </w:tc>
        <w:tc>
          <w:tcPr>
            <w:tcW w:w="1315"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按照进度支出</w:t>
            </w:r>
          </w:p>
        </w:tc>
        <w:tc>
          <w:tcPr>
            <w:tcW w:w="3943" w:type="dxa"/>
            <w:gridSpan w:val="3"/>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按照进度支出</w:t>
            </w:r>
          </w:p>
        </w:tc>
        <w:tc>
          <w:tcPr>
            <w:tcW w:w="979"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auto"/>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支出进度</w:t>
            </w:r>
          </w:p>
        </w:tc>
      </w:tr>
      <w:tr w:rsidR="007E0328">
        <w:trPr>
          <w:trHeight w:val="149"/>
        </w:trPr>
        <w:tc>
          <w:tcPr>
            <w:tcW w:w="648" w:type="dxa"/>
            <w:vMerge/>
            <w:tcBorders>
              <w:left w:val="single" w:sz="4" w:space="0" w:color="000000"/>
              <w:right w:val="single" w:sz="4" w:space="0" w:color="000000"/>
            </w:tcBorders>
            <w:vAlign w:val="center"/>
          </w:tcPr>
          <w:p w:rsidR="007E0328" w:rsidRDefault="007E0328">
            <w:pPr>
              <w:widowControl/>
              <w:jc w:val="center"/>
              <w:textAlignment w:val="center"/>
              <w:rPr>
                <w:rFonts w:ascii="仿宋" w:eastAsia="仿宋" w:hAnsi="仿宋" w:cs="仿宋"/>
                <w:b/>
                <w:color w:val="000000"/>
                <w:kern w:val="0"/>
                <w:sz w:val="24"/>
                <w:lang w:bidi="ar"/>
              </w:rPr>
            </w:pPr>
          </w:p>
        </w:tc>
        <w:tc>
          <w:tcPr>
            <w:tcW w:w="1106"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质量指标</w:t>
            </w:r>
          </w:p>
        </w:tc>
        <w:tc>
          <w:tcPr>
            <w:tcW w:w="1315"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3943" w:type="dxa"/>
            <w:gridSpan w:val="3"/>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是否最大限度节省预算</w:t>
            </w:r>
          </w:p>
        </w:tc>
        <w:tc>
          <w:tcPr>
            <w:tcW w:w="979" w:type="dxa"/>
            <w:tcBorders>
              <w:top w:val="single" w:sz="4" w:space="0" w:color="auto"/>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auto"/>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金额比较</w:t>
            </w:r>
          </w:p>
        </w:tc>
      </w:tr>
      <w:tr w:rsidR="007E0328">
        <w:trPr>
          <w:trHeight w:val="90"/>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成本指标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proofErr w:type="gramStart"/>
            <w:r>
              <w:rPr>
                <w:rFonts w:ascii="仿宋" w:eastAsia="仿宋" w:hAnsi="仿宋" w:cs="仿宋" w:hint="eastAsia"/>
                <w:color w:val="000000"/>
                <w:kern w:val="0"/>
                <w:sz w:val="24"/>
                <w:lang w:bidi="ar"/>
              </w:rPr>
              <w:t>按确保</w:t>
            </w:r>
            <w:proofErr w:type="gramEnd"/>
            <w:r>
              <w:rPr>
                <w:rFonts w:ascii="仿宋" w:eastAsia="仿宋" w:hAnsi="仿宋" w:cs="仿宋" w:hint="eastAsia"/>
                <w:color w:val="000000"/>
                <w:kern w:val="0"/>
                <w:sz w:val="24"/>
                <w:lang w:bidi="ar"/>
              </w:rPr>
              <w:t>餐饮油烟监测平台正常运行</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proofErr w:type="gramStart"/>
            <w:r>
              <w:rPr>
                <w:rFonts w:ascii="仿宋" w:eastAsia="仿宋" w:hAnsi="仿宋" w:cs="仿宋" w:hint="eastAsia"/>
                <w:color w:val="000000"/>
                <w:kern w:val="0"/>
                <w:sz w:val="24"/>
                <w:lang w:bidi="ar"/>
              </w:rPr>
              <w:t>按确保</w:t>
            </w:r>
            <w:proofErr w:type="gramEnd"/>
            <w:r>
              <w:rPr>
                <w:rFonts w:ascii="仿宋" w:eastAsia="仿宋" w:hAnsi="仿宋" w:cs="仿宋" w:hint="eastAsia"/>
                <w:color w:val="000000"/>
                <w:kern w:val="0"/>
                <w:sz w:val="24"/>
                <w:lang w:bidi="ar"/>
              </w:rPr>
              <w:t>餐饮油烟监测平台正常运行</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监测数据</w:t>
            </w:r>
          </w:p>
        </w:tc>
      </w:tr>
      <w:tr w:rsidR="007E0328">
        <w:trPr>
          <w:trHeight w:val="220"/>
        </w:trPr>
        <w:tc>
          <w:tcPr>
            <w:tcW w:w="648" w:type="dxa"/>
            <w:vMerge/>
            <w:tcBorders>
              <w:top w:val="single" w:sz="4" w:space="0" w:color="000000"/>
              <w:left w:val="single" w:sz="4" w:space="0" w:color="000000"/>
              <w:bottom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数量指标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确保餐饮油烟平台运维完成</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kern w:val="0"/>
                <w:sz w:val="24"/>
                <w:lang w:bidi="ar"/>
              </w:rPr>
              <w:t>确保餐饮油烟平台运维完成</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监测数据</w:t>
            </w:r>
          </w:p>
        </w:tc>
      </w:tr>
      <w:tr w:rsidR="007E0328">
        <w:trPr>
          <w:trHeight w:val="90"/>
        </w:trPr>
        <w:tc>
          <w:tcPr>
            <w:tcW w:w="648" w:type="dxa"/>
            <w:vMerge w:val="restart"/>
            <w:tcBorders>
              <w:top w:val="single" w:sz="4" w:space="0" w:color="000000"/>
              <w:left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kern w:val="0"/>
                <w:sz w:val="24"/>
                <w:lang w:bidi="ar"/>
              </w:rPr>
            </w:pPr>
            <w:r>
              <w:rPr>
                <w:rFonts w:ascii="仿宋" w:eastAsia="仿宋" w:hAnsi="仿宋" w:cs="仿宋" w:hint="eastAsia"/>
                <w:b/>
                <w:color w:val="000000"/>
                <w:kern w:val="0"/>
                <w:sz w:val="24"/>
                <w:lang w:bidi="ar"/>
              </w:rPr>
              <w:lastRenderedPageBreak/>
              <w:t>效果</w:t>
            </w:r>
          </w:p>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指标</w:t>
            </w:r>
          </w:p>
        </w:tc>
        <w:tc>
          <w:tcPr>
            <w:tcW w:w="1106"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生态效益指标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空气质量情况</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辖区空气质量是否改善</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监测数据</w:t>
            </w:r>
          </w:p>
        </w:tc>
      </w:tr>
      <w:tr w:rsidR="007E0328">
        <w:trPr>
          <w:trHeight w:val="120"/>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sz w:val="24"/>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90"/>
        </w:trPr>
        <w:tc>
          <w:tcPr>
            <w:tcW w:w="648" w:type="dxa"/>
            <w:vMerge/>
            <w:tcBorders>
              <w:left w:val="single" w:sz="4" w:space="0" w:color="000000"/>
              <w:right w:val="single" w:sz="4" w:space="0" w:color="000000"/>
            </w:tcBorders>
            <w:vAlign w:val="center"/>
          </w:tcPr>
          <w:p w:rsidR="007E0328" w:rsidRDefault="007E0328">
            <w:pPr>
              <w:jc w:val="center"/>
              <w:rPr>
                <w:rFonts w:ascii="仿宋" w:eastAsia="仿宋" w:hAnsi="仿宋" w:cs="仿宋"/>
                <w:b/>
                <w:color w:val="000000"/>
                <w:sz w:val="24"/>
              </w:rPr>
            </w:pP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lang w:bidi="ar"/>
              </w:rPr>
            </w:pPr>
            <w:r>
              <w:rPr>
                <w:rFonts w:ascii="仿宋" w:eastAsia="仿宋" w:hAnsi="仿宋" w:cs="仿宋" w:hint="eastAsia"/>
                <w:color w:val="000000"/>
                <w:sz w:val="24"/>
              </w:rPr>
              <w:t>经济效益指标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w:t>
            </w:r>
            <w:proofErr w:type="gramStart"/>
            <w:r>
              <w:rPr>
                <w:rFonts w:ascii="仿宋" w:eastAsia="仿宋" w:hAnsi="仿宋" w:cs="仿宋" w:hint="eastAsia"/>
                <w:color w:val="000000"/>
                <w:sz w:val="24"/>
              </w:rPr>
              <w:t>实支付</w:t>
            </w:r>
            <w:proofErr w:type="gramEnd"/>
            <w:r>
              <w:rPr>
                <w:rFonts w:ascii="仿宋" w:eastAsia="仿宋" w:hAnsi="仿宋" w:cs="仿宋" w:hint="eastAsia"/>
                <w:color w:val="000000"/>
                <w:sz w:val="24"/>
              </w:rPr>
              <w:t>费用</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按照合同拖欠费用天数</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kern w:val="0"/>
                <w:sz w:val="24"/>
              </w:rPr>
            </w:pPr>
            <w:r>
              <w:rPr>
                <w:rFonts w:ascii="仿宋" w:eastAsia="仿宋" w:hAnsi="仿宋" w:cs="仿宋" w:hint="eastAsia"/>
                <w:color w:val="000000"/>
                <w:sz w:val="24"/>
              </w:rPr>
              <w:t>≤10天</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rPr>
                <w:rFonts w:ascii="仿宋" w:eastAsia="仿宋" w:hAnsi="仿宋" w:cs="仿宋"/>
                <w:color w:val="000000"/>
                <w:sz w:val="24"/>
              </w:rPr>
            </w:pPr>
            <w:r>
              <w:rPr>
                <w:rFonts w:ascii="仿宋" w:eastAsia="仿宋" w:hAnsi="仿宋" w:cs="仿宋" w:hint="eastAsia"/>
                <w:color w:val="000000"/>
                <w:sz w:val="24"/>
              </w:rPr>
              <w:t>往年工作经验</w:t>
            </w:r>
          </w:p>
        </w:tc>
      </w:tr>
      <w:tr w:rsidR="007E0328">
        <w:trPr>
          <w:trHeight w:val="598"/>
        </w:trPr>
        <w:tc>
          <w:tcPr>
            <w:tcW w:w="648"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满意度指标</w:t>
            </w:r>
          </w:p>
        </w:tc>
        <w:tc>
          <w:tcPr>
            <w:tcW w:w="1106"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服务对象满意度指标</w:t>
            </w:r>
          </w:p>
        </w:tc>
        <w:tc>
          <w:tcPr>
            <w:tcW w:w="1315"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是否满意</w:t>
            </w:r>
          </w:p>
        </w:tc>
        <w:tc>
          <w:tcPr>
            <w:tcW w:w="3943" w:type="dxa"/>
            <w:gridSpan w:val="3"/>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是否对服务满意</w:t>
            </w:r>
          </w:p>
        </w:tc>
        <w:tc>
          <w:tcPr>
            <w:tcW w:w="979"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是</w:t>
            </w:r>
          </w:p>
        </w:tc>
        <w:tc>
          <w:tcPr>
            <w:tcW w:w="961" w:type="dxa"/>
            <w:tcBorders>
              <w:top w:val="single" w:sz="4" w:space="0" w:color="000000"/>
              <w:left w:val="single" w:sz="4" w:space="0" w:color="000000"/>
              <w:bottom w:val="single" w:sz="4" w:space="0" w:color="000000"/>
              <w:right w:val="single" w:sz="4" w:space="0" w:color="000000"/>
            </w:tcBorders>
            <w:vAlign w:val="center"/>
          </w:tcPr>
          <w:p w:rsidR="007E0328" w:rsidRDefault="003E1D29">
            <w:pPr>
              <w:widowControl/>
              <w:jc w:val="left"/>
              <w:textAlignment w:val="center"/>
              <w:rPr>
                <w:rFonts w:ascii="仿宋" w:eastAsia="仿宋" w:hAnsi="仿宋" w:cs="仿宋"/>
                <w:color w:val="000000"/>
                <w:sz w:val="24"/>
              </w:rPr>
            </w:pPr>
            <w:r>
              <w:rPr>
                <w:rFonts w:ascii="仿宋" w:eastAsia="仿宋" w:hAnsi="仿宋" w:cs="仿宋" w:hint="eastAsia"/>
                <w:color w:val="000000"/>
                <w:kern w:val="0"/>
                <w:sz w:val="24"/>
                <w:lang w:bidi="ar"/>
              </w:rPr>
              <w:t>专家评审意见</w:t>
            </w:r>
          </w:p>
        </w:tc>
      </w:tr>
    </w:tbl>
    <w:p w:rsidR="007E0328" w:rsidRDefault="007E0328">
      <w:pPr>
        <w:spacing w:line="300" w:lineRule="exact"/>
        <w:ind w:firstLineChars="200" w:firstLine="420"/>
        <w:jc w:val="left"/>
      </w:pPr>
    </w:p>
    <w:p w:rsidR="007E0328" w:rsidRDefault="007E0328"/>
    <w:p w:rsidR="007E0328" w:rsidRDefault="007E0328"/>
    <w:p w:rsidR="007E0328" w:rsidRDefault="007E0328"/>
    <w:p w:rsidR="007E0328" w:rsidRDefault="007E0328">
      <w:pPr>
        <w:pStyle w:val="a6"/>
        <w:spacing w:before="0" w:beforeAutospacing="0" w:after="0" w:afterAutospacing="0" w:line="560" w:lineRule="exact"/>
        <w:ind w:firstLineChars="200" w:firstLine="640"/>
        <w:jc w:val="both"/>
        <w:rPr>
          <w:rFonts w:ascii="仿宋_GB2312" w:eastAsia="仿宋_GB2312"/>
          <w:sz w:val="32"/>
          <w:szCs w:val="32"/>
        </w:rPr>
        <w:sectPr w:rsidR="007E0328">
          <w:headerReference w:type="default" r:id="rId8"/>
          <w:footerReference w:type="default" r:id="rId9"/>
          <w:pgSz w:w="11907" w:h="16839"/>
          <w:pgMar w:top="1984" w:right="1304" w:bottom="1134" w:left="1304" w:header="851" w:footer="992" w:gutter="0"/>
          <w:pgNumType w:start="1"/>
          <w:cols w:space="425"/>
          <w:docGrid w:type="lines" w:linePitch="312"/>
        </w:sectPr>
      </w:pPr>
    </w:p>
    <w:p w:rsidR="007E0328" w:rsidRDefault="003E1D29">
      <w:pPr>
        <w:tabs>
          <w:tab w:val="left" w:pos="7455"/>
        </w:tabs>
        <w:spacing w:line="560" w:lineRule="exact"/>
      </w:pPr>
      <w:r>
        <w:rPr>
          <w:rFonts w:ascii="宋体" w:hAnsi="宋体" w:hint="eastAsia"/>
          <w:b/>
          <w:sz w:val="32"/>
          <w:szCs w:val="32"/>
        </w:rPr>
        <w:lastRenderedPageBreak/>
        <w:t>六、政府采购预算情况</w:t>
      </w:r>
      <w:r>
        <w:rPr>
          <w:rFonts w:ascii="宋体" w:hAnsi="宋体"/>
          <w:b/>
          <w:sz w:val="32"/>
          <w:szCs w:val="32"/>
        </w:rPr>
        <w:tab/>
      </w:r>
    </w:p>
    <w:p w:rsidR="007E0328" w:rsidRDefault="003E1D29">
      <w:pPr>
        <w:outlineLvl w:val="0"/>
        <w:rPr>
          <w:rFonts w:ascii="方正小标宋_GBK" w:eastAsiaTheme="minorEastAsia"/>
          <w:sz w:val="32"/>
        </w:rPr>
      </w:pPr>
      <w:bookmarkStart w:id="0" w:name="_Toc486496039"/>
      <w:r>
        <w:rPr>
          <w:rFonts w:ascii="方正小标宋_GBK" w:eastAsiaTheme="minorEastAsia" w:hint="eastAsia"/>
          <w:sz w:val="32"/>
        </w:rPr>
        <w:t>2021</w:t>
      </w:r>
      <w:r>
        <w:rPr>
          <w:rFonts w:ascii="方正小标宋_GBK" w:eastAsiaTheme="minorEastAsia" w:hint="eastAsia"/>
          <w:sz w:val="32"/>
        </w:rPr>
        <w:t>年</w:t>
      </w:r>
      <w:proofErr w:type="gramStart"/>
      <w:r>
        <w:rPr>
          <w:rFonts w:ascii="方正小标宋_GBK" w:eastAsiaTheme="minorEastAsia" w:hint="eastAsia"/>
          <w:sz w:val="32"/>
        </w:rPr>
        <w:t>我部门</w:t>
      </w:r>
      <w:proofErr w:type="gramEnd"/>
      <w:r>
        <w:rPr>
          <w:rFonts w:ascii="方正小标宋_GBK" w:eastAsiaTheme="minorEastAsia" w:hint="eastAsia"/>
          <w:sz w:val="32"/>
        </w:rPr>
        <w:t>政府采购预算为</w:t>
      </w:r>
      <w:r>
        <w:rPr>
          <w:rFonts w:ascii="方正小标宋_GBK" w:eastAsiaTheme="minorEastAsia" w:hint="eastAsia"/>
          <w:sz w:val="32"/>
        </w:rPr>
        <w:t>193.3</w:t>
      </w:r>
      <w:r>
        <w:rPr>
          <w:rFonts w:ascii="方正小标宋_GBK" w:eastAsiaTheme="minorEastAsia" w:hint="eastAsia"/>
          <w:sz w:val="32"/>
        </w:rPr>
        <w:t>万元。</w:t>
      </w:r>
    </w:p>
    <w:tbl>
      <w:tblPr>
        <w:tblW w:w="512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19"/>
        <w:gridCol w:w="1107"/>
        <w:gridCol w:w="892"/>
        <w:gridCol w:w="1023"/>
        <w:gridCol w:w="907"/>
        <w:gridCol w:w="907"/>
        <w:gridCol w:w="968"/>
        <w:gridCol w:w="913"/>
        <w:gridCol w:w="907"/>
        <w:gridCol w:w="907"/>
        <w:gridCol w:w="907"/>
        <w:gridCol w:w="907"/>
        <w:gridCol w:w="910"/>
        <w:gridCol w:w="857"/>
      </w:tblGrid>
      <w:tr w:rsidR="007E0328">
        <w:trPr>
          <w:tblHeader/>
          <w:jc w:val="center"/>
        </w:trPr>
        <w:tc>
          <w:tcPr>
            <w:tcW w:w="2829" w:type="pct"/>
            <w:gridSpan w:val="7"/>
            <w:tcBorders>
              <w:top w:val="single" w:sz="6" w:space="0" w:color="FFFFFF"/>
              <w:left w:val="single" w:sz="6" w:space="0" w:color="FFFFFF"/>
              <w:right w:val="single" w:sz="6" w:space="0" w:color="FFFFFF"/>
            </w:tcBorders>
            <w:vAlign w:val="center"/>
          </w:tcPr>
          <w:bookmarkEnd w:id="0"/>
          <w:p w:rsidR="007E0328" w:rsidRDefault="003E1D29">
            <w:pPr>
              <w:spacing w:line="300" w:lineRule="exact"/>
              <w:jc w:val="left"/>
              <w:rPr>
                <w:rFonts w:ascii="方正小标宋_GBK" w:eastAsia="方正小标宋_GBK"/>
                <w:sz w:val="24"/>
              </w:rPr>
            </w:pPr>
            <w:r>
              <w:rPr>
                <w:rFonts w:ascii="方正小标宋_GBK" w:eastAsia="方正小标宋_GBK"/>
                <w:sz w:val="24"/>
              </w:rPr>
              <w:t>1</w:t>
            </w:r>
            <w:r>
              <w:rPr>
                <w:rFonts w:ascii="方正小标宋_GBK" w:eastAsia="方正小标宋_GBK" w:hint="eastAsia"/>
                <w:sz w:val="24"/>
              </w:rPr>
              <w:t>43环保分局</w:t>
            </w:r>
          </w:p>
        </w:tc>
        <w:tc>
          <w:tcPr>
            <w:tcW w:w="2170" w:type="pct"/>
            <w:gridSpan w:val="7"/>
            <w:tcBorders>
              <w:top w:val="single" w:sz="6" w:space="0" w:color="FFFFFF"/>
              <w:left w:val="single" w:sz="6" w:space="0" w:color="FFFFFF"/>
              <w:right w:val="single" w:sz="6" w:space="0" w:color="FFFFFF"/>
            </w:tcBorders>
            <w:vAlign w:val="center"/>
          </w:tcPr>
          <w:p w:rsidR="007E0328" w:rsidRDefault="003E1D29">
            <w:pPr>
              <w:spacing w:line="300" w:lineRule="exact"/>
              <w:jc w:val="right"/>
              <w:rPr>
                <w:rFonts w:ascii="方正书宋_GBK" w:eastAsia="方正书宋_GBK"/>
                <w:sz w:val="24"/>
              </w:rPr>
            </w:pPr>
            <w:r>
              <w:rPr>
                <w:rFonts w:ascii="方正书宋_GBK" w:eastAsia="方正书宋_GBK" w:hint="eastAsia"/>
                <w:sz w:val="24"/>
              </w:rPr>
              <w:t>单位：万元</w:t>
            </w:r>
          </w:p>
        </w:tc>
      </w:tr>
      <w:tr w:rsidR="007E0328">
        <w:trPr>
          <w:tblHeader/>
          <w:jc w:val="center"/>
        </w:trPr>
        <w:tc>
          <w:tcPr>
            <w:tcW w:w="1213" w:type="pct"/>
            <w:gridSpan w:val="2"/>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政府采购项目来源</w:t>
            </w:r>
          </w:p>
        </w:tc>
        <w:tc>
          <w:tcPr>
            <w:tcW w:w="307"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采购物品名称</w:t>
            </w:r>
          </w:p>
        </w:tc>
        <w:tc>
          <w:tcPr>
            <w:tcW w:w="352"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政府采购目录序号</w:t>
            </w:r>
          </w:p>
        </w:tc>
        <w:tc>
          <w:tcPr>
            <w:tcW w:w="312"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数量单位</w:t>
            </w:r>
          </w:p>
        </w:tc>
        <w:tc>
          <w:tcPr>
            <w:tcW w:w="312"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数量</w:t>
            </w:r>
          </w:p>
        </w:tc>
        <w:tc>
          <w:tcPr>
            <w:tcW w:w="330"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单价</w:t>
            </w:r>
          </w:p>
        </w:tc>
        <w:tc>
          <w:tcPr>
            <w:tcW w:w="2170" w:type="pct"/>
            <w:gridSpan w:val="7"/>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政府采购金额</w:t>
            </w:r>
          </w:p>
        </w:tc>
      </w:tr>
      <w:tr w:rsidR="007E0328">
        <w:trPr>
          <w:tblHeader/>
          <w:jc w:val="center"/>
        </w:trPr>
        <w:tc>
          <w:tcPr>
            <w:tcW w:w="832"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项目名称</w:t>
            </w:r>
          </w:p>
        </w:tc>
        <w:tc>
          <w:tcPr>
            <w:tcW w:w="380"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预算资金</w:t>
            </w:r>
          </w:p>
        </w:tc>
        <w:tc>
          <w:tcPr>
            <w:tcW w:w="307" w:type="pct"/>
            <w:vMerge/>
            <w:vAlign w:val="center"/>
          </w:tcPr>
          <w:p w:rsidR="007E0328" w:rsidRDefault="007E0328">
            <w:pPr>
              <w:spacing w:line="300" w:lineRule="exact"/>
              <w:jc w:val="left"/>
              <w:outlineLvl w:val="0"/>
            </w:pPr>
          </w:p>
        </w:tc>
        <w:tc>
          <w:tcPr>
            <w:tcW w:w="352" w:type="pct"/>
            <w:vMerge/>
            <w:vAlign w:val="center"/>
          </w:tcPr>
          <w:p w:rsidR="007E0328" w:rsidRDefault="007E0328">
            <w:pPr>
              <w:spacing w:line="300" w:lineRule="exact"/>
              <w:jc w:val="left"/>
              <w:outlineLvl w:val="0"/>
            </w:pPr>
          </w:p>
        </w:tc>
        <w:tc>
          <w:tcPr>
            <w:tcW w:w="312" w:type="pct"/>
            <w:vMerge/>
            <w:vAlign w:val="center"/>
          </w:tcPr>
          <w:p w:rsidR="007E0328" w:rsidRDefault="007E0328">
            <w:pPr>
              <w:spacing w:line="300" w:lineRule="exact"/>
              <w:jc w:val="left"/>
              <w:outlineLvl w:val="0"/>
            </w:pPr>
          </w:p>
        </w:tc>
        <w:tc>
          <w:tcPr>
            <w:tcW w:w="312" w:type="pct"/>
            <w:vMerge/>
            <w:vAlign w:val="center"/>
          </w:tcPr>
          <w:p w:rsidR="007E0328" w:rsidRDefault="007E0328">
            <w:pPr>
              <w:spacing w:line="300" w:lineRule="exact"/>
              <w:jc w:val="left"/>
              <w:outlineLvl w:val="0"/>
            </w:pPr>
          </w:p>
        </w:tc>
        <w:tc>
          <w:tcPr>
            <w:tcW w:w="330" w:type="pct"/>
            <w:vMerge/>
            <w:vAlign w:val="center"/>
          </w:tcPr>
          <w:p w:rsidR="007E0328" w:rsidRDefault="007E0328">
            <w:pPr>
              <w:spacing w:line="300" w:lineRule="exact"/>
              <w:jc w:val="left"/>
              <w:outlineLvl w:val="0"/>
            </w:pPr>
          </w:p>
        </w:tc>
        <w:tc>
          <w:tcPr>
            <w:tcW w:w="314"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总计</w:t>
            </w:r>
          </w:p>
        </w:tc>
        <w:tc>
          <w:tcPr>
            <w:tcW w:w="1561" w:type="pct"/>
            <w:gridSpan w:val="5"/>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当年部门预算安排资金</w:t>
            </w:r>
          </w:p>
        </w:tc>
        <w:tc>
          <w:tcPr>
            <w:tcW w:w="294" w:type="pct"/>
            <w:vMerge w:val="restar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其他渠道资金</w:t>
            </w:r>
          </w:p>
        </w:tc>
      </w:tr>
      <w:tr w:rsidR="007E0328">
        <w:trPr>
          <w:tblHeader/>
          <w:jc w:val="center"/>
        </w:trPr>
        <w:tc>
          <w:tcPr>
            <w:tcW w:w="832" w:type="pct"/>
            <w:vMerge/>
            <w:vAlign w:val="center"/>
          </w:tcPr>
          <w:p w:rsidR="007E0328" w:rsidRDefault="007E0328">
            <w:pPr>
              <w:spacing w:line="300" w:lineRule="exact"/>
              <w:jc w:val="left"/>
              <w:outlineLvl w:val="0"/>
            </w:pPr>
          </w:p>
        </w:tc>
        <w:tc>
          <w:tcPr>
            <w:tcW w:w="380" w:type="pct"/>
            <w:vMerge/>
            <w:vAlign w:val="center"/>
          </w:tcPr>
          <w:p w:rsidR="007E0328" w:rsidRDefault="007E0328">
            <w:pPr>
              <w:spacing w:line="300" w:lineRule="exact"/>
              <w:jc w:val="left"/>
              <w:outlineLvl w:val="0"/>
            </w:pPr>
          </w:p>
        </w:tc>
        <w:tc>
          <w:tcPr>
            <w:tcW w:w="307" w:type="pct"/>
            <w:vMerge/>
            <w:vAlign w:val="center"/>
          </w:tcPr>
          <w:p w:rsidR="007E0328" w:rsidRDefault="007E0328">
            <w:pPr>
              <w:spacing w:line="300" w:lineRule="exact"/>
              <w:jc w:val="left"/>
              <w:outlineLvl w:val="0"/>
            </w:pPr>
          </w:p>
        </w:tc>
        <w:tc>
          <w:tcPr>
            <w:tcW w:w="352" w:type="pct"/>
            <w:vMerge/>
            <w:vAlign w:val="center"/>
          </w:tcPr>
          <w:p w:rsidR="007E0328" w:rsidRDefault="007E0328">
            <w:pPr>
              <w:spacing w:line="300" w:lineRule="exact"/>
              <w:jc w:val="left"/>
              <w:outlineLvl w:val="0"/>
            </w:pPr>
          </w:p>
        </w:tc>
        <w:tc>
          <w:tcPr>
            <w:tcW w:w="312" w:type="pct"/>
            <w:vMerge/>
            <w:vAlign w:val="center"/>
          </w:tcPr>
          <w:p w:rsidR="007E0328" w:rsidRDefault="007E0328">
            <w:pPr>
              <w:spacing w:line="300" w:lineRule="exact"/>
              <w:jc w:val="left"/>
              <w:outlineLvl w:val="0"/>
            </w:pPr>
          </w:p>
        </w:tc>
        <w:tc>
          <w:tcPr>
            <w:tcW w:w="312" w:type="pct"/>
            <w:vMerge/>
            <w:vAlign w:val="center"/>
          </w:tcPr>
          <w:p w:rsidR="007E0328" w:rsidRDefault="007E0328">
            <w:pPr>
              <w:spacing w:line="300" w:lineRule="exact"/>
              <w:jc w:val="left"/>
              <w:outlineLvl w:val="0"/>
            </w:pPr>
          </w:p>
        </w:tc>
        <w:tc>
          <w:tcPr>
            <w:tcW w:w="330" w:type="pct"/>
            <w:vMerge/>
            <w:vAlign w:val="center"/>
          </w:tcPr>
          <w:p w:rsidR="007E0328" w:rsidRDefault="007E0328">
            <w:pPr>
              <w:spacing w:line="300" w:lineRule="exact"/>
              <w:jc w:val="left"/>
              <w:outlineLvl w:val="0"/>
            </w:pPr>
          </w:p>
        </w:tc>
        <w:tc>
          <w:tcPr>
            <w:tcW w:w="314" w:type="pct"/>
            <w:vMerge/>
            <w:vAlign w:val="center"/>
          </w:tcPr>
          <w:p w:rsidR="007E0328" w:rsidRDefault="007E0328">
            <w:pPr>
              <w:spacing w:line="300" w:lineRule="exact"/>
              <w:jc w:val="left"/>
              <w:outlineLvl w:val="0"/>
            </w:pPr>
          </w:p>
        </w:tc>
        <w:tc>
          <w:tcPr>
            <w:tcW w:w="31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合计</w:t>
            </w:r>
          </w:p>
        </w:tc>
        <w:tc>
          <w:tcPr>
            <w:tcW w:w="31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一般公共预算拨款</w:t>
            </w:r>
          </w:p>
        </w:tc>
        <w:tc>
          <w:tcPr>
            <w:tcW w:w="31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基金预算拨款</w:t>
            </w:r>
          </w:p>
        </w:tc>
        <w:tc>
          <w:tcPr>
            <w:tcW w:w="31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财政专户核拨</w:t>
            </w:r>
          </w:p>
        </w:tc>
        <w:tc>
          <w:tcPr>
            <w:tcW w:w="31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其他来源收入</w:t>
            </w:r>
          </w:p>
        </w:tc>
        <w:tc>
          <w:tcPr>
            <w:tcW w:w="294" w:type="pct"/>
            <w:vMerge/>
            <w:vAlign w:val="center"/>
          </w:tcPr>
          <w:p w:rsidR="007E0328" w:rsidRDefault="007E0328">
            <w:pPr>
              <w:spacing w:line="300" w:lineRule="exact"/>
              <w:jc w:val="left"/>
              <w:outlineLvl w:val="0"/>
            </w:pPr>
          </w:p>
        </w:tc>
      </w:tr>
      <w:tr w:rsidR="007E0328">
        <w:trPr>
          <w:jc w:val="center"/>
        </w:trPr>
        <w:tc>
          <w:tcPr>
            <w:tcW w:w="83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合　计</w:t>
            </w:r>
          </w:p>
        </w:tc>
        <w:tc>
          <w:tcPr>
            <w:tcW w:w="380" w:type="pct"/>
            <w:vAlign w:val="center"/>
          </w:tcPr>
          <w:p w:rsidR="007E0328" w:rsidRDefault="007E0328">
            <w:pPr>
              <w:spacing w:line="300" w:lineRule="exact"/>
              <w:jc w:val="right"/>
              <w:rPr>
                <w:rFonts w:ascii="方正书宋_GBK" w:eastAsia="方正书宋_GBK"/>
                <w:b/>
              </w:rPr>
            </w:pPr>
          </w:p>
        </w:tc>
        <w:tc>
          <w:tcPr>
            <w:tcW w:w="307" w:type="pct"/>
            <w:vAlign w:val="center"/>
          </w:tcPr>
          <w:p w:rsidR="007E0328" w:rsidRDefault="007E0328">
            <w:pPr>
              <w:spacing w:line="300" w:lineRule="exact"/>
              <w:jc w:val="left"/>
              <w:rPr>
                <w:rFonts w:ascii="方正书宋_GBK" w:eastAsia="方正书宋_GBK"/>
                <w:b/>
              </w:rPr>
            </w:pPr>
          </w:p>
        </w:tc>
        <w:tc>
          <w:tcPr>
            <w:tcW w:w="352" w:type="pct"/>
            <w:vAlign w:val="center"/>
          </w:tcPr>
          <w:p w:rsidR="007E0328" w:rsidRDefault="007E0328">
            <w:pPr>
              <w:spacing w:line="300" w:lineRule="exact"/>
              <w:jc w:val="left"/>
              <w:rPr>
                <w:rFonts w:ascii="方正书宋_GBK" w:eastAsia="方正书宋_GBK"/>
                <w:b/>
              </w:rPr>
            </w:pPr>
          </w:p>
        </w:tc>
        <w:tc>
          <w:tcPr>
            <w:tcW w:w="312" w:type="pct"/>
            <w:vAlign w:val="center"/>
          </w:tcPr>
          <w:p w:rsidR="007E0328" w:rsidRDefault="007E0328">
            <w:pPr>
              <w:spacing w:line="300" w:lineRule="exact"/>
              <w:jc w:val="lef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330" w:type="pct"/>
            <w:vAlign w:val="center"/>
          </w:tcPr>
          <w:p w:rsidR="007E0328" w:rsidRDefault="007E0328">
            <w:pPr>
              <w:spacing w:line="300" w:lineRule="exact"/>
              <w:jc w:val="right"/>
              <w:rPr>
                <w:rFonts w:ascii="方正书宋_GBK" w:eastAsia="方正书宋_GBK"/>
                <w:b/>
              </w:rPr>
            </w:pPr>
          </w:p>
        </w:tc>
        <w:tc>
          <w:tcPr>
            <w:tcW w:w="314" w:type="pct"/>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907" w:type="dxa"/>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907" w:type="dxa"/>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312" w:type="pct"/>
            <w:vAlign w:val="center"/>
          </w:tcPr>
          <w:p w:rsidR="007E0328" w:rsidRDefault="007E0328">
            <w:pPr>
              <w:spacing w:line="300" w:lineRule="exact"/>
              <w:jc w:val="righ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294" w:type="pct"/>
            <w:vAlign w:val="center"/>
          </w:tcPr>
          <w:p w:rsidR="007E0328" w:rsidRDefault="007E0328">
            <w:pPr>
              <w:spacing w:line="300" w:lineRule="exact"/>
              <w:jc w:val="right"/>
              <w:rPr>
                <w:rFonts w:ascii="方正书宋_GBK" w:eastAsia="方正书宋_GBK"/>
                <w:b/>
              </w:rPr>
            </w:pPr>
          </w:p>
        </w:tc>
      </w:tr>
      <w:tr w:rsidR="007E0328">
        <w:trPr>
          <w:jc w:val="center"/>
        </w:trPr>
        <w:tc>
          <w:tcPr>
            <w:tcW w:w="832" w:type="pct"/>
            <w:vAlign w:val="center"/>
          </w:tcPr>
          <w:p w:rsidR="007E0328" w:rsidRDefault="003E1D29">
            <w:pPr>
              <w:spacing w:line="300" w:lineRule="exact"/>
              <w:jc w:val="center"/>
              <w:rPr>
                <w:rFonts w:ascii="方正书宋_GBK" w:eastAsia="方正书宋_GBK"/>
                <w:b/>
              </w:rPr>
            </w:pPr>
            <w:r>
              <w:rPr>
                <w:rFonts w:ascii="方正书宋_GBK" w:eastAsia="方正书宋_GBK" w:hint="eastAsia"/>
                <w:b/>
              </w:rPr>
              <w:t>公安分局小计</w:t>
            </w:r>
          </w:p>
        </w:tc>
        <w:tc>
          <w:tcPr>
            <w:tcW w:w="380" w:type="pct"/>
            <w:vAlign w:val="center"/>
          </w:tcPr>
          <w:p w:rsidR="007E0328" w:rsidRDefault="007E0328">
            <w:pPr>
              <w:spacing w:line="300" w:lineRule="exact"/>
              <w:jc w:val="right"/>
              <w:rPr>
                <w:rFonts w:ascii="方正书宋_GBK" w:eastAsia="方正书宋_GBK"/>
                <w:b/>
              </w:rPr>
            </w:pPr>
          </w:p>
        </w:tc>
        <w:tc>
          <w:tcPr>
            <w:tcW w:w="307" w:type="pct"/>
            <w:vAlign w:val="center"/>
          </w:tcPr>
          <w:p w:rsidR="007E0328" w:rsidRDefault="007E0328">
            <w:pPr>
              <w:spacing w:line="300" w:lineRule="exact"/>
              <w:jc w:val="left"/>
              <w:rPr>
                <w:rFonts w:ascii="方正书宋_GBK" w:eastAsia="方正书宋_GBK"/>
                <w:b/>
              </w:rPr>
            </w:pPr>
          </w:p>
        </w:tc>
        <w:tc>
          <w:tcPr>
            <w:tcW w:w="352" w:type="pct"/>
            <w:vAlign w:val="center"/>
          </w:tcPr>
          <w:p w:rsidR="007E0328" w:rsidRDefault="007E0328">
            <w:pPr>
              <w:spacing w:line="300" w:lineRule="exact"/>
              <w:jc w:val="left"/>
              <w:rPr>
                <w:rFonts w:ascii="方正书宋_GBK" w:eastAsia="方正书宋_GBK"/>
                <w:b/>
              </w:rPr>
            </w:pPr>
          </w:p>
        </w:tc>
        <w:tc>
          <w:tcPr>
            <w:tcW w:w="312" w:type="pct"/>
            <w:vAlign w:val="center"/>
          </w:tcPr>
          <w:p w:rsidR="007E0328" w:rsidRDefault="007E0328">
            <w:pPr>
              <w:spacing w:line="300" w:lineRule="exact"/>
              <w:jc w:val="lef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330" w:type="pct"/>
            <w:vAlign w:val="center"/>
          </w:tcPr>
          <w:p w:rsidR="007E0328" w:rsidRDefault="007E0328">
            <w:pPr>
              <w:spacing w:line="300" w:lineRule="exact"/>
              <w:jc w:val="right"/>
              <w:rPr>
                <w:rFonts w:ascii="方正书宋_GBK" w:eastAsia="方正书宋_GBK"/>
                <w:b/>
              </w:rPr>
            </w:pPr>
          </w:p>
        </w:tc>
        <w:tc>
          <w:tcPr>
            <w:tcW w:w="314" w:type="pct"/>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907" w:type="dxa"/>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907" w:type="dxa"/>
            <w:vAlign w:val="center"/>
          </w:tcPr>
          <w:p w:rsidR="007E0328" w:rsidRDefault="003E1D29">
            <w:pPr>
              <w:spacing w:line="300" w:lineRule="exact"/>
              <w:jc w:val="right"/>
              <w:rPr>
                <w:rFonts w:ascii="方正书宋_GBK" w:eastAsia="方正书宋_GBK"/>
                <w:b/>
              </w:rPr>
            </w:pPr>
            <w:r>
              <w:rPr>
                <w:rFonts w:ascii="方正书宋_GBK" w:eastAsia="方正书宋_GBK" w:hint="eastAsia"/>
                <w:b/>
              </w:rPr>
              <w:t>193.3</w:t>
            </w:r>
          </w:p>
        </w:tc>
        <w:tc>
          <w:tcPr>
            <w:tcW w:w="312" w:type="pct"/>
            <w:vAlign w:val="center"/>
          </w:tcPr>
          <w:p w:rsidR="007E0328" w:rsidRDefault="007E0328">
            <w:pPr>
              <w:spacing w:line="300" w:lineRule="exact"/>
              <w:jc w:val="righ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312" w:type="pct"/>
            <w:vAlign w:val="center"/>
          </w:tcPr>
          <w:p w:rsidR="007E0328" w:rsidRDefault="007E0328">
            <w:pPr>
              <w:spacing w:line="300" w:lineRule="exact"/>
              <w:jc w:val="right"/>
              <w:rPr>
                <w:rFonts w:ascii="方正书宋_GBK" w:eastAsia="方正书宋_GBK"/>
                <w:b/>
              </w:rPr>
            </w:pPr>
          </w:p>
        </w:tc>
        <w:tc>
          <w:tcPr>
            <w:tcW w:w="294" w:type="pct"/>
            <w:vAlign w:val="center"/>
          </w:tcPr>
          <w:p w:rsidR="007E0328" w:rsidRDefault="007E0328">
            <w:pPr>
              <w:spacing w:line="300" w:lineRule="exact"/>
              <w:jc w:val="right"/>
              <w:rPr>
                <w:rFonts w:ascii="方正书宋_GBK" w:eastAsia="方正书宋_GBK"/>
                <w:b/>
              </w:rPr>
            </w:pPr>
          </w:p>
        </w:tc>
      </w:tr>
      <w:tr w:rsidR="007E0328">
        <w:trPr>
          <w:jc w:val="center"/>
        </w:trPr>
        <w:tc>
          <w:tcPr>
            <w:tcW w:w="83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大气</w:t>
            </w:r>
            <w:proofErr w:type="gramStart"/>
            <w:r>
              <w:rPr>
                <w:rFonts w:ascii="方正书宋_GBK" w:eastAsia="方正书宋_GBK" w:hint="eastAsia"/>
              </w:rPr>
              <w:t>网格化运维</w:t>
            </w:r>
            <w:proofErr w:type="gramEnd"/>
            <w:r>
              <w:rPr>
                <w:rFonts w:ascii="方正书宋_GBK" w:eastAsia="方正书宋_GBK" w:hint="eastAsia"/>
              </w:rPr>
              <w:t>费</w:t>
            </w:r>
          </w:p>
        </w:tc>
        <w:tc>
          <w:tcPr>
            <w:tcW w:w="380" w:type="pct"/>
            <w:vAlign w:val="center"/>
          </w:tcPr>
          <w:p w:rsidR="007E0328" w:rsidRDefault="003E1D29">
            <w:pPr>
              <w:spacing w:line="300" w:lineRule="exact"/>
              <w:jc w:val="right"/>
              <w:rPr>
                <w:rFonts w:ascii="方正书宋_GBK" w:eastAsia="方正书宋_GBK"/>
              </w:rPr>
            </w:pPr>
            <w:r>
              <w:rPr>
                <w:rFonts w:ascii="方正书宋_GBK" w:eastAsia="方正书宋_GBK" w:hint="eastAsia"/>
              </w:rPr>
              <w:t>100</w:t>
            </w:r>
          </w:p>
        </w:tc>
        <w:tc>
          <w:tcPr>
            <w:tcW w:w="307" w:type="pct"/>
            <w:vAlign w:val="center"/>
          </w:tcPr>
          <w:p w:rsidR="007E0328" w:rsidRDefault="003E1D29">
            <w:pPr>
              <w:spacing w:line="300" w:lineRule="exact"/>
              <w:jc w:val="right"/>
              <w:rPr>
                <w:rFonts w:ascii="方正书宋_GBK" w:eastAsia="方正书宋_GBK"/>
              </w:rPr>
            </w:pPr>
            <w:r>
              <w:rPr>
                <w:rFonts w:ascii="方正书宋_GBK" w:eastAsia="方正书宋_GBK" w:hint="eastAsia"/>
              </w:rPr>
              <w:t>服务</w:t>
            </w:r>
          </w:p>
        </w:tc>
        <w:tc>
          <w:tcPr>
            <w:tcW w:w="35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C0206</w:t>
            </w:r>
          </w:p>
        </w:tc>
        <w:tc>
          <w:tcPr>
            <w:tcW w:w="31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项</w:t>
            </w:r>
          </w:p>
        </w:tc>
        <w:tc>
          <w:tcPr>
            <w:tcW w:w="312" w:type="pct"/>
            <w:vAlign w:val="center"/>
          </w:tcPr>
          <w:p w:rsidR="007E0328" w:rsidRDefault="003E1D29">
            <w:pPr>
              <w:spacing w:line="300" w:lineRule="exact"/>
              <w:jc w:val="right"/>
              <w:rPr>
                <w:rFonts w:ascii="方正书宋_GBK" w:eastAsia="方正书宋_GBK"/>
              </w:rPr>
            </w:pPr>
            <w:r>
              <w:rPr>
                <w:rFonts w:ascii="方正书宋_GBK" w:eastAsia="方正书宋_GBK"/>
              </w:rPr>
              <w:t>1</w:t>
            </w:r>
          </w:p>
        </w:tc>
        <w:tc>
          <w:tcPr>
            <w:tcW w:w="968"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100</w:t>
            </w:r>
          </w:p>
        </w:tc>
        <w:tc>
          <w:tcPr>
            <w:tcW w:w="913"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100</w:t>
            </w:r>
          </w:p>
        </w:tc>
        <w:tc>
          <w:tcPr>
            <w:tcW w:w="907"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100</w:t>
            </w:r>
          </w:p>
        </w:tc>
        <w:tc>
          <w:tcPr>
            <w:tcW w:w="907"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100</w:t>
            </w:r>
          </w:p>
        </w:tc>
        <w:tc>
          <w:tcPr>
            <w:tcW w:w="312" w:type="pct"/>
            <w:vAlign w:val="center"/>
          </w:tcPr>
          <w:p w:rsidR="007E0328" w:rsidRDefault="007E0328">
            <w:pPr>
              <w:spacing w:line="300" w:lineRule="exact"/>
              <w:jc w:val="right"/>
              <w:rPr>
                <w:rFonts w:ascii="方正书宋_GBK" w:eastAsia="方正书宋_GBK"/>
              </w:rPr>
            </w:pPr>
          </w:p>
        </w:tc>
        <w:tc>
          <w:tcPr>
            <w:tcW w:w="312" w:type="pct"/>
            <w:vAlign w:val="center"/>
          </w:tcPr>
          <w:p w:rsidR="007E0328" w:rsidRDefault="007E0328">
            <w:pPr>
              <w:spacing w:line="300" w:lineRule="exact"/>
              <w:jc w:val="right"/>
              <w:rPr>
                <w:rFonts w:ascii="方正书宋_GBK" w:eastAsia="方正书宋_GBK"/>
              </w:rPr>
            </w:pPr>
          </w:p>
        </w:tc>
        <w:tc>
          <w:tcPr>
            <w:tcW w:w="312" w:type="pct"/>
            <w:vAlign w:val="center"/>
          </w:tcPr>
          <w:p w:rsidR="007E0328" w:rsidRDefault="007E0328">
            <w:pPr>
              <w:spacing w:line="300" w:lineRule="exact"/>
              <w:jc w:val="right"/>
              <w:rPr>
                <w:rFonts w:ascii="方正书宋_GBK" w:eastAsia="方正书宋_GBK"/>
              </w:rPr>
            </w:pPr>
          </w:p>
        </w:tc>
        <w:tc>
          <w:tcPr>
            <w:tcW w:w="294" w:type="pct"/>
            <w:vAlign w:val="center"/>
          </w:tcPr>
          <w:p w:rsidR="007E0328" w:rsidRDefault="007E0328">
            <w:pPr>
              <w:spacing w:line="300" w:lineRule="exact"/>
              <w:jc w:val="right"/>
              <w:rPr>
                <w:rFonts w:ascii="方正书宋_GBK" w:eastAsia="方正书宋_GBK"/>
              </w:rPr>
            </w:pPr>
          </w:p>
        </w:tc>
      </w:tr>
      <w:tr w:rsidR="007E0328">
        <w:trPr>
          <w:jc w:val="center"/>
        </w:trPr>
        <w:tc>
          <w:tcPr>
            <w:tcW w:w="83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规划环</w:t>
            </w:r>
            <w:proofErr w:type="gramStart"/>
            <w:r>
              <w:rPr>
                <w:rFonts w:ascii="方正书宋_GBK" w:eastAsia="方正书宋_GBK" w:hint="eastAsia"/>
              </w:rPr>
              <w:t>评经费</w:t>
            </w:r>
            <w:proofErr w:type="gramEnd"/>
          </w:p>
        </w:tc>
        <w:tc>
          <w:tcPr>
            <w:tcW w:w="380" w:type="pct"/>
            <w:vAlign w:val="center"/>
          </w:tcPr>
          <w:p w:rsidR="007E0328" w:rsidRDefault="003E1D29">
            <w:pPr>
              <w:spacing w:line="300" w:lineRule="exact"/>
              <w:jc w:val="right"/>
              <w:rPr>
                <w:rFonts w:ascii="方正书宋_GBK" w:eastAsia="方正书宋_GBK"/>
              </w:rPr>
            </w:pPr>
            <w:r>
              <w:rPr>
                <w:rFonts w:ascii="方正书宋_GBK" w:eastAsia="方正书宋_GBK" w:hint="eastAsia"/>
              </w:rPr>
              <w:t>93.3</w:t>
            </w:r>
          </w:p>
        </w:tc>
        <w:tc>
          <w:tcPr>
            <w:tcW w:w="307" w:type="pct"/>
            <w:vAlign w:val="center"/>
          </w:tcPr>
          <w:p w:rsidR="007E0328" w:rsidRDefault="003E1D29">
            <w:pPr>
              <w:spacing w:line="300" w:lineRule="exact"/>
              <w:jc w:val="right"/>
              <w:rPr>
                <w:rFonts w:ascii="方正书宋_GBK" w:eastAsia="方正书宋_GBK"/>
              </w:rPr>
            </w:pPr>
            <w:r>
              <w:rPr>
                <w:rFonts w:ascii="方正书宋_GBK" w:eastAsia="方正书宋_GBK" w:hint="eastAsia"/>
              </w:rPr>
              <w:t>服务</w:t>
            </w:r>
          </w:p>
        </w:tc>
        <w:tc>
          <w:tcPr>
            <w:tcW w:w="35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C010319</w:t>
            </w:r>
          </w:p>
        </w:tc>
        <w:tc>
          <w:tcPr>
            <w:tcW w:w="312" w:type="pct"/>
            <w:vAlign w:val="center"/>
          </w:tcPr>
          <w:p w:rsidR="007E0328" w:rsidRDefault="003E1D29">
            <w:pPr>
              <w:spacing w:line="300" w:lineRule="exact"/>
              <w:jc w:val="left"/>
              <w:rPr>
                <w:rFonts w:ascii="方正书宋_GBK" w:eastAsia="方正书宋_GBK"/>
              </w:rPr>
            </w:pPr>
            <w:r>
              <w:rPr>
                <w:rFonts w:ascii="方正书宋_GBK" w:eastAsia="方正书宋_GBK" w:hint="eastAsia"/>
              </w:rPr>
              <w:t>项</w:t>
            </w:r>
          </w:p>
        </w:tc>
        <w:tc>
          <w:tcPr>
            <w:tcW w:w="312" w:type="pct"/>
            <w:vAlign w:val="center"/>
          </w:tcPr>
          <w:p w:rsidR="007E0328" w:rsidRDefault="003E1D29">
            <w:pPr>
              <w:spacing w:line="300" w:lineRule="exact"/>
              <w:jc w:val="right"/>
              <w:rPr>
                <w:rFonts w:ascii="方正书宋_GBK" w:eastAsia="方正书宋_GBK"/>
              </w:rPr>
            </w:pPr>
            <w:r>
              <w:rPr>
                <w:rFonts w:ascii="方正书宋_GBK" w:eastAsia="方正书宋_GBK"/>
              </w:rPr>
              <w:t>1</w:t>
            </w:r>
          </w:p>
        </w:tc>
        <w:tc>
          <w:tcPr>
            <w:tcW w:w="968"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93.3</w:t>
            </w:r>
          </w:p>
        </w:tc>
        <w:tc>
          <w:tcPr>
            <w:tcW w:w="913"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93.3</w:t>
            </w:r>
          </w:p>
        </w:tc>
        <w:tc>
          <w:tcPr>
            <w:tcW w:w="907"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93.3</w:t>
            </w:r>
          </w:p>
        </w:tc>
        <w:tc>
          <w:tcPr>
            <w:tcW w:w="907" w:type="dxa"/>
            <w:vAlign w:val="center"/>
          </w:tcPr>
          <w:p w:rsidR="007E0328" w:rsidRDefault="003E1D29">
            <w:pPr>
              <w:spacing w:line="300" w:lineRule="exact"/>
              <w:jc w:val="right"/>
              <w:rPr>
                <w:rFonts w:ascii="方正书宋_GBK" w:eastAsia="方正书宋_GBK"/>
              </w:rPr>
            </w:pPr>
            <w:r>
              <w:rPr>
                <w:rFonts w:ascii="方正书宋_GBK" w:eastAsia="方正书宋_GBK" w:hint="eastAsia"/>
              </w:rPr>
              <w:t>93.3</w:t>
            </w:r>
          </w:p>
        </w:tc>
        <w:tc>
          <w:tcPr>
            <w:tcW w:w="312" w:type="pct"/>
            <w:vAlign w:val="center"/>
          </w:tcPr>
          <w:p w:rsidR="007E0328" w:rsidRDefault="007E0328">
            <w:pPr>
              <w:spacing w:line="300" w:lineRule="exact"/>
              <w:jc w:val="right"/>
              <w:rPr>
                <w:rFonts w:ascii="方正书宋_GBK" w:eastAsia="方正书宋_GBK"/>
              </w:rPr>
            </w:pPr>
          </w:p>
        </w:tc>
        <w:tc>
          <w:tcPr>
            <w:tcW w:w="312" w:type="pct"/>
            <w:vAlign w:val="center"/>
          </w:tcPr>
          <w:p w:rsidR="007E0328" w:rsidRDefault="007E0328">
            <w:pPr>
              <w:spacing w:line="300" w:lineRule="exact"/>
              <w:jc w:val="right"/>
              <w:rPr>
                <w:rFonts w:ascii="方正书宋_GBK" w:eastAsia="方正书宋_GBK"/>
              </w:rPr>
            </w:pPr>
          </w:p>
        </w:tc>
        <w:tc>
          <w:tcPr>
            <w:tcW w:w="312" w:type="pct"/>
            <w:vAlign w:val="center"/>
          </w:tcPr>
          <w:p w:rsidR="007E0328" w:rsidRDefault="007E0328">
            <w:pPr>
              <w:spacing w:line="300" w:lineRule="exact"/>
              <w:jc w:val="right"/>
              <w:rPr>
                <w:rFonts w:ascii="方正书宋_GBK" w:eastAsia="方正书宋_GBK"/>
              </w:rPr>
            </w:pPr>
          </w:p>
        </w:tc>
        <w:tc>
          <w:tcPr>
            <w:tcW w:w="294" w:type="pct"/>
            <w:vAlign w:val="center"/>
          </w:tcPr>
          <w:p w:rsidR="007E0328" w:rsidRDefault="007E0328">
            <w:pPr>
              <w:spacing w:line="300" w:lineRule="exact"/>
              <w:jc w:val="right"/>
              <w:rPr>
                <w:rFonts w:ascii="方正书宋_GBK" w:eastAsia="方正书宋_GBK"/>
              </w:rPr>
            </w:pPr>
          </w:p>
        </w:tc>
      </w:tr>
    </w:tbl>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7E0328">
      <w:pPr>
        <w:spacing w:line="560" w:lineRule="exact"/>
        <w:rPr>
          <w:rFonts w:ascii="宋体" w:hAnsi="宋体"/>
          <w:b/>
          <w:sz w:val="32"/>
          <w:szCs w:val="32"/>
        </w:rPr>
      </w:pPr>
    </w:p>
    <w:p w:rsidR="007E0328" w:rsidRDefault="003E1D29">
      <w:pPr>
        <w:spacing w:line="560" w:lineRule="exact"/>
        <w:ind w:firstLineChars="200" w:firstLine="643"/>
      </w:pPr>
      <w:r>
        <w:rPr>
          <w:rFonts w:ascii="宋体" w:hAnsi="宋体" w:hint="eastAsia"/>
          <w:b/>
          <w:sz w:val="32"/>
          <w:szCs w:val="32"/>
        </w:rPr>
        <w:lastRenderedPageBreak/>
        <w:t>七、国有资产预算情况</w:t>
      </w:r>
    </w:p>
    <w:tbl>
      <w:tblPr>
        <w:tblW w:w="13680" w:type="dxa"/>
        <w:tblLayout w:type="fixed"/>
        <w:tblLook w:val="04A0" w:firstRow="1" w:lastRow="0" w:firstColumn="1" w:lastColumn="0" w:noHBand="0" w:noVBand="1"/>
      </w:tblPr>
      <w:tblGrid>
        <w:gridCol w:w="4788"/>
        <w:gridCol w:w="2700"/>
        <w:gridCol w:w="6192"/>
      </w:tblGrid>
      <w:tr w:rsidR="007E0328">
        <w:trPr>
          <w:trHeight w:val="705"/>
        </w:trPr>
        <w:tc>
          <w:tcPr>
            <w:tcW w:w="13680" w:type="dxa"/>
            <w:gridSpan w:val="3"/>
            <w:tcBorders>
              <w:top w:val="nil"/>
              <w:left w:val="nil"/>
              <w:bottom w:val="nil"/>
              <w:right w:val="nil"/>
            </w:tcBorders>
            <w:vAlign w:val="center"/>
          </w:tcPr>
          <w:p w:rsidR="007E0328" w:rsidRDefault="003E1D29">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7E0328">
        <w:trPr>
          <w:trHeight w:val="510"/>
        </w:trPr>
        <w:tc>
          <w:tcPr>
            <w:tcW w:w="7488" w:type="dxa"/>
            <w:gridSpan w:val="2"/>
            <w:tcBorders>
              <w:top w:val="nil"/>
              <w:left w:val="nil"/>
              <w:bottom w:val="nil"/>
              <w:right w:val="nil"/>
            </w:tcBorders>
            <w:vAlign w:val="center"/>
          </w:tcPr>
          <w:p w:rsidR="007E0328" w:rsidRDefault="003E1D29">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编制部门：环保分局</w:t>
            </w:r>
          </w:p>
        </w:tc>
        <w:tc>
          <w:tcPr>
            <w:tcW w:w="6192" w:type="dxa"/>
            <w:tcBorders>
              <w:top w:val="nil"/>
              <w:left w:val="nil"/>
              <w:bottom w:val="nil"/>
              <w:right w:val="nil"/>
            </w:tcBorders>
            <w:vAlign w:val="center"/>
          </w:tcPr>
          <w:p w:rsidR="007E0328" w:rsidRDefault="003E1D29">
            <w:pPr>
              <w:widowControl/>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sidR="00681E7D">
              <w:rPr>
                <w:rFonts w:ascii="仿宋_GB2312" w:eastAsia="仿宋_GB2312" w:hAnsi="宋体" w:cs="宋体" w:hint="eastAsia"/>
                <w:kern w:val="0"/>
                <w:sz w:val="32"/>
                <w:szCs w:val="30"/>
              </w:rPr>
              <w:t>2020</w:t>
            </w:r>
            <w:r>
              <w:rPr>
                <w:rFonts w:ascii="仿宋_GB2312" w:eastAsia="仿宋_GB2312" w:hAnsi="宋体" w:cs="宋体" w:hint="eastAsia"/>
                <w:kern w:val="0"/>
                <w:sz w:val="32"/>
                <w:szCs w:val="30"/>
              </w:rPr>
              <w:t>年</w:t>
            </w:r>
            <w:r w:rsidR="00681E7D">
              <w:rPr>
                <w:rFonts w:ascii="仿宋_GB2312" w:eastAsia="仿宋_GB2312" w:hAnsi="宋体" w:cs="宋体" w:hint="eastAsia"/>
                <w:kern w:val="0"/>
                <w:sz w:val="32"/>
                <w:szCs w:val="30"/>
              </w:rPr>
              <w:t>12</w:t>
            </w:r>
            <w:r>
              <w:rPr>
                <w:rFonts w:ascii="仿宋_GB2312" w:eastAsia="仿宋_GB2312" w:hAnsi="宋体" w:cs="宋体" w:hint="eastAsia"/>
                <w:kern w:val="0"/>
                <w:sz w:val="32"/>
                <w:szCs w:val="30"/>
              </w:rPr>
              <w:t>月</w:t>
            </w:r>
            <w:r w:rsidR="00681E7D">
              <w:rPr>
                <w:rFonts w:ascii="仿宋_GB2312" w:eastAsia="仿宋_GB2312" w:hAnsi="宋体" w:cs="宋体" w:hint="eastAsia"/>
                <w:kern w:val="0"/>
                <w:sz w:val="32"/>
                <w:szCs w:val="30"/>
              </w:rPr>
              <w:t>3</w:t>
            </w:r>
            <w:bookmarkStart w:id="1" w:name="_GoBack"/>
            <w:bookmarkEnd w:id="1"/>
            <w:r>
              <w:rPr>
                <w:rFonts w:ascii="仿宋_GB2312" w:eastAsia="仿宋_GB2312" w:hAnsi="宋体" w:cs="宋体" w:hint="eastAsia"/>
                <w:kern w:val="0"/>
                <w:sz w:val="32"/>
                <w:szCs w:val="30"/>
              </w:rPr>
              <w:t>1日</w:t>
            </w:r>
            <w:r>
              <w:rPr>
                <w:rFonts w:ascii="仿宋_GB2312" w:eastAsia="仿宋_GB2312" w:hAnsi="宋体" w:cs="宋体"/>
                <w:kern w:val="0"/>
                <w:sz w:val="32"/>
                <w:szCs w:val="30"/>
              </w:rPr>
              <w:t xml:space="preserve">  </w:t>
            </w:r>
          </w:p>
        </w:tc>
      </w:tr>
      <w:tr w:rsidR="007E0328">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7E0328" w:rsidRDefault="003E1D2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w:t>
            </w:r>
            <w:r>
              <w:rPr>
                <w:rFonts w:ascii="仿宋_GB2312" w:eastAsia="仿宋_GB2312" w:hAnsi="宋体" w:cs="宋体"/>
                <w:b/>
                <w:bCs/>
                <w:kern w:val="0"/>
                <w:sz w:val="32"/>
                <w:szCs w:val="30"/>
              </w:rPr>
              <w:t xml:space="preserve">   </w:t>
            </w:r>
            <w:r>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7E0328" w:rsidRDefault="003E1D2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7E0328" w:rsidRDefault="003E1D29">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7E0328" w:rsidRDefault="003E1D2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102.0029</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7E0328" w:rsidRDefault="003E1D2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7E0328" w:rsidRDefault="007E0328">
            <w:pPr>
              <w:rPr>
                <w:rFonts w:ascii="宋体" w:hAnsi="宋体" w:cs="宋体"/>
                <w:sz w:val="20"/>
                <w:szCs w:val="20"/>
              </w:rPr>
            </w:pP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7E0328">
            <w:pPr>
              <w:rPr>
                <w:rFonts w:ascii="宋体" w:hAnsi="宋体" w:cs="宋体"/>
                <w:sz w:val="20"/>
                <w:szCs w:val="20"/>
              </w:rPr>
            </w:pP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61</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52.2894</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1</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23.88</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5</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42.84</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7E0328">
        <w:trPr>
          <w:trHeight w:val="819"/>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7E0328">
        <w:trPr>
          <w:trHeight w:val="718"/>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　</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7E0328" w:rsidRDefault="003E1D29">
            <w:pPr>
              <w:rPr>
                <w:rFonts w:ascii="宋体" w:hAnsi="宋体" w:cs="宋体"/>
                <w:sz w:val="20"/>
                <w:szCs w:val="20"/>
              </w:rPr>
            </w:pPr>
            <w:r>
              <w:rPr>
                <w:rFonts w:hint="eastAsia"/>
                <w:sz w:val="20"/>
                <w:szCs w:val="20"/>
              </w:rPr>
              <w:t xml:space="preserve">　</w:t>
            </w:r>
            <w:r>
              <w:rPr>
                <w:rFonts w:hint="eastAsia"/>
                <w:sz w:val="20"/>
                <w:szCs w:val="20"/>
              </w:rPr>
              <w:t>88</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6.8735　</w:t>
            </w:r>
          </w:p>
        </w:tc>
      </w:tr>
      <w:tr w:rsidR="007E0328">
        <w:trPr>
          <w:trHeight w:val="645"/>
        </w:trPr>
        <w:tc>
          <w:tcPr>
            <w:tcW w:w="4788" w:type="dxa"/>
            <w:tcBorders>
              <w:top w:val="nil"/>
              <w:left w:val="single" w:sz="4" w:space="0" w:color="auto"/>
              <w:bottom w:val="single" w:sz="4" w:space="0" w:color="auto"/>
              <w:right w:val="single" w:sz="4" w:space="0" w:color="auto"/>
            </w:tcBorders>
            <w:vAlign w:val="center"/>
          </w:tcPr>
          <w:p w:rsidR="007E0328" w:rsidRDefault="003E1D29">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7E0328" w:rsidRDefault="003E1D29">
            <w:pPr>
              <w:ind w:firstLineChars="100" w:firstLine="200"/>
              <w:rPr>
                <w:rFonts w:ascii="宋体" w:hAnsi="宋体" w:cs="宋体"/>
                <w:sz w:val="20"/>
                <w:szCs w:val="20"/>
              </w:rPr>
            </w:pPr>
            <w:r>
              <w:rPr>
                <w:rFonts w:hint="eastAsia"/>
                <w:sz w:val="20"/>
                <w:szCs w:val="20"/>
              </w:rPr>
              <w:t>88</w:t>
            </w:r>
          </w:p>
        </w:tc>
        <w:tc>
          <w:tcPr>
            <w:tcW w:w="6192" w:type="dxa"/>
            <w:tcBorders>
              <w:top w:val="nil"/>
              <w:left w:val="nil"/>
              <w:bottom w:val="single" w:sz="4" w:space="0" w:color="auto"/>
              <w:right w:val="single" w:sz="4" w:space="0" w:color="auto"/>
            </w:tcBorders>
            <w:vAlign w:val="center"/>
          </w:tcPr>
          <w:p w:rsidR="007E0328" w:rsidRDefault="003E1D29">
            <w:pPr>
              <w:jc w:val="right"/>
              <w:rPr>
                <w:rFonts w:ascii="宋体" w:hAnsi="宋体" w:cs="宋体"/>
                <w:color w:val="000000"/>
                <w:sz w:val="22"/>
                <w:szCs w:val="22"/>
              </w:rPr>
            </w:pPr>
            <w:r>
              <w:rPr>
                <w:rFonts w:ascii="宋体" w:hAnsi="宋体" w:cs="宋体" w:hint="eastAsia"/>
                <w:color w:val="000000"/>
                <w:sz w:val="22"/>
                <w:szCs w:val="22"/>
              </w:rPr>
              <w:t xml:space="preserve">6.8735　</w:t>
            </w:r>
          </w:p>
        </w:tc>
      </w:tr>
    </w:tbl>
    <w:p w:rsidR="007E0328" w:rsidRDefault="003E1D29">
      <w:pPr>
        <w:rPr>
          <w:rFonts w:ascii="仿宋_GB2312" w:eastAsia="仿宋_GB2312"/>
          <w:sz w:val="32"/>
          <w:szCs w:val="32"/>
        </w:rPr>
      </w:pPr>
      <w:r>
        <w:rPr>
          <w:rFonts w:ascii="仿宋_GB2312" w:eastAsia="仿宋_GB2312" w:hint="eastAsia"/>
          <w:sz w:val="32"/>
          <w:szCs w:val="32"/>
        </w:rPr>
        <w:t>2020年</w:t>
      </w:r>
      <w:proofErr w:type="gramStart"/>
      <w:r>
        <w:rPr>
          <w:rFonts w:ascii="仿宋_GB2312" w:eastAsia="仿宋_GB2312" w:hint="eastAsia"/>
          <w:sz w:val="32"/>
          <w:szCs w:val="32"/>
        </w:rPr>
        <w:t>我部门无拟</w:t>
      </w:r>
      <w:proofErr w:type="gramEnd"/>
      <w:r>
        <w:rPr>
          <w:rFonts w:ascii="仿宋_GB2312" w:eastAsia="仿宋_GB2312" w:hint="eastAsia"/>
          <w:sz w:val="32"/>
          <w:szCs w:val="32"/>
        </w:rPr>
        <w:t>购置情况</w:t>
      </w:r>
    </w:p>
    <w:p w:rsidR="007E0328" w:rsidRDefault="003E1D29">
      <w:pPr>
        <w:spacing w:line="560" w:lineRule="exact"/>
      </w:pPr>
      <w:r>
        <w:rPr>
          <w:rFonts w:ascii="宋体" w:hAnsi="宋体" w:hint="eastAsia"/>
          <w:b/>
          <w:sz w:val="32"/>
          <w:szCs w:val="32"/>
        </w:rPr>
        <w:t>八、名词解释</w:t>
      </w:r>
    </w:p>
    <w:p w:rsidR="007E0328" w:rsidRDefault="003E1D29">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7E0328" w:rsidRDefault="003E1D29">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7E0328" w:rsidRDefault="003E1D29">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7E0328" w:rsidRDefault="003E1D29">
      <w:pPr>
        <w:spacing w:line="560" w:lineRule="exact"/>
        <w:ind w:firstLineChars="200" w:firstLine="643"/>
      </w:pPr>
      <w:r>
        <w:rPr>
          <w:rFonts w:ascii="宋体" w:hAnsi="宋体" w:hint="eastAsia"/>
          <w:b/>
          <w:sz w:val="32"/>
          <w:szCs w:val="32"/>
        </w:rPr>
        <w:t>九、其他情况说明</w:t>
      </w:r>
    </w:p>
    <w:p w:rsidR="007E0328" w:rsidRDefault="003E1D29">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2021年部门预算无国有资本经营预算财政拨款收支，因此相关表格数据为零。</w:t>
      </w:r>
    </w:p>
    <w:p w:rsidR="007E0328" w:rsidRDefault="007E0328"/>
    <w:sectPr w:rsidR="007E032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29" w:rsidRDefault="003E1D29">
      <w:r>
        <w:separator/>
      </w:r>
    </w:p>
  </w:endnote>
  <w:endnote w:type="continuationSeparator" w:id="0">
    <w:p w:rsidR="003E1D29" w:rsidRDefault="003E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方正书宋_GBK">
    <w:altName w:val="宋体"/>
    <w:charset w:val="86"/>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9" w:rsidRDefault="003E1D29">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CF30E8">
      <w:rPr>
        <w:rStyle w:val="a7"/>
        <w:noProof/>
      </w:rPr>
      <w:t>14</w:t>
    </w:r>
    <w:r>
      <w:rPr>
        <w:rStyle w:val="a7"/>
      </w:rPr>
      <w:fldChar w:fldCharType="end"/>
    </w:r>
  </w:p>
  <w:p w:rsidR="003E1D29" w:rsidRDefault="003E1D29">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29" w:rsidRDefault="003E1D29">
      <w:r>
        <w:separator/>
      </w:r>
    </w:p>
  </w:footnote>
  <w:footnote w:type="continuationSeparator" w:id="0">
    <w:p w:rsidR="003E1D29" w:rsidRDefault="003E1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29" w:rsidRDefault="003E1D2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44"/>
    <w:rsid w:val="00041028"/>
    <w:rsid w:val="00046CE3"/>
    <w:rsid w:val="00076087"/>
    <w:rsid w:val="00084CFC"/>
    <w:rsid w:val="000944AA"/>
    <w:rsid w:val="000C6E94"/>
    <w:rsid w:val="001041BE"/>
    <w:rsid w:val="00177016"/>
    <w:rsid w:val="001C074A"/>
    <w:rsid w:val="002437E8"/>
    <w:rsid w:val="002548B8"/>
    <w:rsid w:val="002565D6"/>
    <w:rsid w:val="0029417D"/>
    <w:rsid w:val="002B3785"/>
    <w:rsid w:val="002D1DC9"/>
    <w:rsid w:val="00303B3C"/>
    <w:rsid w:val="0032153C"/>
    <w:rsid w:val="00324CF9"/>
    <w:rsid w:val="0033558C"/>
    <w:rsid w:val="00364368"/>
    <w:rsid w:val="00395069"/>
    <w:rsid w:val="003E1D29"/>
    <w:rsid w:val="00481C18"/>
    <w:rsid w:val="0048553A"/>
    <w:rsid w:val="004F3FA1"/>
    <w:rsid w:val="00521B68"/>
    <w:rsid w:val="005E02A1"/>
    <w:rsid w:val="0060777F"/>
    <w:rsid w:val="00656E71"/>
    <w:rsid w:val="006617C6"/>
    <w:rsid w:val="00681E7D"/>
    <w:rsid w:val="006947FF"/>
    <w:rsid w:val="00696DA5"/>
    <w:rsid w:val="006B68B0"/>
    <w:rsid w:val="006C3572"/>
    <w:rsid w:val="006E4C0E"/>
    <w:rsid w:val="006E69A1"/>
    <w:rsid w:val="006F74E2"/>
    <w:rsid w:val="00761084"/>
    <w:rsid w:val="007E0328"/>
    <w:rsid w:val="00806C83"/>
    <w:rsid w:val="008357BB"/>
    <w:rsid w:val="00902813"/>
    <w:rsid w:val="00920FF4"/>
    <w:rsid w:val="00934A44"/>
    <w:rsid w:val="00982E41"/>
    <w:rsid w:val="00A51B58"/>
    <w:rsid w:val="00B36463"/>
    <w:rsid w:val="00B6099D"/>
    <w:rsid w:val="00C16413"/>
    <w:rsid w:val="00C66228"/>
    <w:rsid w:val="00CD0CEF"/>
    <w:rsid w:val="00CF30E8"/>
    <w:rsid w:val="00D84F9E"/>
    <w:rsid w:val="00DC18F8"/>
    <w:rsid w:val="00E00217"/>
    <w:rsid w:val="00F361B4"/>
    <w:rsid w:val="00F626B4"/>
    <w:rsid w:val="06787611"/>
    <w:rsid w:val="08E608E5"/>
    <w:rsid w:val="0ACD57F4"/>
    <w:rsid w:val="14384AA4"/>
    <w:rsid w:val="17366026"/>
    <w:rsid w:val="1E76406F"/>
    <w:rsid w:val="1F2A7E11"/>
    <w:rsid w:val="203B3142"/>
    <w:rsid w:val="3512343F"/>
    <w:rsid w:val="36BF1BE6"/>
    <w:rsid w:val="474B50A8"/>
    <w:rsid w:val="613B7038"/>
    <w:rsid w:val="6C6F0552"/>
    <w:rsid w:val="6EC60F8B"/>
    <w:rsid w:val="742F02A2"/>
    <w:rsid w:val="76F30653"/>
    <w:rsid w:val="7EB8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paragraph" w:styleId="a6">
    <w:name w:val="Normal (Web)"/>
    <w:basedOn w:val="a"/>
    <w:qFormat/>
    <w:pPr>
      <w:spacing w:before="100" w:beforeAutospacing="1" w:after="100" w:afterAutospacing="1"/>
      <w:jc w:val="left"/>
    </w:pPr>
    <w:rPr>
      <w:rFonts w:ascii="Calibri" w:hAnsi="Calibri"/>
      <w:kern w:val="0"/>
      <w:sz w:val="24"/>
    </w:rPr>
  </w:style>
  <w:style w:type="character" w:styleId="a7">
    <w:name w:val="page number"/>
    <w:uiPriority w:val="99"/>
    <w:unhideWhenUsed/>
    <w:qFormat/>
  </w:style>
  <w:style w:type="character" w:styleId="a8">
    <w:name w:val="footnote reference"/>
    <w:uiPriority w:val="99"/>
    <w:unhideWhenUsed/>
    <w:qFormat/>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page number"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footnote text"/>
    <w:basedOn w:val="a"/>
    <w:uiPriority w:val="99"/>
    <w:unhideWhenUsed/>
    <w:qFormat/>
    <w:pPr>
      <w:snapToGrid w:val="0"/>
      <w:jc w:val="left"/>
    </w:pPr>
    <w:rPr>
      <w:rFonts w:ascii="Calibri" w:hAnsi="Calibri"/>
      <w:sz w:val="18"/>
      <w:szCs w:val="18"/>
    </w:rPr>
  </w:style>
  <w:style w:type="paragraph" w:styleId="a6">
    <w:name w:val="Normal (Web)"/>
    <w:basedOn w:val="a"/>
    <w:qFormat/>
    <w:pPr>
      <w:spacing w:before="100" w:beforeAutospacing="1" w:after="100" w:afterAutospacing="1"/>
      <w:jc w:val="left"/>
    </w:pPr>
    <w:rPr>
      <w:rFonts w:ascii="Calibri" w:hAnsi="Calibri"/>
      <w:kern w:val="0"/>
      <w:sz w:val="24"/>
    </w:rPr>
  </w:style>
  <w:style w:type="character" w:styleId="a7">
    <w:name w:val="page number"/>
    <w:uiPriority w:val="99"/>
    <w:unhideWhenUsed/>
    <w:qFormat/>
  </w:style>
  <w:style w:type="character" w:styleId="a8">
    <w:name w:val="footnote reference"/>
    <w:uiPriority w:val="99"/>
    <w:unhideWhenUsed/>
    <w:qFormat/>
    <w:rPr>
      <w:vertAlign w:val="superscript"/>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5550</Words>
  <Characters>1323</Characters>
  <Application>Microsoft Office Word</Application>
  <DocSecurity>0</DocSecurity>
  <Lines>11</Lines>
  <Paragraphs>13</Paragraphs>
  <ScaleCrop>false</ScaleCrop>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Microsoft</cp:lastModifiedBy>
  <cp:revision>8</cp:revision>
  <dcterms:created xsi:type="dcterms:W3CDTF">2018-02-23T06:42:00Z</dcterms:created>
  <dcterms:modified xsi:type="dcterms:W3CDTF">2021-03-04T06:03:00Z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